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3C19" w14:textId="77777777" w:rsidR="003B1C96" w:rsidRPr="003B1C96" w:rsidRDefault="003B1C96" w:rsidP="003B1C96">
      <w:pPr>
        <w:pStyle w:val="MainTitle"/>
        <w:rPr>
          <w:sz w:val="40"/>
          <w:szCs w:val="20"/>
        </w:rPr>
      </w:pPr>
      <w:r w:rsidRPr="003B1C96">
        <w:rPr>
          <w:sz w:val="40"/>
          <w:szCs w:val="20"/>
        </w:rPr>
        <w:t xml:space="preserve">Mr AO v Commonwealth </w:t>
      </w:r>
    </w:p>
    <w:p w14:paraId="4FEA1010" w14:textId="1891B6EC" w:rsidR="003B1C96" w:rsidRPr="003B1C96" w:rsidRDefault="003B1C96" w:rsidP="003B1C96">
      <w:pPr>
        <w:pStyle w:val="MainTitle"/>
        <w:rPr>
          <w:sz w:val="40"/>
          <w:szCs w:val="20"/>
        </w:rPr>
      </w:pPr>
      <w:r w:rsidRPr="003B1C96">
        <w:rPr>
          <w:sz w:val="40"/>
          <w:szCs w:val="20"/>
        </w:rPr>
        <w:t>of Australia (Department</w:t>
      </w:r>
    </w:p>
    <w:p w14:paraId="1A2B2BC5" w14:textId="617714BF" w:rsidR="003B1C96" w:rsidRPr="003B1C96" w:rsidRDefault="003B1C96" w:rsidP="003B1C96">
      <w:pPr>
        <w:pStyle w:val="MainTitle"/>
        <w:rPr>
          <w:sz w:val="40"/>
          <w:szCs w:val="20"/>
        </w:rPr>
      </w:pPr>
      <w:r w:rsidRPr="003B1C96">
        <w:rPr>
          <w:sz w:val="40"/>
          <w:szCs w:val="20"/>
        </w:rPr>
        <w:t xml:space="preserve"> of Home Affairs)</w:t>
      </w:r>
    </w:p>
    <w:p w14:paraId="53D687CA" w14:textId="5BA12F7D" w:rsidR="00AC636D" w:rsidRPr="00FB239D" w:rsidRDefault="003B1C96" w:rsidP="008A7305">
      <w:pPr>
        <w:jc w:val="right"/>
        <w:rPr>
          <w:b/>
          <w:bCs/>
          <w:color w:val="000000" w:themeColor="text1"/>
        </w:rPr>
      </w:pPr>
      <w:r w:rsidRPr="00FB239D">
        <w:rPr>
          <w:rFonts w:cs="Arial"/>
          <w:b/>
          <w:bCs/>
          <w:color w:val="000000" w:themeColor="text1"/>
          <w:sz w:val="28"/>
        </w:rPr>
        <w:t xml:space="preserve">[2022] </w:t>
      </w:r>
      <w:proofErr w:type="spellStart"/>
      <w:r w:rsidRPr="00FB239D">
        <w:rPr>
          <w:rFonts w:cs="Arial"/>
          <w:b/>
          <w:bCs/>
          <w:color w:val="000000" w:themeColor="text1"/>
          <w:sz w:val="28"/>
        </w:rPr>
        <w:t>AusHRC</w:t>
      </w:r>
      <w:proofErr w:type="spellEnd"/>
      <w:r w:rsidRPr="00FB239D">
        <w:rPr>
          <w:rFonts w:cs="Arial"/>
          <w:b/>
          <w:bCs/>
          <w:color w:val="000000" w:themeColor="text1"/>
          <w:sz w:val="28"/>
        </w:rPr>
        <w:t xml:space="preserve"> 145</w:t>
      </w:r>
    </w:p>
    <w:p w14:paraId="68241FA3" w14:textId="421628FC"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tab/>
      </w:r>
      <w:r w:rsidR="008E674C">
        <w:rPr>
          <w:rFonts w:cs="Open Sans"/>
          <w:color w:val="000000" w:themeColor="text1"/>
        </w:rPr>
        <w:t>May</w:t>
      </w:r>
      <w:r w:rsidR="003B1C96" w:rsidRPr="003B1C96">
        <w:rPr>
          <w:rFonts w:cs="Open Sans"/>
          <w:color w:val="000000" w:themeColor="text1"/>
        </w:rPr>
        <w:t xml:space="preserve"> 2022 </w:t>
      </w:r>
      <w:r w:rsidRPr="003B1C96">
        <w:rPr>
          <w:rFonts w:cs="Open Sans"/>
          <w:color w:val="000000" w:themeColor="text1"/>
        </w:rPr>
        <w:t xml:space="preserve">  </w:t>
      </w:r>
    </w:p>
    <w:p w14:paraId="72AA9AD2" w14:textId="77777777" w:rsidR="00FB239D" w:rsidRDefault="00FB239D" w:rsidP="00C60343">
      <w:pPr>
        <w:pStyle w:val="TOC1"/>
      </w:pPr>
      <w:bookmarkStart w:id="0" w:name="_Toc209316062"/>
      <w:bookmarkEnd w:id="0"/>
    </w:p>
    <w:p w14:paraId="5F638C9C" w14:textId="77777777" w:rsidR="00FB239D" w:rsidRDefault="00FB239D" w:rsidP="00FB239D">
      <w:pPr>
        <w:rPr>
          <w:rFonts w:cs="Open Sans"/>
          <w:b/>
          <w:bCs/>
          <w:sz w:val="36"/>
          <w:szCs w:val="36"/>
        </w:rPr>
      </w:pPr>
    </w:p>
    <w:p w14:paraId="321F3218" w14:textId="77777777" w:rsidR="00FB239D" w:rsidRDefault="00FB239D" w:rsidP="00FB239D">
      <w:pPr>
        <w:rPr>
          <w:rFonts w:cs="Open Sans"/>
          <w:b/>
          <w:bCs/>
          <w:sz w:val="36"/>
          <w:szCs w:val="36"/>
        </w:rPr>
      </w:pPr>
    </w:p>
    <w:p w14:paraId="0742EE7A" w14:textId="02A35B3E" w:rsidR="00FB239D" w:rsidRDefault="00FB239D" w:rsidP="00FB239D">
      <w:pPr>
        <w:rPr>
          <w:rFonts w:cs="Open Sans"/>
          <w:b/>
          <w:bCs/>
          <w:sz w:val="36"/>
          <w:szCs w:val="36"/>
        </w:rPr>
      </w:pPr>
      <w:r>
        <w:rPr>
          <w:rFonts w:cs="Open Sans"/>
          <w:b/>
          <w:bCs/>
          <w:sz w:val="36"/>
          <w:szCs w:val="36"/>
        </w:rPr>
        <w:t>Mr AO v Commonwealth of Australia (Department of Home Affairs)</w:t>
      </w:r>
    </w:p>
    <w:p w14:paraId="2DC3795E" w14:textId="77777777" w:rsidR="00FB239D" w:rsidRDefault="00FB239D" w:rsidP="00FB239D">
      <w:pPr>
        <w:rPr>
          <w:rFonts w:cs="Open Sans"/>
          <w:b/>
          <w:bCs/>
        </w:rPr>
      </w:pPr>
    </w:p>
    <w:p w14:paraId="3F13C3B8" w14:textId="3145DFE8" w:rsidR="00FB239D" w:rsidRDefault="00FB239D" w:rsidP="00FB239D">
      <w:pPr>
        <w:rPr>
          <w:rFonts w:cs="Open Sans"/>
        </w:rPr>
      </w:pPr>
      <w:r w:rsidRPr="008C7B94">
        <w:rPr>
          <w:rFonts w:cs="Open Sans"/>
          <w:sz w:val="32"/>
          <w:szCs w:val="32"/>
        </w:rPr>
        <w:t>[</w:t>
      </w:r>
      <w:r w:rsidRPr="00990D51">
        <w:rPr>
          <w:rFonts w:cs="Open Sans"/>
          <w:sz w:val="32"/>
          <w:szCs w:val="32"/>
        </w:rPr>
        <w:t>202</w:t>
      </w:r>
      <w:r>
        <w:rPr>
          <w:rFonts w:cs="Open Sans"/>
          <w:sz w:val="32"/>
          <w:szCs w:val="32"/>
        </w:rPr>
        <w:t>2</w:t>
      </w:r>
      <w:r w:rsidRPr="00990D51">
        <w:rPr>
          <w:rFonts w:cs="Open Sans"/>
          <w:sz w:val="32"/>
          <w:szCs w:val="32"/>
        </w:rPr>
        <w:t xml:space="preserve">] </w:t>
      </w:r>
      <w:proofErr w:type="spellStart"/>
      <w:r w:rsidRPr="00990D51">
        <w:rPr>
          <w:rFonts w:cs="Open Sans"/>
          <w:sz w:val="32"/>
          <w:szCs w:val="32"/>
        </w:rPr>
        <w:t>AusHRC</w:t>
      </w:r>
      <w:proofErr w:type="spellEnd"/>
      <w:r>
        <w:rPr>
          <w:rFonts w:cs="Open Sans"/>
          <w:sz w:val="32"/>
          <w:szCs w:val="32"/>
        </w:rPr>
        <w:t xml:space="preserve"> </w:t>
      </w:r>
      <w:r w:rsidRPr="00990D51">
        <w:rPr>
          <w:rFonts w:cs="Open Sans"/>
          <w:sz w:val="32"/>
          <w:szCs w:val="32"/>
        </w:rPr>
        <w:t>14</w:t>
      </w:r>
      <w:r>
        <w:rPr>
          <w:rFonts w:cs="Open Sans"/>
          <w:sz w:val="32"/>
          <w:szCs w:val="32"/>
        </w:rPr>
        <w:t>5</w:t>
      </w:r>
    </w:p>
    <w:p w14:paraId="74484900" w14:textId="77777777" w:rsidR="00FB239D" w:rsidRDefault="00FB239D" w:rsidP="00FB239D">
      <w:pPr>
        <w:rPr>
          <w:rFonts w:cs="Open Sans"/>
        </w:rPr>
      </w:pPr>
    </w:p>
    <w:p w14:paraId="7CA24296" w14:textId="3FD57FF3" w:rsidR="00FB239D" w:rsidRDefault="00FB239D" w:rsidP="00FB239D">
      <w:pPr>
        <w:rPr>
          <w:rFonts w:cs="Open Sans"/>
          <w:i/>
          <w:iCs/>
        </w:rPr>
      </w:pPr>
      <w:r w:rsidRPr="00311321">
        <w:rPr>
          <w:rFonts w:cs="Open Sans"/>
          <w:i/>
          <w:iCs/>
        </w:rPr>
        <w:t xml:space="preserve">Report into </w:t>
      </w:r>
      <w:r w:rsidR="003E4C5D" w:rsidRPr="00311321">
        <w:rPr>
          <w:rFonts w:cs="Open Sans"/>
          <w:i/>
          <w:iCs/>
        </w:rPr>
        <w:t>the use of force</w:t>
      </w:r>
    </w:p>
    <w:p w14:paraId="77E16448" w14:textId="77777777" w:rsidR="00FB239D" w:rsidRDefault="00FB239D" w:rsidP="00FB239D">
      <w:pPr>
        <w:rPr>
          <w:rFonts w:cs="Open Sans"/>
        </w:rPr>
      </w:pPr>
      <w:r>
        <w:rPr>
          <w:rFonts w:cs="Open Sans"/>
        </w:rPr>
        <w:t xml:space="preserve">Australian Human Rights Commission 2022 </w:t>
      </w:r>
    </w:p>
    <w:p w14:paraId="7338527D" w14:textId="1EDC3AD9" w:rsidR="00FB239D" w:rsidRDefault="00FB239D" w:rsidP="005F391B">
      <w:pPr>
        <w:rPr>
          <w:rFonts w:cs="Open Sans"/>
        </w:rPr>
      </w:pPr>
      <w:r>
        <w:rPr>
          <w:rFonts w:cs="Open Sans"/>
        </w:rPr>
        <w:br w:type="page"/>
      </w:r>
    </w:p>
    <w:p w14:paraId="6471DE76" w14:textId="67A4037F" w:rsidR="005F391B" w:rsidRDefault="005F391B" w:rsidP="005F391B">
      <w:pPr>
        <w:rPr>
          <w:rFonts w:cs="Open Sans"/>
        </w:rPr>
      </w:pPr>
      <w:r>
        <w:rPr>
          <w:rFonts w:cs="Open Sans"/>
        </w:rPr>
        <w:lastRenderedPageBreak/>
        <w:t xml:space="preserve">Senator the Hon. </w:t>
      </w:r>
      <w:proofErr w:type="spellStart"/>
      <w:r>
        <w:rPr>
          <w:rFonts w:cs="Open Sans"/>
        </w:rPr>
        <w:t>Michaelia</w:t>
      </w:r>
      <w:proofErr w:type="spellEnd"/>
      <w:r>
        <w:rPr>
          <w:rFonts w:cs="Open Sans"/>
        </w:rPr>
        <w:t xml:space="preserve"> Cash</w:t>
      </w:r>
      <w:r>
        <w:rPr>
          <w:rFonts w:cs="Open Sans"/>
        </w:rPr>
        <w:br/>
        <w:t>Attorney-General</w:t>
      </w:r>
      <w:r>
        <w:rPr>
          <w:rFonts w:cs="Open Sans"/>
        </w:rPr>
        <w:br/>
        <w:t>Parliament House</w:t>
      </w:r>
      <w:r>
        <w:rPr>
          <w:rFonts w:cs="Open Sans"/>
        </w:rPr>
        <w:br/>
        <w:t xml:space="preserve">Canberra ACT 2600 </w:t>
      </w:r>
    </w:p>
    <w:p w14:paraId="7F702F3A" w14:textId="77777777" w:rsidR="005F391B" w:rsidRDefault="005F391B" w:rsidP="005F391B">
      <w:pPr>
        <w:rPr>
          <w:rFonts w:cs="Open Sans"/>
        </w:rPr>
      </w:pPr>
      <w:r>
        <w:rPr>
          <w:rFonts w:cs="Open Sans"/>
        </w:rPr>
        <w:br/>
        <w:t>Dear Attorney</w:t>
      </w:r>
    </w:p>
    <w:p w14:paraId="5368C8C2" w14:textId="53270C86" w:rsidR="005F391B" w:rsidRDefault="00FD34F6">
      <w:pPr>
        <w:spacing w:before="0" w:after="0"/>
        <w:rPr>
          <w:rFonts w:cs="Open Sans"/>
        </w:rPr>
      </w:pPr>
      <w:r>
        <w:rPr>
          <w:rFonts w:cs="Open Sans"/>
        </w:rPr>
        <w:t xml:space="preserve">I have completed </w:t>
      </w:r>
      <w:r w:rsidR="00D345F7">
        <w:rPr>
          <w:rFonts w:cs="Open Sans"/>
        </w:rPr>
        <w:t xml:space="preserve">my report pursuant to s 11(1)(f) of the </w:t>
      </w:r>
      <w:r w:rsidR="008D17DA">
        <w:rPr>
          <w:rFonts w:cs="Open Sans"/>
          <w:i/>
          <w:iCs/>
        </w:rPr>
        <w:t>Australian</w:t>
      </w:r>
      <w:r w:rsidR="00D345F7">
        <w:rPr>
          <w:rFonts w:cs="Open Sans"/>
          <w:i/>
          <w:iCs/>
        </w:rPr>
        <w:t xml:space="preserve"> Human Rights Commission Act 1986</w:t>
      </w:r>
      <w:r w:rsidR="00643DB4">
        <w:rPr>
          <w:rFonts w:cs="Open Sans"/>
          <w:i/>
          <w:iCs/>
        </w:rPr>
        <w:t xml:space="preserve"> </w:t>
      </w:r>
      <w:r w:rsidR="00643DB4">
        <w:rPr>
          <w:rFonts w:cs="Open Sans"/>
        </w:rPr>
        <w:t>(</w:t>
      </w:r>
      <w:proofErr w:type="spellStart"/>
      <w:r w:rsidR="00643DB4">
        <w:rPr>
          <w:rFonts w:cs="Open Sans"/>
        </w:rPr>
        <w:t>Cth</w:t>
      </w:r>
      <w:proofErr w:type="spellEnd"/>
      <w:r w:rsidR="00643DB4">
        <w:rPr>
          <w:rFonts w:cs="Open Sans"/>
        </w:rPr>
        <w:t>)</w:t>
      </w:r>
      <w:r w:rsidR="00D345F7">
        <w:rPr>
          <w:rFonts w:cs="Open Sans"/>
          <w:i/>
          <w:iCs/>
        </w:rPr>
        <w:t xml:space="preserve"> </w:t>
      </w:r>
      <w:r w:rsidR="00D345F7">
        <w:rPr>
          <w:rFonts w:cs="Open Sans"/>
        </w:rPr>
        <w:t>(</w:t>
      </w:r>
      <w:r w:rsidR="008D17DA">
        <w:rPr>
          <w:rFonts w:cs="Open Sans"/>
        </w:rPr>
        <w:t>AHRC Act</w:t>
      </w:r>
      <w:r w:rsidR="00D345F7">
        <w:rPr>
          <w:rFonts w:cs="Open Sans"/>
        </w:rPr>
        <w:t xml:space="preserve">) into the </w:t>
      </w:r>
      <w:r w:rsidR="0058426E">
        <w:rPr>
          <w:rFonts w:cs="Open Sans"/>
        </w:rPr>
        <w:t xml:space="preserve">human rights </w:t>
      </w:r>
      <w:r w:rsidR="00D345F7">
        <w:rPr>
          <w:rFonts w:cs="Open Sans"/>
        </w:rPr>
        <w:t>complaint of Mr AO</w:t>
      </w:r>
      <w:r w:rsidR="0058426E">
        <w:rPr>
          <w:rFonts w:cs="Open Sans"/>
        </w:rPr>
        <w:t>,</w:t>
      </w:r>
      <w:r w:rsidR="00D345F7">
        <w:rPr>
          <w:rFonts w:cs="Open Sans"/>
        </w:rPr>
        <w:t xml:space="preserve"> alleging a breach of </w:t>
      </w:r>
      <w:r w:rsidR="0058426E">
        <w:rPr>
          <w:rFonts w:cs="Open Sans"/>
        </w:rPr>
        <w:t xml:space="preserve">his </w:t>
      </w:r>
      <w:r w:rsidR="00D345F7">
        <w:rPr>
          <w:rFonts w:cs="Open Sans"/>
        </w:rPr>
        <w:t>human rights by the Department of Home Affairs (</w:t>
      </w:r>
      <w:r w:rsidR="0058426E">
        <w:rPr>
          <w:rFonts w:cs="Open Sans"/>
        </w:rPr>
        <w:t xml:space="preserve">the </w:t>
      </w:r>
      <w:r w:rsidR="00D345F7">
        <w:rPr>
          <w:rFonts w:cs="Open Sans"/>
        </w:rPr>
        <w:t xml:space="preserve">Department). </w:t>
      </w:r>
    </w:p>
    <w:p w14:paraId="52234E2B" w14:textId="77777777" w:rsidR="00D345F7" w:rsidRDefault="00D345F7">
      <w:pPr>
        <w:spacing w:before="0" w:after="0"/>
        <w:rPr>
          <w:rFonts w:cs="Open Sans"/>
        </w:rPr>
      </w:pPr>
    </w:p>
    <w:p w14:paraId="0E2F41F1" w14:textId="74EE29E6" w:rsidR="00D345F7" w:rsidRDefault="000A30E4">
      <w:pPr>
        <w:spacing w:before="0" w:after="0"/>
        <w:rPr>
          <w:rFonts w:cs="Open Sans"/>
        </w:rPr>
      </w:pPr>
      <w:r>
        <w:rPr>
          <w:rFonts w:cs="Open Sans"/>
        </w:rPr>
        <w:t>Mr AO complain</w:t>
      </w:r>
      <w:r w:rsidR="005E596F">
        <w:rPr>
          <w:rFonts w:cs="Open Sans"/>
        </w:rPr>
        <w:t>s</w:t>
      </w:r>
      <w:r>
        <w:rPr>
          <w:rFonts w:cs="Open Sans"/>
        </w:rPr>
        <w:t xml:space="preserve"> about an incident </w:t>
      </w:r>
      <w:r w:rsidR="002C17F0">
        <w:rPr>
          <w:rFonts w:cs="Open Sans"/>
        </w:rPr>
        <w:t xml:space="preserve">occurring </w:t>
      </w:r>
      <w:r>
        <w:rPr>
          <w:rFonts w:cs="Open Sans"/>
        </w:rPr>
        <w:t>in April 2018</w:t>
      </w:r>
      <w:r w:rsidR="00914CB8">
        <w:rPr>
          <w:rFonts w:cs="Open Sans"/>
        </w:rPr>
        <w:t xml:space="preserve"> </w:t>
      </w:r>
      <w:r w:rsidR="002C17F0">
        <w:rPr>
          <w:rFonts w:cs="Open Sans"/>
        </w:rPr>
        <w:t>while he was detained at the</w:t>
      </w:r>
      <w:r w:rsidR="00914CB8">
        <w:rPr>
          <w:rFonts w:cs="Open Sans"/>
        </w:rPr>
        <w:t xml:space="preserve"> Christmas Island Immigration Detention Centre in which Serco officers used force against him</w:t>
      </w:r>
      <w:r w:rsidR="0058426E">
        <w:rPr>
          <w:rFonts w:cs="Open Sans"/>
        </w:rPr>
        <w:t>,</w:t>
      </w:r>
      <w:r w:rsidR="00AA4D44">
        <w:rPr>
          <w:rFonts w:cs="Open Sans"/>
        </w:rPr>
        <w:t xml:space="preserve"> causing </w:t>
      </w:r>
      <w:r w:rsidR="003B1FA4">
        <w:rPr>
          <w:rFonts w:cs="Open Sans"/>
        </w:rPr>
        <w:t xml:space="preserve">additional pain to a prior injury to his collar bone. </w:t>
      </w:r>
    </w:p>
    <w:p w14:paraId="0266FA82" w14:textId="77777777" w:rsidR="00D345F7" w:rsidRDefault="00D345F7">
      <w:pPr>
        <w:spacing w:before="0" w:after="0"/>
        <w:rPr>
          <w:rFonts w:cs="Open Sans"/>
        </w:rPr>
      </w:pPr>
    </w:p>
    <w:p w14:paraId="4FF58F43" w14:textId="016C039B" w:rsidR="009B627D" w:rsidRPr="00D345F7" w:rsidRDefault="003242B2">
      <w:pPr>
        <w:spacing w:before="0" w:after="0"/>
        <w:rPr>
          <w:rFonts w:cs="Open Sans"/>
        </w:rPr>
      </w:pPr>
      <w:r>
        <w:rPr>
          <w:rFonts w:cs="Open Sans"/>
        </w:rPr>
        <w:t>As a result of this inquiry, I have foun</w:t>
      </w:r>
      <w:r w:rsidR="004E6D6F">
        <w:rPr>
          <w:rFonts w:cs="Open Sans"/>
        </w:rPr>
        <w:t xml:space="preserve">d that the use of force by the Department against Mr AO </w:t>
      </w:r>
      <w:r w:rsidR="003B1FA4">
        <w:rPr>
          <w:rFonts w:cs="Open Sans"/>
        </w:rPr>
        <w:t>wa</w:t>
      </w:r>
      <w:r w:rsidR="004E6D6F">
        <w:rPr>
          <w:rFonts w:cs="Open Sans"/>
        </w:rPr>
        <w:t xml:space="preserve">s inconsistent with or contrary to article 10(1) of the </w:t>
      </w:r>
      <w:r w:rsidR="004E6D6F">
        <w:rPr>
          <w:rFonts w:cs="Open Sans"/>
          <w:i/>
          <w:iCs/>
        </w:rPr>
        <w:t>International Covenant on Civil and Political Rights</w:t>
      </w:r>
      <w:r w:rsidR="00AA4D44">
        <w:rPr>
          <w:rFonts w:cs="Open Sans"/>
          <w:i/>
          <w:iCs/>
        </w:rPr>
        <w:t xml:space="preserve">, </w:t>
      </w:r>
      <w:r w:rsidR="004E6D6F">
        <w:rPr>
          <w:rFonts w:cs="Open Sans"/>
        </w:rPr>
        <w:t xml:space="preserve">that is </w:t>
      </w:r>
      <w:r w:rsidR="00692ECB">
        <w:rPr>
          <w:rFonts w:cs="Open Sans"/>
        </w:rPr>
        <w:t xml:space="preserve">his </w:t>
      </w:r>
      <w:r w:rsidR="004E6D6F">
        <w:rPr>
          <w:rFonts w:cs="Open Sans"/>
        </w:rPr>
        <w:t xml:space="preserve">right </w:t>
      </w:r>
      <w:r w:rsidR="00924A7C">
        <w:rPr>
          <w:rFonts w:cs="Open Sans"/>
        </w:rPr>
        <w:t xml:space="preserve">to be treated with humanity and with respect for </w:t>
      </w:r>
      <w:r w:rsidR="00E916DE">
        <w:rPr>
          <w:rFonts w:cs="Open Sans"/>
        </w:rPr>
        <w:t>his</w:t>
      </w:r>
      <w:r w:rsidR="00924A7C">
        <w:rPr>
          <w:rFonts w:cs="Open Sans"/>
        </w:rPr>
        <w:t xml:space="preserve"> inherent dignity. </w:t>
      </w:r>
      <w:r w:rsidR="00F62A1C">
        <w:rPr>
          <w:rFonts w:cs="Open Sans"/>
        </w:rPr>
        <w:t xml:space="preserve">Pursuant to s 29(2)(b) of the AHRC Act, I have included three recommendations </w:t>
      </w:r>
      <w:r w:rsidR="00356CCA">
        <w:rPr>
          <w:rFonts w:cs="Open Sans"/>
        </w:rPr>
        <w:t xml:space="preserve">to the Department </w:t>
      </w:r>
      <w:r w:rsidR="00F62A1C">
        <w:rPr>
          <w:rFonts w:cs="Open Sans"/>
        </w:rPr>
        <w:t xml:space="preserve">in the report. </w:t>
      </w:r>
    </w:p>
    <w:p w14:paraId="61BD83B0" w14:textId="3026AB2C" w:rsidR="005625DE" w:rsidRDefault="005625DE">
      <w:pPr>
        <w:spacing w:before="0" w:after="0"/>
        <w:rPr>
          <w:rFonts w:cs="Open Sans"/>
        </w:rPr>
      </w:pPr>
    </w:p>
    <w:p w14:paraId="396284E8" w14:textId="66499AE1" w:rsidR="009B627D" w:rsidRDefault="009B627D">
      <w:pPr>
        <w:spacing w:before="0" w:after="0"/>
        <w:rPr>
          <w:rFonts w:cs="Open Sans"/>
        </w:rPr>
      </w:pPr>
      <w:r>
        <w:rPr>
          <w:rFonts w:cs="Open Sans"/>
        </w:rPr>
        <w:t xml:space="preserve">On </w:t>
      </w:r>
      <w:r w:rsidR="003B2382">
        <w:rPr>
          <w:rFonts w:cs="Open Sans"/>
        </w:rPr>
        <w:t>29 September 2021</w:t>
      </w:r>
      <w:r>
        <w:rPr>
          <w:rFonts w:cs="Open Sans"/>
        </w:rPr>
        <w:t xml:space="preserve">, I provided the Department with a notice issued under </w:t>
      </w:r>
      <w:r w:rsidR="00310EFD">
        <w:rPr>
          <w:rFonts w:cs="Open Sans"/>
        </w:rPr>
        <w:t>s </w:t>
      </w:r>
      <w:r>
        <w:rPr>
          <w:rFonts w:cs="Open Sans"/>
        </w:rPr>
        <w:t xml:space="preserve">29(2) of the AHRC Act setting out my findings </w:t>
      </w:r>
      <w:r w:rsidR="008D17DA">
        <w:rPr>
          <w:rFonts w:cs="Open Sans"/>
        </w:rPr>
        <w:t xml:space="preserve">and recommendations in this matter. The Department provided its response to my findings and recommendations on </w:t>
      </w:r>
      <w:r w:rsidR="003B2382">
        <w:rPr>
          <w:rFonts w:cs="Open Sans"/>
        </w:rPr>
        <w:t>24 February 2022</w:t>
      </w:r>
      <w:r w:rsidR="008D17DA">
        <w:rPr>
          <w:rFonts w:cs="Open Sans"/>
        </w:rPr>
        <w:t>. That response can be found in Part 9 of this report.</w:t>
      </w:r>
    </w:p>
    <w:p w14:paraId="7EF7D7F4" w14:textId="785CEFEA" w:rsidR="005F391B" w:rsidRDefault="005F391B" w:rsidP="005F391B">
      <w:pPr>
        <w:rPr>
          <w:rFonts w:cs="Open Sans"/>
        </w:rPr>
      </w:pPr>
      <w:r>
        <w:rPr>
          <w:rFonts w:cs="Open Sans"/>
        </w:rPr>
        <w:t>I enclose a copy of my report.</w:t>
      </w:r>
    </w:p>
    <w:p w14:paraId="4695D313" w14:textId="77777777" w:rsidR="005F391B" w:rsidRDefault="005F391B" w:rsidP="005F391B">
      <w:pPr>
        <w:rPr>
          <w:rFonts w:cs="Open Sans"/>
        </w:rPr>
      </w:pPr>
      <w:r>
        <w:rPr>
          <w:rFonts w:cs="Open Sans"/>
        </w:rPr>
        <w:t>Yours sincerely,</w:t>
      </w:r>
    </w:p>
    <w:p w14:paraId="7CCF6953" w14:textId="6E2D31CF" w:rsidR="005F391B" w:rsidRDefault="26D2EE6F" w:rsidP="005F391B">
      <w:r>
        <w:rPr>
          <w:noProof/>
        </w:rPr>
        <w:drawing>
          <wp:inline distT="0" distB="0" distL="0" distR="0" wp14:anchorId="277C3E49" wp14:editId="21118214">
            <wp:extent cx="2305210" cy="571500"/>
            <wp:effectExtent l="0" t="0" r="0" b="0"/>
            <wp:docPr id="1105779196" name="Picture 110577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05210" cy="571500"/>
                    </a:xfrm>
                    <a:prstGeom prst="rect">
                      <a:avLst/>
                    </a:prstGeom>
                  </pic:spPr>
                </pic:pic>
              </a:graphicData>
            </a:graphic>
          </wp:inline>
        </w:drawing>
      </w:r>
    </w:p>
    <w:p w14:paraId="3C0884CC" w14:textId="77777777" w:rsidR="005F391B" w:rsidRDefault="005F391B" w:rsidP="005F391B">
      <w:pPr>
        <w:rPr>
          <w:rFonts w:cs="Open Sans"/>
          <w:b/>
          <w:bCs/>
        </w:rPr>
      </w:pPr>
      <w:r>
        <w:rPr>
          <w:rFonts w:cs="Open Sans"/>
        </w:rPr>
        <w:t>Emeritus Professor Rosalind Croucher AM</w:t>
      </w:r>
      <w:r>
        <w:rPr>
          <w:rFonts w:cs="Open Sans"/>
        </w:rPr>
        <w:br/>
      </w:r>
      <w:r>
        <w:rPr>
          <w:rFonts w:cs="Open Sans"/>
          <w:b/>
          <w:bCs/>
        </w:rPr>
        <w:t xml:space="preserve">President </w:t>
      </w:r>
    </w:p>
    <w:p w14:paraId="213680C0" w14:textId="4C3D5CB1" w:rsidR="005F391B" w:rsidRDefault="005F391B" w:rsidP="005F391B">
      <w:pPr>
        <w:rPr>
          <w:rFonts w:cs="Open Sans"/>
        </w:rPr>
      </w:pPr>
      <w:r>
        <w:rPr>
          <w:rFonts w:cs="Open Sans"/>
        </w:rPr>
        <w:t>Australian Human Rights Commission</w:t>
      </w:r>
      <w:r>
        <w:rPr>
          <w:rFonts w:cs="Open Sans"/>
        </w:rPr>
        <w:br/>
      </w:r>
      <w:r w:rsidR="00776856" w:rsidRPr="00776856">
        <w:rPr>
          <w:rFonts w:cs="Open Sans"/>
        </w:rPr>
        <w:t>May</w:t>
      </w:r>
      <w:r w:rsidRPr="00776856">
        <w:rPr>
          <w:rFonts w:cs="Open Sans"/>
        </w:rPr>
        <w:t xml:space="preserve"> 2022</w:t>
      </w:r>
      <w:r>
        <w:rPr>
          <w:rFonts w:cs="Open Sans"/>
        </w:rPr>
        <w:t xml:space="preserve"> </w:t>
      </w:r>
    </w:p>
    <w:sdt>
      <w:sdtPr>
        <w:rPr>
          <w:b/>
        </w:rPr>
        <w:id w:val="309370798"/>
        <w:docPartObj>
          <w:docPartGallery w:val="Table of Contents"/>
          <w:docPartUnique/>
        </w:docPartObj>
      </w:sdtPr>
      <w:sdtEndPr>
        <w:rPr>
          <w:b w:val="0"/>
          <w:bCs/>
          <w:noProof/>
        </w:rPr>
      </w:sdtEndPr>
      <w:sdtContent>
        <w:p w14:paraId="3502D6B0" w14:textId="7F84B591" w:rsidR="00493316" w:rsidRPr="00DD49A7" w:rsidRDefault="00493316" w:rsidP="00AA4D44">
          <w:pPr>
            <w:spacing w:before="0" w:after="0"/>
            <w:rPr>
              <w:b/>
              <w:bCs/>
            </w:rPr>
          </w:pPr>
          <w:r w:rsidRPr="00DD49A7">
            <w:rPr>
              <w:b/>
              <w:bCs/>
            </w:rPr>
            <w:t>Contents</w:t>
          </w:r>
        </w:p>
        <w:p w14:paraId="3E873CEC" w14:textId="778D618C" w:rsidR="00493316" w:rsidRDefault="00493316">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98851985" w:history="1">
            <w:r w:rsidRPr="008E13B1">
              <w:rPr>
                <w:rStyle w:val="Hyperlink"/>
                <w:rFonts w:cs="Open Sans"/>
              </w:rPr>
              <w:t>1</w:t>
            </w:r>
            <w:r>
              <w:rPr>
                <w:rFonts w:asciiTheme="minorHAnsi" w:eastAsiaTheme="minorEastAsia" w:hAnsiTheme="minorHAnsi" w:cstheme="minorBidi"/>
                <w:b w:val="0"/>
                <w:sz w:val="22"/>
                <w:szCs w:val="22"/>
              </w:rPr>
              <w:tab/>
            </w:r>
            <w:r w:rsidRPr="008E13B1">
              <w:rPr>
                <w:rStyle w:val="Hyperlink"/>
                <w:rFonts w:cs="Open Sans"/>
              </w:rPr>
              <w:t>Introduction to this inquiry</w:t>
            </w:r>
            <w:r>
              <w:rPr>
                <w:webHidden/>
              </w:rPr>
              <w:tab/>
            </w:r>
            <w:r>
              <w:rPr>
                <w:webHidden/>
              </w:rPr>
              <w:fldChar w:fldCharType="begin"/>
            </w:r>
            <w:r>
              <w:rPr>
                <w:webHidden/>
              </w:rPr>
              <w:instrText xml:space="preserve"> PAGEREF _Toc98851985 \h </w:instrText>
            </w:r>
            <w:r>
              <w:rPr>
                <w:webHidden/>
              </w:rPr>
            </w:r>
            <w:r>
              <w:rPr>
                <w:webHidden/>
              </w:rPr>
              <w:fldChar w:fldCharType="separate"/>
            </w:r>
            <w:r w:rsidR="00322E79">
              <w:rPr>
                <w:webHidden/>
              </w:rPr>
              <w:t>5</w:t>
            </w:r>
            <w:r>
              <w:rPr>
                <w:webHidden/>
              </w:rPr>
              <w:fldChar w:fldCharType="end"/>
            </w:r>
          </w:hyperlink>
        </w:p>
        <w:p w14:paraId="6538F184" w14:textId="06C3E222" w:rsidR="00493316" w:rsidRDefault="00214CD4">
          <w:pPr>
            <w:pStyle w:val="TOC1"/>
            <w:rPr>
              <w:rFonts w:asciiTheme="minorHAnsi" w:eastAsiaTheme="minorEastAsia" w:hAnsiTheme="minorHAnsi" w:cstheme="minorBidi"/>
              <w:b w:val="0"/>
              <w:sz w:val="22"/>
              <w:szCs w:val="22"/>
            </w:rPr>
          </w:pPr>
          <w:hyperlink w:anchor="_Toc98851986" w:history="1">
            <w:r w:rsidR="00493316" w:rsidRPr="008E13B1">
              <w:rPr>
                <w:rStyle w:val="Hyperlink"/>
                <w:rFonts w:cs="Open Sans"/>
              </w:rPr>
              <w:t>2</w:t>
            </w:r>
            <w:r w:rsidR="00493316">
              <w:rPr>
                <w:rFonts w:asciiTheme="minorHAnsi" w:eastAsiaTheme="minorEastAsia" w:hAnsiTheme="minorHAnsi" w:cstheme="minorBidi"/>
                <w:b w:val="0"/>
                <w:sz w:val="22"/>
                <w:szCs w:val="22"/>
              </w:rPr>
              <w:tab/>
            </w:r>
            <w:r w:rsidR="00493316" w:rsidRPr="008E13B1">
              <w:rPr>
                <w:rStyle w:val="Hyperlink"/>
                <w:rFonts w:cs="Open Sans"/>
              </w:rPr>
              <w:t>Summary of findings and recommendations</w:t>
            </w:r>
            <w:r w:rsidR="00493316">
              <w:rPr>
                <w:webHidden/>
              </w:rPr>
              <w:tab/>
            </w:r>
            <w:r w:rsidR="00493316">
              <w:rPr>
                <w:webHidden/>
              </w:rPr>
              <w:fldChar w:fldCharType="begin"/>
            </w:r>
            <w:r w:rsidR="00493316">
              <w:rPr>
                <w:webHidden/>
              </w:rPr>
              <w:instrText xml:space="preserve"> PAGEREF _Toc98851986 \h </w:instrText>
            </w:r>
            <w:r w:rsidR="00493316">
              <w:rPr>
                <w:webHidden/>
              </w:rPr>
            </w:r>
            <w:r w:rsidR="00493316">
              <w:rPr>
                <w:webHidden/>
              </w:rPr>
              <w:fldChar w:fldCharType="separate"/>
            </w:r>
            <w:r w:rsidR="00322E79">
              <w:rPr>
                <w:webHidden/>
              </w:rPr>
              <w:t>5</w:t>
            </w:r>
            <w:r w:rsidR="00493316">
              <w:rPr>
                <w:webHidden/>
              </w:rPr>
              <w:fldChar w:fldCharType="end"/>
            </w:r>
          </w:hyperlink>
        </w:p>
        <w:p w14:paraId="54962F3E" w14:textId="22D5CBE2" w:rsidR="00493316" w:rsidRDefault="00214CD4">
          <w:pPr>
            <w:pStyle w:val="TOC1"/>
            <w:rPr>
              <w:rFonts w:asciiTheme="minorHAnsi" w:eastAsiaTheme="minorEastAsia" w:hAnsiTheme="minorHAnsi" w:cstheme="minorBidi"/>
              <w:b w:val="0"/>
              <w:sz w:val="22"/>
              <w:szCs w:val="22"/>
            </w:rPr>
          </w:pPr>
          <w:hyperlink w:anchor="_Toc98851987" w:history="1">
            <w:r w:rsidR="00493316" w:rsidRPr="008E13B1">
              <w:rPr>
                <w:rStyle w:val="Hyperlink"/>
                <w:rFonts w:cs="Open Sans"/>
              </w:rPr>
              <w:t>3</w:t>
            </w:r>
            <w:r w:rsidR="00493316">
              <w:rPr>
                <w:rFonts w:asciiTheme="minorHAnsi" w:eastAsiaTheme="minorEastAsia" w:hAnsiTheme="minorHAnsi" w:cstheme="minorBidi"/>
                <w:b w:val="0"/>
                <w:sz w:val="22"/>
                <w:szCs w:val="22"/>
              </w:rPr>
              <w:tab/>
            </w:r>
            <w:r w:rsidR="00493316" w:rsidRPr="008E13B1">
              <w:rPr>
                <w:rStyle w:val="Hyperlink"/>
                <w:rFonts w:cs="Open Sans"/>
              </w:rPr>
              <w:t>Complaint</w:t>
            </w:r>
            <w:r w:rsidR="00493316">
              <w:rPr>
                <w:webHidden/>
              </w:rPr>
              <w:tab/>
            </w:r>
            <w:r w:rsidR="00493316">
              <w:rPr>
                <w:webHidden/>
              </w:rPr>
              <w:fldChar w:fldCharType="begin"/>
            </w:r>
            <w:r w:rsidR="00493316">
              <w:rPr>
                <w:webHidden/>
              </w:rPr>
              <w:instrText xml:space="preserve"> PAGEREF _Toc98851987 \h </w:instrText>
            </w:r>
            <w:r w:rsidR="00493316">
              <w:rPr>
                <w:webHidden/>
              </w:rPr>
            </w:r>
            <w:r w:rsidR="00493316">
              <w:rPr>
                <w:webHidden/>
              </w:rPr>
              <w:fldChar w:fldCharType="separate"/>
            </w:r>
            <w:r w:rsidR="00322E79">
              <w:rPr>
                <w:webHidden/>
              </w:rPr>
              <w:t>6</w:t>
            </w:r>
            <w:r w:rsidR="00493316">
              <w:rPr>
                <w:webHidden/>
              </w:rPr>
              <w:fldChar w:fldCharType="end"/>
            </w:r>
          </w:hyperlink>
        </w:p>
        <w:p w14:paraId="209F32A5" w14:textId="0F70B457" w:rsidR="00493316" w:rsidRDefault="00214CD4">
          <w:pPr>
            <w:pStyle w:val="TOC1"/>
            <w:rPr>
              <w:rFonts w:asciiTheme="minorHAnsi" w:eastAsiaTheme="minorEastAsia" w:hAnsiTheme="minorHAnsi" w:cstheme="minorBidi"/>
              <w:b w:val="0"/>
              <w:sz w:val="22"/>
              <w:szCs w:val="22"/>
            </w:rPr>
          </w:pPr>
          <w:hyperlink w:anchor="_Toc98851988" w:history="1">
            <w:r w:rsidR="00493316" w:rsidRPr="008E13B1">
              <w:rPr>
                <w:rStyle w:val="Hyperlink"/>
              </w:rPr>
              <w:t>4</w:t>
            </w:r>
            <w:r w:rsidR="00493316">
              <w:rPr>
                <w:rFonts w:asciiTheme="minorHAnsi" w:eastAsiaTheme="minorEastAsia" w:hAnsiTheme="minorHAnsi" w:cstheme="minorBidi"/>
                <w:b w:val="0"/>
                <w:sz w:val="22"/>
                <w:szCs w:val="22"/>
              </w:rPr>
              <w:tab/>
            </w:r>
            <w:r w:rsidR="00493316" w:rsidRPr="008E13B1">
              <w:rPr>
                <w:rStyle w:val="Hyperlink"/>
              </w:rPr>
              <w:t>Conciliation</w:t>
            </w:r>
            <w:r w:rsidR="00493316">
              <w:rPr>
                <w:webHidden/>
              </w:rPr>
              <w:tab/>
            </w:r>
            <w:r w:rsidR="00493316">
              <w:rPr>
                <w:webHidden/>
              </w:rPr>
              <w:fldChar w:fldCharType="begin"/>
            </w:r>
            <w:r w:rsidR="00493316">
              <w:rPr>
                <w:webHidden/>
              </w:rPr>
              <w:instrText xml:space="preserve"> PAGEREF _Toc98851988 \h </w:instrText>
            </w:r>
            <w:r w:rsidR="00493316">
              <w:rPr>
                <w:webHidden/>
              </w:rPr>
            </w:r>
            <w:r w:rsidR="00493316">
              <w:rPr>
                <w:webHidden/>
              </w:rPr>
              <w:fldChar w:fldCharType="separate"/>
            </w:r>
            <w:r w:rsidR="00322E79">
              <w:rPr>
                <w:webHidden/>
              </w:rPr>
              <w:t>8</w:t>
            </w:r>
            <w:r w:rsidR="00493316">
              <w:rPr>
                <w:webHidden/>
              </w:rPr>
              <w:fldChar w:fldCharType="end"/>
            </w:r>
          </w:hyperlink>
        </w:p>
        <w:p w14:paraId="1666A49B" w14:textId="65437B06" w:rsidR="00493316" w:rsidRDefault="00214CD4">
          <w:pPr>
            <w:pStyle w:val="TOC1"/>
            <w:rPr>
              <w:rFonts w:asciiTheme="minorHAnsi" w:eastAsiaTheme="minorEastAsia" w:hAnsiTheme="minorHAnsi" w:cstheme="minorBidi"/>
              <w:b w:val="0"/>
              <w:sz w:val="22"/>
              <w:szCs w:val="22"/>
            </w:rPr>
          </w:pPr>
          <w:hyperlink w:anchor="_Toc98851989" w:history="1">
            <w:r w:rsidR="00493316" w:rsidRPr="008E13B1">
              <w:rPr>
                <w:rStyle w:val="Hyperlink"/>
              </w:rPr>
              <w:t>5</w:t>
            </w:r>
            <w:r w:rsidR="00493316">
              <w:rPr>
                <w:rFonts w:asciiTheme="minorHAnsi" w:eastAsiaTheme="minorEastAsia" w:hAnsiTheme="minorHAnsi" w:cstheme="minorBidi"/>
                <w:b w:val="0"/>
                <w:sz w:val="22"/>
                <w:szCs w:val="22"/>
              </w:rPr>
              <w:tab/>
            </w:r>
            <w:r w:rsidR="00493316" w:rsidRPr="008E13B1">
              <w:rPr>
                <w:rStyle w:val="Hyperlink"/>
              </w:rPr>
              <w:t>Procedural history of this inquiry</w:t>
            </w:r>
            <w:r w:rsidR="00493316">
              <w:rPr>
                <w:webHidden/>
              </w:rPr>
              <w:tab/>
            </w:r>
            <w:r w:rsidR="00493316">
              <w:rPr>
                <w:webHidden/>
              </w:rPr>
              <w:fldChar w:fldCharType="begin"/>
            </w:r>
            <w:r w:rsidR="00493316">
              <w:rPr>
                <w:webHidden/>
              </w:rPr>
              <w:instrText xml:space="preserve"> PAGEREF _Toc98851989 \h </w:instrText>
            </w:r>
            <w:r w:rsidR="00493316">
              <w:rPr>
                <w:webHidden/>
              </w:rPr>
            </w:r>
            <w:r w:rsidR="00493316">
              <w:rPr>
                <w:webHidden/>
              </w:rPr>
              <w:fldChar w:fldCharType="separate"/>
            </w:r>
            <w:r w:rsidR="00322E79">
              <w:rPr>
                <w:webHidden/>
              </w:rPr>
              <w:t>8</w:t>
            </w:r>
            <w:r w:rsidR="00493316">
              <w:rPr>
                <w:webHidden/>
              </w:rPr>
              <w:fldChar w:fldCharType="end"/>
            </w:r>
          </w:hyperlink>
        </w:p>
        <w:p w14:paraId="7AC59EC7" w14:textId="15A9BE36" w:rsidR="00493316" w:rsidRDefault="00214CD4">
          <w:pPr>
            <w:pStyle w:val="TOC1"/>
            <w:rPr>
              <w:rFonts w:asciiTheme="minorHAnsi" w:eastAsiaTheme="minorEastAsia" w:hAnsiTheme="minorHAnsi" w:cstheme="minorBidi"/>
              <w:b w:val="0"/>
              <w:sz w:val="22"/>
              <w:szCs w:val="22"/>
            </w:rPr>
          </w:pPr>
          <w:hyperlink w:anchor="_Toc98851990" w:history="1">
            <w:r w:rsidR="00493316" w:rsidRPr="008E13B1">
              <w:rPr>
                <w:rStyle w:val="Hyperlink"/>
                <w:rFonts w:cs="Open Sans"/>
              </w:rPr>
              <w:t>6</w:t>
            </w:r>
            <w:r w:rsidR="00493316">
              <w:rPr>
                <w:rFonts w:asciiTheme="minorHAnsi" w:eastAsiaTheme="minorEastAsia" w:hAnsiTheme="minorHAnsi" w:cstheme="minorBidi"/>
                <w:b w:val="0"/>
                <w:sz w:val="22"/>
                <w:szCs w:val="22"/>
              </w:rPr>
              <w:tab/>
            </w:r>
            <w:r w:rsidR="00493316" w:rsidRPr="008E13B1">
              <w:rPr>
                <w:rStyle w:val="Hyperlink"/>
                <w:rFonts w:cs="Open Sans"/>
              </w:rPr>
              <w:t>Legislative framework</w:t>
            </w:r>
            <w:r w:rsidR="00493316">
              <w:rPr>
                <w:webHidden/>
              </w:rPr>
              <w:tab/>
            </w:r>
            <w:r w:rsidR="00493316">
              <w:rPr>
                <w:webHidden/>
              </w:rPr>
              <w:fldChar w:fldCharType="begin"/>
            </w:r>
            <w:r w:rsidR="00493316">
              <w:rPr>
                <w:webHidden/>
              </w:rPr>
              <w:instrText xml:space="preserve"> PAGEREF _Toc98851990 \h </w:instrText>
            </w:r>
            <w:r w:rsidR="00493316">
              <w:rPr>
                <w:webHidden/>
              </w:rPr>
            </w:r>
            <w:r w:rsidR="00493316">
              <w:rPr>
                <w:webHidden/>
              </w:rPr>
              <w:fldChar w:fldCharType="separate"/>
            </w:r>
            <w:r w:rsidR="00322E79">
              <w:rPr>
                <w:webHidden/>
              </w:rPr>
              <w:t>8</w:t>
            </w:r>
            <w:r w:rsidR="00493316">
              <w:rPr>
                <w:webHidden/>
              </w:rPr>
              <w:fldChar w:fldCharType="end"/>
            </w:r>
          </w:hyperlink>
        </w:p>
        <w:p w14:paraId="0A693BA5" w14:textId="1E660AB8" w:rsidR="00493316" w:rsidRDefault="00214CD4">
          <w:pPr>
            <w:pStyle w:val="TOC2"/>
            <w:rPr>
              <w:rFonts w:asciiTheme="minorHAnsi" w:eastAsiaTheme="minorEastAsia" w:hAnsiTheme="minorHAnsi" w:cstheme="minorBidi"/>
              <w:b w:val="0"/>
              <w:i w:val="0"/>
              <w:sz w:val="22"/>
              <w:szCs w:val="22"/>
            </w:rPr>
          </w:pPr>
          <w:hyperlink w:anchor="_Toc98851991" w:history="1">
            <w:r w:rsidR="00493316" w:rsidRPr="008E13B1">
              <w:rPr>
                <w:rStyle w:val="Hyperlink"/>
                <w:rFonts w:cs="Open Sans"/>
              </w:rPr>
              <w:t>6.1</w:t>
            </w:r>
            <w:r w:rsidR="00493316">
              <w:rPr>
                <w:rFonts w:asciiTheme="minorHAnsi" w:eastAsiaTheme="minorEastAsia" w:hAnsiTheme="minorHAnsi" w:cstheme="minorBidi"/>
                <w:b w:val="0"/>
                <w:i w:val="0"/>
                <w:sz w:val="22"/>
                <w:szCs w:val="22"/>
              </w:rPr>
              <w:tab/>
            </w:r>
            <w:r w:rsidR="00493316" w:rsidRPr="008E13B1">
              <w:rPr>
                <w:rStyle w:val="Hyperlink"/>
                <w:rFonts w:cs="Open Sans"/>
              </w:rPr>
              <w:t>Functions of the Commission</w:t>
            </w:r>
            <w:r w:rsidR="00493316">
              <w:rPr>
                <w:webHidden/>
              </w:rPr>
              <w:tab/>
            </w:r>
            <w:r w:rsidR="00493316">
              <w:rPr>
                <w:webHidden/>
              </w:rPr>
              <w:fldChar w:fldCharType="begin"/>
            </w:r>
            <w:r w:rsidR="00493316">
              <w:rPr>
                <w:webHidden/>
              </w:rPr>
              <w:instrText xml:space="preserve"> PAGEREF _Toc98851991 \h </w:instrText>
            </w:r>
            <w:r w:rsidR="00493316">
              <w:rPr>
                <w:webHidden/>
              </w:rPr>
            </w:r>
            <w:r w:rsidR="00493316">
              <w:rPr>
                <w:webHidden/>
              </w:rPr>
              <w:fldChar w:fldCharType="separate"/>
            </w:r>
            <w:r w:rsidR="00322E79">
              <w:rPr>
                <w:webHidden/>
              </w:rPr>
              <w:t>8</w:t>
            </w:r>
            <w:r w:rsidR="00493316">
              <w:rPr>
                <w:webHidden/>
              </w:rPr>
              <w:fldChar w:fldCharType="end"/>
            </w:r>
          </w:hyperlink>
        </w:p>
        <w:p w14:paraId="0221EC75" w14:textId="1F44C4F1" w:rsidR="00493316" w:rsidRDefault="00214CD4">
          <w:pPr>
            <w:pStyle w:val="TOC2"/>
            <w:rPr>
              <w:rFonts w:asciiTheme="minorHAnsi" w:eastAsiaTheme="minorEastAsia" w:hAnsiTheme="minorHAnsi" w:cstheme="minorBidi"/>
              <w:b w:val="0"/>
              <w:i w:val="0"/>
              <w:sz w:val="22"/>
              <w:szCs w:val="22"/>
            </w:rPr>
          </w:pPr>
          <w:hyperlink w:anchor="_Toc98851992" w:history="1">
            <w:r w:rsidR="00493316" w:rsidRPr="008E13B1">
              <w:rPr>
                <w:rStyle w:val="Hyperlink"/>
                <w:rFonts w:cs="Open Sans"/>
              </w:rPr>
              <w:t>6.2</w:t>
            </w:r>
            <w:r w:rsidR="00493316">
              <w:rPr>
                <w:rFonts w:asciiTheme="minorHAnsi" w:eastAsiaTheme="minorEastAsia" w:hAnsiTheme="minorHAnsi" w:cstheme="minorBidi"/>
                <w:b w:val="0"/>
                <w:i w:val="0"/>
                <w:sz w:val="22"/>
                <w:szCs w:val="22"/>
              </w:rPr>
              <w:tab/>
            </w:r>
            <w:r w:rsidR="00493316" w:rsidRPr="008E13B1">
              <w:rPr>
                <w:rStyle w:val="Hyperlink"/>
                <w:rFonts w:cs="Open Sans"/>
              </w:rPr>
              <w:t>What is an ‘act’ or ‘practice?</w:t>
            </w:r>
            <w:r w:rsidR="00493316">
              <w:rPr>
                <w:webHidden/>
              </w:rPr>
              <w:tab/>
            </w:r>
            <w:r w:rsidR="00493316">
              <w:rPr>
                <w:webHidden/>
              </w:rPr>
              <w:fldChar w:fldCharType="begin"/>
            </w:r>
            <w:r w:rsidR="00493316">
              <w:rPr>
                <w:webHidden/>
              </w:rPr>
              <w:instrText xml:space="preserve"> PAGEREF _Toc98851992 \h </w:instrText>
            </w:r>
            <w:r w:rsidR="00493316">
              <w:rPr>
                <w:webHidden/>
              </w:rPr>
            </w:r>
            <w:r w:rsidR="00493316">
              <w:rPr>
                <w:webHidden/>
              </w:rPr>
              <w:fldChar w:fldCharType="separate"/>
            </w:r>
            <w:r w:rsidR="00322E79">
              <w:rPr>
                <w:webHidden/>
              </w:rPr>
              <w:t>8</w:t>
            </w:r>
            <w:r w:rsidR="00493316">
              <w:rPr>
                <w:webHidden/>
              </w:rPr>
              <w:fldChar w:fldCharType="end"/>
            </w:r>
          </w:hyperlink>
        </w:p>
        <w:p w14:paraId="6A78EADD" w14:textId="4C2AC50E" w:rsidR="00493316" w:rsidRDefault="00214CD4">
          <w:pPr>
            <w:pStyle w:val="TOC2"/>
            <w:rPr>
              <w:rFonts w:asciiTheme="minorHAnsi" w:eastAsiaTheme="minorEastAsia" w:hAnsiTheme="minorHAnsi" w:cstheme="minorBidi"/>
              <w:b w:val="0"/>
              <w:i w:val="0"/>
              <w:sz w:val="22"/>
              <w:szCs w:val="22"/>
            </w:rPr>
          </w:pPr>
          <w:hyperlink w:anchor="_Toc98851993" w:history="1">
            <w:r w:rsidR="00493316" w:rsidRPr="008E13B1">
              <w:rPr>
                <w:rStyle w:val="Hyperlink"/>
                <w:rFonts w:cs="Open Sans"/>
              </w:rPr>
              <w:t>6.3</w:t>
            </w:r>
            <w:r w:rsidR="00493316">
              <w:rPr>
                <w:rFonts w:asciiTheme="minorHAnsi" w:eastAsiaTheme="minorEastAsia" w:hAnsiTheme="minorHAnsi" w:cstheme="minorBidi"/>
                <w:b w:val="0"/>
                <w:i w:val="0"/>
                <w:sz w:val="22"/>
                <w:szCs w:val="22"/>
              </w:rPr>
              <w:tab/>
            </w:r>
            <w:r w:rsidR="00493316" w:rsidRPr="008E13B1">
              <w:rPr>
                <w:rStyle w:val="Hyperlink"/>
                <w:rFonts w:cs="Open Sans"/>
              </w:rPr>
              <w:t>What is a human right?</w:t>
            </w:r>
            <w:r w:rsidR="00493316">
              <w:rPr>
                <w:webHidden/>
              </w:rPr>
              <w:tab/>
            </w:r>
            <w:r w:rsidR="00493316">
              <w:rPr>
                <w:webHidden/>
              </w:rPr>
              <w:fldChar w:fldCharType="begin"/>
            </w:r>
            <w:r w:rsidR="00493316">
              <w:rPr>
                <w:webHidden/>
              </w:rPr>
              <w:instrText xml:space="preserve"> PAGEREF _Toc98851993 \h </w:instrText>
            </w:r>
            <w:r w:rsidR="00493316">
              <w:rPr>
                <w:webHidden/>
              </w:rPr>
            </w:r>
            <w:r w:rsidR="00493316">
              <w:rPr>
                <w:webHidden/>
              </w:rPr>
              <w:fldChar w:fldCharType="separate"/>
            </w:r>
            <w:r w:rsidR="00322E79">
              <w:rPr>
                <w:webHidden/>
              </w:rPr>
              <w:t>9</w:t>
            </w:r>
            <w:r w:rsidR="00493316">
              <w:rPr>
                <w:webHidden/>
              </w:rPr>
              <w:fldChar w:fldCharType="end"/>
            </w:r>
          </w:hyperlink>
        </w:p>
        <w:p w14:paraId="3BD7207E" w14:textId="0361EED8" w:rsidR="00493316" w:rsidRDefault="00214CD4">
          <w:pPr>
            <w:pStyle w:val="TOC2"/>
            <w:rPr>
              <w:rFonts w:asciiTheme="minorHAnsi" w:eastAsiaTheme="minorEastAsia" w:hAnsiTheme="minorHAnsi" w:cstheme="minorBidi"/>
              <w:b w:val="0"/>
              <w:i w:val="0"/>
              <w:sz w:val="22"/>
              <w:szCs w:val="22"/>
            </w:rPr>
          </w:pPr>
          <w:hyperlink w:anchor="_Toc98851994" w:history="1">
            <w:r w:rsidR="00493316" w:rsidRPr="008E13B1">
              <w:rPr>
                <w:rStyle w:val="Hyperlink"/>
                <w:rFonts w:cs="Open Sans"/>
              </w:rPr>
              <w:t>6.4</w:t>
            </w:r>
            <w:r w:rsidR="00493316">
              <w:rPr>
                <w:rFonts w:asciiTheme="minorHAnsi" w:eastAsiaTheme="minorEastAsia" w:hAnsiTheme="minorHAnsi" w:cstheme="minorBidi"/>
                <w:b w:val="0"/>
                <w:i w:val="0"/>
                <w:sz w:val="22"/>
                <w:szCs w:val="22"/>
              </w:rPr>
              <w:tab/>
            </w:r>
            <w:r w:rsidR="00493316" w:rsidRPr="008E13B1">
              <w:rPr>
                <w:rStyle w:val="Hyperlink"/>
                <w:rFonts w:cs="Open Sans"/>
              </w:rPr>
              <w:t>Right of detainees to be treated with humanity and dignity</w:t>
            </w:r>
            <w:r w:rsidR="00493316">
              <w:rPr>
                <w:webHidden/>
              </w:rPr>
              <w:tab/>
            </w:r>
            <w:r w:rsidR="00493316">
              <w:rPr>
                <w:webHidden/>
              </w:rPr>
              <w:fldChar w:fldCharType="begin"/>
            </w:r>
            <w:r w:rsidR="00493316">
              <w:rPr>
                <w:webHidden/>
              </w:rPr>
              <w:instrText xml:space="preserve"> PAGEREF _Toc98851994 \h </w:instrText>
            </w:r>
            <w:r w:rsidR="00493316">
              <w:rPr>
                <w:webHidden/>
              </w:rPr>
            </w:r>
            <w:r w:rsidR="00493316">
              <w:rPr>
                <w:webHidden/>
              </w:rPr>
              <w:fldChar w:fldCharType="separate"/>
            </w:r>
            <w:r w:rsidR="00322E79">
              <w:rPr>
                <w:webHidden/>
              </w:rPr>
              <w:t>9</w:t>
            </w:r>
            <w:r w:rsidR="00493316">
              <w:rPr>
                <w:webHidden/>
              </w:rPr>
              <w:fldChar w:fldCharType="end"/>
            </w:r>
          </w:hyperlink>
        </w:p>
        <w:p w14:paraId="47064416" w14:textId="3000F3FC" w:rsidR="00493316" w:rsidRDefault="00214CD4">
          <w:pPr>
            <w:pStyle w:val="TOC1"/>
            <w:rPr>
              <w:rFonts w:asciiTheme="minorHAnsi" w:eastAsiaTheme="minorEastAsia" w:hAnsiTheme="minorHAnsi" w:cstheme="minorBidi"/>
              <w:b w:val="0"/>
              <w:sz w:val="22"/>
              <w:szCs w:val="22"/>
            </w:rPr>
          </w:pPr>
          <w:hyperlink w:anchor="_Toc98851995" w:history="1">
            <w:r w:rsidR="00493316" w:rsidRPr="008E13B1">
              <w:rPr>
                <w:rStyle w:val="Hyperlink"/>
                <w:rFonts w:cs="Open Sans"/>
              </w:rPr>
              <w:t>7</w:t>
            </w:r>
            <w:r w:rsidR="00493316">
              <w:rPr>
                <w:rFonts w:asciiTheme="minorHAnsi" w:eastAsiaTheme="minorEastAsia" w:hAnsiTheme="minorHAnsi" w:cstheme="minorBidi"/>
                <w:b w:val="0"/>
                <w:sz w:val="22"/>
                <w:szCs w:val="22"/>
              </w:rPr>
              <w:tab/>
            </w:r>
            <w:r w:rsidR="00493316" w:rsidRPr="008E13B1">
              <w:rPr>
                <w:rStyle w:val="Hyperlink"/>
                <w:rFonts w:cs="Open Sans"/>
              </w:rPr>
              <w:t>Findings</w:t>
            </w:r>
            <w:r w:rsidR="00493316">
              <w:rPr>
                <w:webHidden/>
              </w:rPr>
              <w:tab/>
            </w:r>
            <w:r w:rsidR="00493316">
              <w:rPr>
                <w:webHidden/>
              </w:rPr>
              <w:fldChar w:fldCharType="begin"/>
            </w:r>
            <w:r w:rsidR="00493316">
              <w:rPr>
                <w:webHidden/>
              </w:rPr>
              <w:instrText xml:space="preserve"> PAGEREF _Toc98851995 \h </w:instrText>
            </w:r>
            <w:r w:rsidR="00493316">
              <w:rPr>
                <w:webHidden/>
              </w:rPr>
            </w:r>
            <w:r w:rsidR="00493316">
              <w:rPr>
                <w:webHidden/>
              </w:rPr>
              <w:fldChar w:fldCharType="separate"/>
            </w:r>
            <w:r w:rsidR="00493316">
              <w:rPr>
                <w:webHidden/>
              </w:rPr>
              <w:t>11</w:t>
            </w:r>
            <w:r w:rsidR="00493316">
              <w:rPr>
                <w:webHidden/>
              </w:rPr>
              <w:fldChar w:fldCharType="end"/>
            </w:r>
          </w:hyperlink>
        </w:p>
        <w:p w14:paraId="566ED050" w14:textId="3187F4EA" w:rsidR="00493316" w:rsidRDefault="00214CD4">
          <w:pPr>
            <w:pStyle w:val="TOC1"/>
            <w:rPr>
              <w:rFonts w:asciiTheme="minorHAnsi" w:eastAsiaTheme="minorEastAsia" w:hAnsiTheme="minorHAnsi" w:cstheme="minorBidi"/>
              <w:b w:val="0"/>
              <w:sz w:val="22"/>
              <w:szCs w:val="22"/>
            </w:rPr>
          </w:pPr>
          <w:hyperlink w:anchor="_Toc98851996" w:history="1">
            <w:r w:rsidR="00493316" w:rsidRPr="008E13B1">
              <w:rPr>
                <w:rStyle w:val="Hyperlink"/>
                <w:rFonts w:cs="Open Sans"/>
              </w:rPr>
              <w:t>8</w:t>
            </w:r>
            <w:r w:rsidR="00493316">
              <w:rPr>
                <w:rFonts w:asciiTheme="minorHAnsi" w:eastAsiaTheme="minorEastAsia" w:hAnsiTheme="minorHAnsi" w:cstheme="minorBidi"/>
                <w:b w:val="0"/>
                <w:sz w:val="22"/>
                <w:szCs w:val="22"/>
              </w:rPr>
              <w:tab/>
            </w:r>
            <w:r w:rsidR="00493316" w:rsidRPr="008E13B1">
              <w:rPr>
                <w:rStyle w:val="Hyperlink"/>
                <w:rFonts w:cs="Open Sans"/>
              </w:rPr>
              <w:t>Recommendations</w:t>
            </w:r>
            <w:r w:rsidR="00493316">
              <w:rPr>
                <w:webHidden/>
              </w:rPr>
              <w:tab/>
            </w:r>
            <w:r w:rsidR="00493316">
              <w:rPr>
                <w:webHidden/>
              </w:rPr>
              <w:fldChar w:fldCharType="begin"/>
            </w:r>
            <w:r w:rsidR="00493316">
              <w:rPr>
                <w:webHidden/>
              </w:rPr>
              <w:instrText xml:space="preserve"> PAGEREF _Toc98851996 \h </w:instrText>
            </w:r>
            <w:r w:rsidR="00493316">
              <w:rPr>
                <w:webHidden/>
              </w:rPr>
            </w:r>
            <w:r w:rsidR="00493316">
              <w:rPr>
                <w:webHidden/>
              </w:rPr>
              <w:fldChar w:fldCharType="separate"/>
            </w:r>
            <w:r w:rsidR="00493316">
              <w:rPr>
                <w:webHidden/>
              </w:rPr>
              <w:t>15</w:t>
            </w:r>
            <w:r w:rsidR="00493316">
              <w:rPr>
                <w:webHidden/>
              </w:rPr>
              <w:fldChar w:fldCharType="end"/>
            </w:r>
          </w:hyperlink>
        </w:p>
        <w:p w14:paraId="743A8279" w14:textId="63C45413" w:rsidR="00493316" w:rsidRDefault="00214CD4">
          <w:pPr>
            <w:pStyle w:val="TOC1"/>
            <w:rPr>
              <w:rFonts w:asciiTheme="minorHAnsi" w:eastAsiaTheme="minorEastAsia" w:hAnsiTheme="minorHAnsi" w:cstheme="minorBidi"/>
              <w:b w:val="0"/>
              <w:sz w:val="22"/>
              <w:szCs w:val="22"/>
            </w:rPr>
          </w:pPr>
          <w:hyperlink w:anchor="_Toc98851997" w:history="1">
            <w:r w:rsidR="00493316" w:rsidRPr="008E13B1">
              <w:rPr>
                <w:rStyle w:val="Hyperlink"/>
                <w:rFonts w:cs="Open Sans"/>
              </w:rPr>
              <w:t>9</w:t>
            </w:r>
            <w:r w:rsidR="00493316">
              <w:rPr>
                <w:rFonts w:asciiTheme="minorHAnsi" w:eastAsiaTheme="minorEastAsia" w:hAnsiTheme="minorHAnsi" w:cstheme="minorBidi"/>
                <w:b w:val="0"/>
                <w:sz w:val="22"/>
                <w:szCs w:val="22"/>
              </w:rPr>
              <w:tab/>
            </w:r>
            <w:r w:rsidR="00493316" w:rsidRPr="008E13B1">
              <w:rPr>
                <w:rStyle w:val="Hyperlink"/>
                <w:rFonts w:cs="Open Sans"/>
              </w:rPr>
              <w:t>The Department’s response to my findings and recommendations</w:t>
            </w:r>
            <w:r w:rsidR="00493316">
              <w:rPr>
                <w:webHidden/>
              </w:rPr>
              <w:tab/>
            </w:r>
            <w:r w:rsidR="00493316">
              <w:rPr>
                <w:webHidden/>
              </w:rPr>
              <w:fldChar w:fldCharType="begin"/>
            </w:r>
            <w:r w:rsidR="00493316">
              <w:rPr>
                <w:webHidden/>
              </w:rPr>
              <w:instrText xml:space="preserve"> PAGEREF _Toc98851997 \h </w:instrText>
            </w:r>
            <w:r w:rsidR="00493316">
              <w:rPr>
                <w:webHidden/>
              </w:rPr>
            </w:r>
            <w:r w:rsidR="00493316">
              <w:rPr>
                <w:webHidden/>
              </w:rPr>
              <w:fldChar w:fldCharType="separate"/>
            </w:r>
            <w:r w:rsidR="00493316">
              <w:rPr>
                <w:webHidden/>
              </w:rPr>
              <w:t>16</w:t>
            </w:r>
            <w:r w:rsidR="00493316">
              <w:rPr>
                <w:webHidden/>
              </w:rPr>
              <w:fldChar w:fldCharType="end"/>
            </w:r>
          </w:hyperlink>
        </w:p>
        <w:p w14:paraId="48F2E26C" w14:textId="47939C99" w:rsidR="00493316" w:rsidRDefault="00493316">
          <w:r>
            <w:rPr>
              <w:b/>
              <w:bCs/>
              <w:noProof/>
            </w:rPr>
            <w:fldChar w:fldCharType="end"/>
          </w:r>
        </w:p>
      </w:sdtContent>
    </w:sdt>
    <w:p w14:paraId="3B316B5A" w14:textId="757ECD44" w:rsidR="005F391B" w:rsidRDefault="005F391B" w:rsidP="005F391B">
      <w:pPr>
        <w:pStyle w:val="Heading1"/>
        <w:numPr>
          <w:ilvl w:val="0"/>
          <w:numId w:val="0"/>
        </w:numPr>
        <w:ind w:left="851" w:hanging="851"/>
      </w:pPr>
    </w:p>
    <w:p w14:paraId="7D0B81ED" w14:textId="77777777" w:rsidR="005F391B" w:rsidRDefault="005F391B">
      <w:pPr>
        <w:spacing w:before="0" w:after="0"/>
        <w:rPr>
          <w:b/>
          <w:bCs/>
          <w:sz w:val="36"/>
          <w:szCs w:val="28"/>
        </w:rPr>
      </w:pPr>
      <w:r>
        <w:br w:type="page"/>
      </w:r>
    </w:p>
    <w:p w14:paraId="1CB5E977" w14:textId="77777777" w:rsidR="005F391B" w:rsidRPr="00E95FE0" w:rsidRDefault="005F391B" w:rsidP="0002529B">
      <w:pPr>
        <w:pStyle w:val="AHRCHeading1"/>
      </w:pPr>
      <w:bookmarkStart w:id="1" w:name="_Toc452472689"/>
      <w:bookmarkStart w:id="2" w:name="_Toc487445596"/>
      <w:bookmarkStart w:id="3" w:name="_Toc487531381"/>
      <w:bookmarkStart w:id="4" w:name="_Toc487531400"/>
      <w:bookmarkStart w:id="5" w:name="_Toc487531470"/>
      <w:bookmarkStart w:id="6" w:name="_Toc487531590"/>
      <w:bookmarkStart w:id="7" w:name="_Toc83845011"/>
      <w:bookmarkStart w:id="8" w:name="_Toc98851985"/>
      <w:r w:rsidRPr="00E95FE0">
        <w:lastRenderedPageBreak/>
        <w:t>Introduction to this inquiry</w:t>
      </w:r>
      <w:bookmarkEnd w:id="1"/>
      <w:bookmarkEnd w:id="2"/>
      <w:bookmarkEnd w:id="3"/>
      <w:bookmarkEnd w:id="4"/>
      <w:bookmarkEnd w:id="5"/>
      <w:bookmarkEnd w:id="6"/>
      <w:bookmarkEnd w:id="7"/>
      <w:bookmarkEnd w:id="8"/>
      <w:r w:rsidRPr="00E95FE0">
        <w:t xml:space="preserve"> </w:t>
      </w:r>
    </w:p>
    <w:p w14:paraId="09CA3773" w14:textId="1EB9203A" w:rsidR="005F391B" w:rsidRDefault="005F391B" w:rsidP="009A225A">
      <w:pPr>
        <w:numPr>
          <w:ilvl w:val="0"/>
          <w:numId w:val="20"/>
        </w:numPr>
        <w:rPr>
          <w:rFonts w:cs="Open Sans"/>
        </w:rPr>
      </w:pPr>
      <w:bookmarkStart w:id="9" w:name="_Toc430854474"/>
      <w:bookmarkStart w:id="10" w:name="_Toc435187441"/>
      <w:bookmarkStart w:id="11" w:name="_Toc453855975"/>
      <w:bookmarkStart w:id="12" w:name="_Toc453856985"/>
      <w:r w:rsidRPr="00E95FE0">
        <w:rPr>
          <w:rFonts w:cs="Open Sans"/>
        </w:rPr>
        <w:t xml:space="preserve">This is </w:t>
      </w:r>
      <w:r w:rsidR="0074040F">
        <w:rPr>
          <w:rFonts w:cs="Open Sans"/>
        </w:rPr>
        <w:t xml:space="preserve">a report </w:t>
      </w:r>
      <w:r w:rsidRPr="00E95FE0">
        <w:rPr>
          <w:rFonts w:cs="Open Sans"/>
        </w:rPr>
        <w:t xml:space="preserve">setting out the findings of the Australian Human Rights Commission (Commission) following an inquiry into a complaint by </w:t>
      </w:r>
      <w:bookmarkEnd w:id="9"/>
      <w:bookmarkEnd w:id="10"/>
      <w:bookmarkEnd w:id="11"/>
      <w:bookmarkEnd w:id="12"/>
      <w:r>
        <w:rPr>
          <w:rFonts w:cs="Open Sans"/>
        </w:rPr>
        <w:t xml:space="preserve">Mr AO </w:t>
      </w:r>
      <w:r w:rsidRPr="00E95FE0">
        <w:rPr>
          <w:rFonts w:cs="Open Sans"/>
        </w:rPr>
        <w:t>against the Commonwealth of Australia, Department of Home Affairs (Department) alleging a breach of h</w:t>
      </w:r>
      <w:r>
        <w:rPr>
          <w:rFonts w:cs="Open Sans"/>
        </w:rPr>
        <w:t>is</w:t>
      </w:r>
      <w:r w:rsidRPr="00E95FE0">
        <w:rPr>
          <w:rFonts w:cs="Open Sans"/>
        </w:rPr>
        <w:t xml:space="preserve"> human rights.  </w:t>
      </w:r>
    </w:p>
    <w:p w14:paraId="6C1DD6C5" w14:textId="5D0C0469" w:rsidR="005F391B" w:rsidRDefault="005F391B" w:rsidP="009A225A">
      <w:pPr>
        <w:pStyle w:val="ListParagraph"/>
        <w:numPr>
          <w:ilvl w:val="0"/>
          <w:numId w:val="20"/>
        </w:numPr>
        <w:contextualSpacing/>
        <w:rPr>
          <w:rFonts w:cs="Open Sans"/>
        </w:rPr>
      </w:pPr>
      <w:r w:rsidRPr="003344F8">
        <w:rPr>
          <w:rFonts w:cs="Open Sans"/>
        </w:rPr>
        <w:t xml:space="preserve">Mr </w:t>
      </w:r>
      <w:r>
        <w:rPr>
          <w:rFonts w:cs="Open Sans"/>
        </w:rPr>
        <w:t>AO</w:t>
      </w:r>
      <w:r w:rsidRPr="003344F8">
        <w:rPr>
          <w:rFonts w:cs="Open Sans"/>
        </w:rPr>
        <w:t xml:space="preserve"> is detained at </w:t>
      </w:r>
      <w:proofErr w:type="spellStart"/>
      <w:r w:rsidRPr="003344F8">
        <w:rPr>
          <w:rFonts w:cs="Open Sans"/>
        </w:rPr>
        <w:t>Yongah</w:t>
      </w:r>
      <w:proofErr w:type="spellEnd"/>
      <w:r w:rsidRPr="003344F8">
        <w:rPr>
          <w:rFonts w:cs="Open Sans"/>
        </w:rPr>
        <w:t xml:space="preserve"> Hill Immigration Detention Centre (IDC), following transfer from Christmas Island IDC on 9 August 2018. </w:t>
      </w:r>
    </w:p>
    <w:p w14:paraId="56C6F78E" w14:textId="77777777" w:rsidR="009A225A" w:rsidRPr="00321531" w:rsidRDefault="009A225A" w:rsidP="009A225A">
      <w:pPr>
        <w:pStyle w:val="ListParagraph"/>
        <w:contextualSpacing/>
        <w:rPr>
          <w:rFonts w:cs="Open Sans"/>
        </w:rPr>
      </w:pPr>
    </w:p>
    <w:p w14:paraId="4FC5427F" w14:textId="77777777" w:rsidR="005F391B" w:rsidRDefault="005F391B" w:rsidP="009A225A">
      <w:pPr>
        <w:pStyle w:val="ListParagraph"/>
        <w:numPr>
          <w:ilvl w:val="0"/>
          <w:numId w:val="20"/>
        </w:numPr>
        <w:contextualSpacing/>
        <w:rPr>
          <w:rFonts w:cs="Open Sans"/>
        </w:rPr>
      </w:pPr>
      <w:r w:rsidRPr="003344F8">
        <w:rPr>
          <w:rFonts w:cs="Open Sans"/>
        </w:rPr>
        <w:t xml:space="preserve">Mr </w:t>
      </w:r>
      <w:r>
        <w:rPr>
          <w:rFonts w:cs="Open Sans"/>
        </w:rPr>
        <w:t>AO</w:t>
      </w:r>
      <w:r w:rsidRPr="003344F8">
        <w:rPr>
          <w:rFonts w:cs="Open Sans"/>
        </w:rPr>
        <w:t xml:space="preserve"> complains about an incident in April 2018 at Christmas Island IDC in which Serco officers used force against him which allegedly caused additional pain to a prior injury to the collar bone.</w:t>
      </w:r>
    </w:p>
    <w:p w14:paraId="7477D440" w14:textId="77777777" w:rsidR="00262B2C" w:rsidRDefault="00262B2C" w:rsidP="00262B2C">
      <w:pPr>
        <w:pStyle w:val="ListParagraph"/>
        <w:contextualSpacing/>
        <w:rPr>
          <w:rFonts w:cs="Open Sans"/>
        </w:rPr>
      </w:pPr>
    </w:p>
    <w:p w14:paraId="2FF4F46A" w14:textId="6DBFDC6B" w:rsidR="00262B2C" w:rsidRDefault="00262B2C" w:rsidP="00262B2C">
      <w:pPr>
        <w:pStyle w:val="ListParagraph"/>
        <w:numPr>
          <w:ilvl w:val="0"/>
          <w:numId w:val="20"/>
        </w:numPr>
        <w:contextualSpacing/>
        <w:rPr>
          <w:rFonts w:cs="Open Sans"/>
        </w:rPr>
      </w:pPr>
      <w:r w:rsidRPr="00451B90">
        <w:rPr>
          <w:rFonts w:cs="Open Sans"/>
        </w:rPr>
        <w:t xml:space="preserve">This </w:t>
      </w:r>
      <w:r w:rsidRPr="00451B90">
        <w:rPr>
          <w:rFonts w:eastAsia="Calibri" w:cs="Open Sans"/>
          <w:color w:val="000000"/>
        </w:rPr>
        <w:t>inquiry</w:t>
      </w:r>
      <w:r w:rsidRPr="00451B90">
        <w:rPr>
          <w:rFonts w:cs="Open Sans"/>
        </w:rPr>
        <w:t xml:space="preserve"> has been undertaken pursuant to s 11(1)(f) of the </w:t>
      </w:r>
      <w:r w:rsidRPr="00451B90">
        <w:rPr>
          <w:rFonts w:cs="Open Sans"/>
          <w:i/>
        </w:rPr>
        <w:t xml:space="preserve">Australian Human Rights Commission Act 1986 </w:t>
      </w:r>
      <w:r w:rsidRPr="00451B90">
        <w:rPr>
          <w:rFonts w:cs="Open Sans"/>
        </w:rPr>
        <w:t>(</w:t>
      </w:r>
      <w:proofErr w:type="spellStart"/>
      <w:r w:rsidRPr="00451B90">
        <w:rPr>
          <w:rFonts w:cs="Open Sans"/>
        </w:rPr>
        <w:t>Cth</w:t>
      </w:r>
      <w:proofErr w:type="spellEnd"/>
      <w:r w:rsidRPr="00451B90">
        <w:rPr>
          <w:rFonts w:cs="Open Sans"/>
        </w:rPr>
        <w:t>) (AHRC Act)</w:t>
      </w:r>
      <w:r w:rsidRPr="00451B90">
        <w:rPr>
          <w:rFonts w:cs="Open Sans"/>
          <w:i/>
        </w:rPr>
        <w:t xml:space="preserve"> </w:t>
      </w:r>
      <w:r w:rsidRPr="00451B90">
        <w:rPr>
          <w:rFonts w:cs="Open Sans"/>
          <w:iCs/>
        </w:rPr>
        <w:t>and</w:t>
      </w:r>
      <w:r w:rsidRPr="00451B90">
        <w:rPr>
          <w:rFonts w:cs="Open Sans"/>
          <w:i/>
        </w:rPr>
        <w:t xml:space="preserve"> </w:t>
      </w:r>
      <w:r w:rsidRPr="00451B90">
        <w:rPr>
          <w:rFonts w:cs="Open Sans"/>
        </w:rPr>
        <w:t xml:space="preserve">this </w:t>
      </w:r>
      <w:r>
        <w:rPr>
          <w:rFonts w:cs="Open Sans"/>
        </w:rPr>
        <w:t>report</w:t>
      </w:r>
      <w:r w:rsidRPr="00451B90">
        <w:rPr>
          <w:rFonts w:cs="Open Sans"/>
        </w:rPr>
        <w:t xml:space="preserve"> is </w:t>
      </w:r>
      <w:r w:rsidRPr="00677DCA">
        <w:rPr>
          <w:rFonts w:cs="Open Sans"/>
        </w:rPr>
        <w:t>issued pursuant to s 29(2) of the AHRC Act.</w:t>
      </w:r>
      <w:r w:rsidRPr="00451B90">
        <w:rPr>
          <w:rFonts w:cs="Open Sans"/>
        </w:rPr>
        <w:t xml:space="preserve"> </w:t>
      </w:r>
    </w:p>
    <w:p w14:paraId="497ADB4C" w14:textId="77777777" w:rsidR="00262B2C" w:rsidRPr="00451B90" w:rsidRDefault="00262B2C" w:rsidP="00262B2C">
      <w:pPr>
        <w:pStyle w:val="ListParagraph"/>
        <w:contextualSpacing/>
        <w:rPr>
          <w:rFonts w:cs="Open Sans"/>
        </w:rPr>
      </w:pPr>
    </w:p>
    <w:p w14:paraId="3DD3F6C8" w14:textId="77777777" w:rsidR="005F391B" w:rsidRPr="00681CDA" w:rsidRDefault="005F391B" w:rsidP="00262B2C">
      <w:pPr>
        <w:pStyle w:val="ListParagraph"/>
        <w:numPr>
          <w:ilvl w:val="0"/>
          <w:numId w:val="20"/>
        </w:numPr>
        <w:contextualSpacing/>
        <w:rPr>
          <w:rFonts w:cs="Open Sans"/>
        </w:rPr>
      </w:pPr>
      <w:r w:rsidRPr="00681CDA">
        <w:rPr>
          <w:rFonts w:cs="Open Sans"/>
        </w:rPr>
        <w:t>Mr AO has requested that his name not be published in connection with this inquiry. I consider that the preservation of his anonymity is necessary to protect his human rights. Accordingly, I have given a direction under s</w:t>
      </w:r>
      <w:r>
        <w:rPr>
          <w:rFonts w:cs="Open Sans"/>
        </w:rPr>
        <w:t> </w:t>
      </w:r>
      <w:r w:rsidRPr="00681CDA">
        <w:rPr>
          <w:rFonts w:cs="Open Sans"/>
        </w:rPr>
        <w:t xml:space="preserve">14(2) of the AHRC Act and refer to the complainant as </w:t>
      </w:r>
      <w:r>
        <w:rPr>
          <w:rFonts w:cs="Open Sans"/>
        </w:rPr>
        <w:t>‘</w:t>
      </w:r>
      <w:r w:rsidRPr="00681CDA">
        <w:rPr>
          <w:rFonts w:cs="Open Sans"/>
        </w:rPr>
        <w:t>Mr AO</w:t>
      </w:r>
      <w:r>
        <w:rPr>
          <w:rFonts w:cs="Open Sans"/>
        </w:rPr>
        <w:t>’</w:t>
      </w:r>
      <w:r w:rsidRPr="00681CDA">
        <w:rPr>
          <w:rFonts w:cs="Open Sans"/>
        </w:rPr>
        <w:t xml:space="preserve"> in this document. </w:t>
      </w:r>
    </w:p>
    <w:p w14:paraId="07AF38AB" w14:textId="77777777" w:rsidR="005F391B" w:rsidRPr="0002529B" w:rsidRDefault="005F391B" w:rsidP="0002529B">
      <w:pPr>
        <w:pStyle w:val="AHRCHeading1"/>
      </w:pPr>
      <w:bookmarkStart w:id="13" w:name="_Toc83845012"/>
      <w:bookmarkStart w:id="14" w:name="_Toc98851986"/>
      <w:bookmarkStart w:id="15" w:name="_Toc4159040"/>
      <w:r w:rsidRPr="0002529B">
        <w:t>Summary of findings and recommendations</w:t>
      </w:r>
      <w:bookmarkEnd w:id="13"/>
      <w:bookmarkEnd w:id="14"/>
    </w:p>
    <w:p w14:paraId="681D9BB6" w14:textId="2505355D" w:rsidR="005F391B" w:rsidRPr="00D80323" w:rsidRDefault="005F391B" w:rsidP="009A225A">
      <w:pPr>
        <w:widowControl w:val="0"/>
        <w:numPr>
          <w:ilvl w:val="0"/>
          <w:numId w:val="20"/>
        </w:numPr>
        <w:tabs>
          <w:tab w:val="clear" w:pos="720"/>
          <w:tab w:val="num" w:pos="1080"/>
        </w:tabs>
        <w:rPr>
          <w:rFonts w:cs="Open Sans"/>
        </w:rPr>
      </w:pPr>
      <w:r w:rsidRPr="00D80323">
        <w:rPr>
          <w:rFonts w:cs="Open Sans"/>
        </w:rPr>
        <w:t xml:space="preserve">As a result of this inquiry, I find that the use of force by the Department against Mr AO was inconsistent with or contrary to article 10(1) of the </w:t>
      </w:r>
      <w:r w:rsidR="009A50EC">
        <w:rPr>
          <w:rFonts w:cs="Open Sans"/>
          <w:i/>
          <w:iCs/>
        </w:rPr>
        <w:t xml:space="preserve">International Covenant on Civil and Political Rights </w:t>
      </w:r>
      <w:r w:rsidR="009A50EC">
        <w:rPr>
          <w:rFonts w:cs="Open Sans"/>
        </w:rPr>
        <w:t>(</w:t>
      </w:r>
      <w:r w:rsidRPr="00D80323">
        <w:rPr>
          <w:rFonts w:cs="Open Sans"/>
        </w:rPr>
        <w:t>ICCPR</w:t>
      </w:r>
      <w:r w:rsidR="009A50EC">
        <w:rPr>
          <w:rFonts w:cs="Open Sans"/>
        </w:rPr>
        <w:t>).</w:t>
      </w:r>
      <w:r w:rsidR="009A50EC">
        <w:rPr>
          <w:rStyle w:val="EndnoteReference"/>
          <w:rFonts w:cs="Open Sans"/>
        </w:rPr>
        <w:endnoteReference w:id="2"/>
      </w:r>
      <w:r w:rsidRPr="00D80323">
        <w:rPr>
          <w:rFonts w:cs="Open Sans"/>
        </w:rPr>
        <w:t xml:space="preserve"> . </w:t>
      </w:r>
    </w:p>
    <w:p w14:paraId="52EB79AC" w14:textId="77777777" w:rsidR="005F391B" w:rsidRPr="00D80323" w:rsidRDefault="005F391B" w:rsidP="009A225A">
      <w:pPr>
        <w:widowControl w:val="0"/>
        <w:numPr>
          <w:ilvl w:val="0"/>
          <w:numId w:val="20"/>
        </w:numPr>
        <w:tabs>
          <w:tab w:val="clear" w:pos="720"/>
          <w:tab w:val="num" w:pos="1080"/>
        </w:tabs>
        <w:rPr>
          <w:rFonts w:cs="Open Sans"/>
        </w:rPr>
      </w:pPr>
      <w:r w:rsidRPr="00D80323">
        <w:rPr>
          <w:rFonts w:cs="Open Sans"/>
        </w:rPr>
        <w:t xml:space="preserve">I find that the use of restraints on Mr AO, noting his medical history, was contrary to his rights under article 10 of the ICCPR to be treated with humanity and with respect for </w:t>
      </w:r>
      <w:r>
        <w:rPr>
          <w:rFonts w:cs="Open Sans"/>
        </w:rPr>
        <w:t>his</w:t>
      </w:r>
      <w:r w:rsidRPr="00D80323">
        <w:rPr>
          <w:rFonts w:cs="Open Sans"/>
        </w:rPr>
        <w:t xml:space="preserve"> inherent dignity.</w:t>
      </w:r>
    </w:p>
    <w:p w14:paraId="2EA78C2F" w14:textId="77777777" w:rsidR="005F391B" w:rsidRPr="00D80323" w:rsidRDefault="005F391B" w:rsidP="009A225A">
      <w:pPr>
        <w:pStyle w:val="ListParagraph"/>
        <w:numPr>
          <w:ilvl w:val="0"/>
          <w:numId w:val="20"/>
        </w:numPr>
        <w:rPr>
          <w:rFonts w:cs="Open Sans"/>
        </w:rPr>
      </w:pPr>
      <w:r w:rsidRPr="00D80323">
        <w:rPr>
          <w:rFonts w:cs="Open Sans"/>
        </w:rPr>
        <w:t>I make the following recommendations:</w:t>
      </w:r>
    </w:p>
    <w:p w14:paraId="6CB9B299" w14:textId="77777777" w:rsidR="005F391B" w:rsidRPr="00D80323" w:rsidRDefault="005F391B" w:rsidP="009A225A">
      <w:pPr>
        <w:keepNext/>
        <w:ind w:left="720"/>
        <w:rPr>
          <w:rFonts w:cs="Open Sans"/>
          <w:b/>
          <w:bCs/>
        </w:rPr>
      </w:pPr>
      <w:r w:rsidRPr="00D80323">
        <w:rPr>
          <w:rFonts w:cs="Open Sans"/>
          <w:b/>
          <w:bCs/>
        </w:rPr>
        <w:t>Recommendation 1</w:t>
      </w:r>
    </w:p>
    <w:p w14:paraId="2B059B62" w14:textId="77777777" w:rsidR="005F391B" w:rsidRPr="00D80323" w:rsidRDefault="005F391B" w:rsidP="009A225A">
      <w:pPr>
        <w:ind w:left="720"/>
        <w:rPr>
          <w:rFonts w:cs="Open Sans"/>
        </w:rPr>
      </w:pPr>
      <w:r>
        <w:rPr>
          <w:rFonts w:cs="Open Sans"/>
        </w:rPr>
        <w:t>T</w:t>
      </w:r>
      <w:r w:rsidRPr="00D80323">
        <w:rPr>
          <w:rFonts w:cs="Open Sans"/>
        </w:rPr>
        <w:t xml:space="preserve">he Commonwealth pay to Mr AO an appropriate amount of compensation to reflect the </w:t>
      </w:r>
      <w:r>
        <w:rPr>
          <w:rFonts w:cs="Open Sans"/>
        </w:rPr>
        <w:t xml:space="preserve">loss and damage he suffered </w:t>
      </w:r>
      <w:proofErr w:type="gramStart"/>
      <w:r>
        <w:rPr>
          <w:rFonts w:cs="Open Sans"/>
        </w:rPr>
        <w:t>as a result of</w:t>
      </w:r>
      <w:proofErr w:type="gramEnd"/>
      <w:r>
        <w:rPr>
          <w:rFonts w:cs="Open Sans"/>
        </w:rPr>
        <w:t xml:space="preserve"> the breach of his human rights identified by this inquiry, being the pain and suffering he experienced as a result of the use of force against him. </w:t>
      </w:r>
    </w:p>
    <w:p w14:paraId="1126C590" w14:textId="77777777" w:rsidR="005F391B" w:rsidRPr="00D80323" w:rsidRDefault="005F391B" w:rsidP="009A225A">
      <w:pPr>
        <w:keepNext/>
        <w:ind w:left="720"/>
        <w:rPr>
          <w:rFonts w:cs="Open Sans"/>
          <w:b/>
          <w:bCs/>
        </w:rPr>
      </w:pPr>
      <w:bookmarkStart w:id="16" w:name="_Toc498937192"/>
      <w:bookmarkEnd w:id="15"/>
      <w:bookmarkEnd w:id="16"/>
      <w:r w:rsidRPr="00D80323">
        <w:rPr>
          <w:rFonts w:cs="Open Sans"/>
          <w:b/>
          <w:bCs/>
        </w:rPr>
        <w:lastRenderedPageBreak/>
        <w:t xml:space="preserve">Recommendation </w:t>
      </w:r>
      <w:r>
        <w:rPr>
          <w:rFonts w:cs="Open Sans"/>
          <w:b/>
          <w:bCs/>
        </w:rPr>
        <w:t>2</w:t>
      </w:r>
    </w:p>
    <w:p w14:paraId="1775D951" w14:textId="77777777" w:rsidR="005F391B" w:rsidRPr="007F5053" w:rsidRDefault="005F391B" w:rsidP="009A225A">
      <w:pPr>
        <w:pStyle w:val="ListParagraph"/>
        <w:widowControl w:val="0"/>
        <w:rPr>
          <w:rFonts w:cs="Open Sans"/>
        </w:rPr>
      </w:pPr>
      <w:r>
        <w:rPr>
          <w:rFonts w:cs="Open Sans"/>
        </w:rPr>
        <w:t xml:space="preserve">The Department and Serco ensure that officers who may be required to use force in their roles be appropriately and periodically trained on communication, </w:t>
      </w:r>
      <w:proofErr w:type="gramStart"/>
      <w:r>
        <w:rPr>
          <w:rFonts w:cs="Open Sans"/>
        </w:rPr>
        <w:t>negotiation</w:t>
      </w:r>
      <w:proofErr w:type="gramEnd"/>
      <w:r>
        <w:rPr>
          <w:rFonts w:cs="Open Sans"/>
        </w:rPr>
        <w:t xml:space="preserve"> and conflict de-escalation strategies as alternatives to the use of force. </w:t>
      </w:r>
    </w:p>
    <w:p w14:paraId="1F1EAE27" w14:textId="77777777" w:rsidR="005F391B" w:rsidRDefault="005F391B" w:rsidP="009A225A">
      <w:pPr>
        <w:keepNext/>
        <w:ind w:left="720"/>
        <w:rPr>
          <w:rFonts w:cs="Open Sans"/>
          <w:b/>
          <w:bCs/>
        </w:rPr>
      </w:pPr>
      <w:r w:rsidRPr="008420CB">
        <w:rPr>
          <w:rFonts w:cs="Open Sans"/>
          <w:b/>
          <w:bCs/>
        </w:rPr>
        <w:t xml:space="preserve">Recommendation </w:t>
      </w:r>
      <w:r>
        <w:rPr>
          <w:rFonts w:cs="Open Sans"/>
          <w:b/>
          <w:bCs/>
        </w:rPr>
        <w:t>3</w:t>
      </w:r>
    </w:p>
    <w:p w14:paraId="770BCAB5" w14:textId="77777777" w:rsidR="005F391B" w:rsidRPr="00DE1A0E" w:rsidRDefault="005F391B" w:rsidP="009A225A">
      <w:pPr>
        <w:pStyle w:val="ListParagraph"/>
        <w:widowControl w:val="0"/>
        <w:rPr>
          <w:rFonts w:cs="Open Sans"/>
        </w:rPr>
      </w:pPr>
      <w:r>
        <w:rPr>
          <w:rFonts w:cs="Open Sans"/>
        </w:rPr>
        <w:t xml:space="preserve">The Department and Serco should, whenever practicable, consult with detention health services as to whether there are medical reasons restraints should not be used on a detainee prior to the use of force against the detainee. </w:t>
      </w:r>
    </w:p>
    <w:p w14:paraId="4E697545" w14:textId="2BDB5C1B" w:rsidR="005F391B" w:rsidRPr="00321531" w:rsidRDefault="005F391B" w:rsidP="0002529B">
      <w:pPr>
        <w:pStyle w:val="AHRCHeading1"/>
      </w:pPr>
      <w:bookmarkStart w:id="17" w:name="_Toc83845013"/>
      <w:bookmarkStart w:id="18" w:name="_Toc98851987"/>
      <w:r>
        <w:t>Complaint</w:t>
      </w:r>
      <w:bookmarkEnd w:id="17"/>
      <w:bookmarkEnd w:id="18"/>
    </w:p>
    <w:p w14:paraId="030F8A32" w14:textId="4127FE87" w:rsidR="009A225A" w:rsidRDefault="005F391B" w:rsidP="009A225A">
      <w:pPr>
        <w:pStyle w:val="ListParagraph"/>
        <w:numPr>
          <w:ilvl w:val="0"/>
          <w:numId w:val="20"/>
        </w:numPr>
        <w:contextualSpacing/>
        <w:rPr>
          <w:rFonts w:cs="Open Sans"/>
        </w:rPr>
      </w:pPr>
      <w:r w:rsidRPr="009A608B">
        <w:rPr>
          <w:rFonts w:cs="Open Sans"/>
        </w:rPr>
        <w:t xml:space="preserve">Mr </w:t>
      </w:r>
      <w:r>
        <w:rPr>
          <w:rFonts w:cs="Open Sans"/>
        </w:rPr>
        <w:t>AO</w:t>
      </w:r>
      <w:r w:rsidRPr="009A608B">
        <w:rPr>
          <w:rFonts w:cs="Open Sans"/>
        </w:rPr>
        <w:t xml:space="preserve"> arrived at Christmas Island on 19 June 2013 and was detained under s</w:t>
      </w:r>
      <w:r>
        <w:rPr>
          <w:rFonts w:cs="Open Sans"/>
        </w:rPr>
        <w:t> </w:t>
      </w:r>
      <w:r w:rsidRPr="009A608B">
        <w:rPr>
          <w:rFonts w:cs="Open Sans"/>
        </w:rPr>
        <w:t xml:space="preserve">189(3) of the </w:t>
      </w:r>
      <w:r w:rsidRPr="009A608B">
        <w:rPr>
          <w:rFonts w:cs="Open Sans"/>
          <w:i/>
          <w:iCs/>
        </w:rPr>
        <w:t xml:space="preserve">Migration Act 1958 </w:t>
      </w:r>
      <w:r w:rsidRPr="009A608B">
        <w:rPr>
          <w:rFonts w:cs="Open Sans"/>
        </w:rPr>
        <w:t>(</w:t>
      </w:r>
      <w:proofErr w:type="spellStart"/>
      <w:r w:rsidRPr="009A608B">
        <w:rPr>
          <w:rFonts w:cs="Open Sans"/>
        </w:rPr>
        <w:t>Cth</w:t>
      </w:r>
      <w:proofErr w:type="spellEnd"/>
      <w:r w:rsidRPr="009A608B">
        <w:rPr>
          <w:rFonts w:cs="Open Sans"/>
        </w:rPr>
        <w:t xml:space="preserve">) as an unauthorised maritime arrival. On 19 August 2013, he was released from immigration detention. On 15 December 2016, Mr </w:t>
      </w:r>
      <w:r>
        <w:rPr>
          <w:rFonts w:cs="Open Sans"/>
        </w:rPr>
        <w:t>AO</w:t>
      </w:r>
      <w:r w:rsidRPr="009A608B">
        <w:rPr>
          <w:rFonts w:cs="Open Sans"/>
        </w:rPr>
        <w:t xml:space="preserve"> was re-detained after his Bridging Visa E was cancelled, </w:t>
      </w:r>
      <w:proofErr w:type="gramStart"/>
      <w:r w:rsidRPr="009A608B">
        <w:rPr>
          <w:rFonts w:cs="Open Sans"/>
        </w:rPr>
        <w:t>as a result of</w:t>
      </w:r>
      <w:proofErr w:type="gramEnd"/>
      <w:r w:rsidRPr="009A608B">
        <w:rPr>
          <w:rFonts w:cs="Open Sans"/>
        </w:rPr>
        <w:t xml:space="preserve"> his being charged with criminal offences. On 23 March 2017, he was transferred to Christmas Island IDC. Mr </w:t>
      </w:r>
      <w:r>
        <w:rPr>
          <w:rFonts w:cs="Open Sans"/>
        </w:rPr>
        <w:t>AO</w:t>
      </w:r>
      <w:r w:rsidRPr="009A608B">
        <w:rPr>
          <w:rFonts w:cs="Open Sans"/>
        </w:rPr>
        <w:t xml:space="preserve"> is currently detained at </w:t>
      </w:r>
      <w:proofErr w:type="spellStart"/>
      <w:r w:rsidRPr="009A608B">
        <w:rPr>
          <w:rFonts w:cs="Open Sans"/>
        </w:rPr>
        <w:t>Yongah</w:t>
      </w:r>
      <w:proofErr w:type="spellEnd"/>
      <w:r w:rsidRPr="009A608B">
        <w:rPr>
          <w:rFonts w:cs="Open Sans"/>
        </w:rPr>
        <w:t xml:space="preserve"> Hill IDC. </w:t>
      </w:r>
    </w:p>
    <w:p w14:paraId="57ECE639" w14:textId="77777777" w:rsidR="009A225A" w:rsidRPr="009A225A" w:rsidRDefault="009A225A" w:rsidP="009A225A">
      <w:pPr>
        <w:pStyle w:val="ListParagraph"/>
        <w:contextualSpacing/>
        <w:rPr>
          <w:rFonts w:cs="Open Sans"/>
        </w:rPr>
      </w:pPr>
    </w:p>
    <w:p w14:paraId="496D919C" w14:textId="5B7B0BF7" w:rsidR="009A225A" w:rsidRPr="009A225A" w:rsidRDefault="005F391B" w:rsidP="009A225A">
      <w:pPr>
        <w:pStyle w:val="ListParagraph"/>
        <w:numPr>
          <w:ilvl w:val="0"/>
          <w:numId w:val="20"/>
        </w:numPr>
        <w:contextualSpacing/>
        <w:rPr>
          <w:rFonts w:cs="Open Sans"/>
        </w:rPr>
      </w:pPr>
      <w:r w:rsidRPr="009A608B">
        <w:rPr>
          <w:rFonts w:cs="Open Sans"/>
        </w:rPr>
        <w:t xml:space="preserve">Mr </w:t>
      </w:r>
      <w:r>
        <w:rPr>
          <w:rFonts w:cs="Open Sans"/>
        </w:rPr>
        <w:t>AO</w:t>
      </w:r>
      <w:r w:rsidRPr="009A608B">
        <w:rPr>
          <w:rFonts w:cs="Open Sans"/>
        </w:rPr>
        <w:t xml:space="preserve"> complains about an incident in April 2018 at Christmas Island IDC in which Serco officers used force against him which allegedly caused additional pain to a prior injury to his collar bone. Mr </w:t>
      </w:r>
      <w:r>
        <w:rPr>
          <w:rFonts w:cs="Open Sans"/>
        </w:rPr>
        <w:t>AO</w:t>
      </w:r>
      <w:r w:rsidRPr="009A608B">
        <w:rPr>
          <w:rFonts w:cs="Open Sans"/>
        </w:rPr>
        <w:t xml:space="preserve"> alleges that Serco used unreasonable force in reacting to his self-harm incidents. </w:t>
      </w:r>
      <w:r w:rsidR="009A225A">
        <w:rPr>
          <w:rFonts w:cs="Open Sans"/>
        </w:rPr>
        <w:br/>
      </w:r>
    </w:p>
    <w:p w14:paraId="5F85B3FB" w14:textId="1A86F227" w:rsidR="009A225A" w:rsidRPr="009A225A" w:rsidRDefault="005F391B" w:rsidP="009A225A">
      <w:pPr>
        <w:pStyle w:val="ListParagraph"/>
        <w:numPr>
          <w:ilvl w:val="0"/>
          <w:numId w:val="20"/>
        </w:numPr>
        <w:contextualSpacing/>
        <w:rPr>
          <w:rFonts w:cs="Open Sans"/>
        </w:rPr>
      </w:pPr>
      <w:r w:rsidRPr="009A608B">
        <w:rPr>
          <w:rFonts w:cs="Open Sans"/>
        </w:rPr>
        <w:t>On 8 October 2018, the Department provided a written response, Incident Detail Reports and video footage that recorded the events occurring during the incident</w:t>
      </w:r>
      <w:r>
        <w:rPr>
          <w:rFonts w:cs="Open Sans"/>
        </w:rPr>
        <w:t>.</w:t>
      </w:r>
      <w:r w:rsidR="009A225A">
        <w:rPr>
          <w:rFonts w:cs="Open Sans"/>
        </w:rPr>
        <w:br/>
      </w:r>
    </w:p>
    <w:p w14:paraId="692B9E41" w14:textId="46047977" w:rsidR="005F391B" w:rsidRPr="009A225A" w:rsidRDefault="005F391B" w:rsidP="009A225A">
      <w:pPr>
        <w:pStyle w:val="ListParagraph"/>
        <w:numPr>
          <w:ilvl w:val="0"/>
          <w:numId w:val="20"/>
        </w:numPr>
        <w:contextualSpacing/>
        <w:rPr>
          <w:rFonts w:cs="Open Sans"/>
        </w:rPr>
      </w:pPr>
      <w:r w:rsidRPr="009A608B">
        <w:rPr>
          <w:rFonts w:cs="Open Sans"/>
        </w:rPr>
        <w:t xml:space="preserve">The Department provided the following description of events up until restraints were applied to Mr </w:t>
      </w:r>
      <w:r>
        <w:rPr>
          <w:rFonts w:cs="Open Sans"/>
        </w:rPr>
        <w:t>AO</w:t>
      </w:r>
      <w:r w:rsidRPr="009A608B">
        <w:rPr>
          <w:rFonts w:cs="Open Sans"/>
        </w:rPr>
        <w:t>:</w:t>
      </w:r>
      <w:r w:rsidR="009A225A">
        <w:rPr>
          <w:rFonts w:cs="Open Sans"/>
        </w:rPr>
        <w:br/>
      </w:r>
    </w:p>
    <w:p w14:paraId="78C6F899" w14:textId="2F76D1CB" w:rsidR="005F391B" w:rsidRPr="009A225A" w:rsidRDefault="005F391B" w:rsidP="009A225A">
      <w:pPr>
        <w:pStyle w:val="ListParagraph"/>
        <w:ind w:left="1440"/>
        <w:rPr>
          <w:rFonts w:cs="Open Sans"/>
          <w:sz w:val="22"/>
          <w:szCs w:val="22"/>
        </w:rPr>
      </w:pPr>
      <w:r w:rsidRPr="000755BB">
        <w:rPr>
          <w:rFonts w:cs="Open Sans"/>
          <w:sz w:val="22"/>
          <w:szCs w:val="22"/>
        </w:rPr>
        <w:t xml:space="preserve">At 2239 on 21 April 2018, Mr AO stated that he would, </w:t>
      </w:r>
      <w:r w:rsidRPr="000755BB">
        <w:rPr>
          <w:rFonts w:cs="Open Sans"/>
          <w:i/>
          <w:iCs/>
          <w:sz w:val="22"/>
          <w:szCs w:val="22"/>
        </w:rPr>
        <w:t xml:space="preserve">‘Fuck up the Compound,’ </w:t>
      </w:r>
      <w:r w:rsidRPr="000755BB">
        <w:rPr>
          <w:rFonts w:cs="Open Sans"/>
          <w:sz w:val="22"/>
          <w:szCs w:val="22"/>
        </w:rPr>
        <w:t>if he didn’t get his Ibuprofen; he then banged his head against the metal support beam three times.</w:t>
      </w:r>
    </w:p>
    <w:p w14:paraId="043C0257" w14:textId="4DCE2974" w:rsidR="005F391B" w:rsidRPr="000755BB" w:rsidRDefault="005F391B" w:rsidP="009A225A">
      <w:pPr>
        <w:pStyle w:val="ListParagraph"/>
        <w:ind w:left="1440"/>
        <w:rPr>
          <w:rFonts w:cs="Open Sans"/>
          <w:sz w:val="22"/>
          <w:szCs w:val="22"/>
        </w:rPr>
      </w:pPr>
      <w:r w:rsidRPr="000755BB">
        <w:rPr>
          <w:rFonts w:cs="Open Sans"/>
          <w:sz w:val="22"/>
          <w:szCs w:val="22"/>
        </w:rPr>
        <w:t xml:space="preserve">The Acting DSM asked Mr AO to return inside the green one Compound while he made a call to the HAS Line and spoke with the HAS Duty Nurse. HAS was notified of the actual self-harm, and asked for detainee Mr AO, to be placed on </w:t>
      </w:r>
      <w:proofErr w:type="spellStart"/>
      <w:r w:rsidRPr="000755BB">
        <w:rPr>
          <w:rFonts w:cs="Open Sans"/>
          <w:sz w:val="22"/>
          <w:szCs w:val="22"/>
        </w:rPr>
        <w:t>Keepsafe</w:t>
      </w:r>
      <w:proofErr w:type="spellEnd"/>
      <w:r w:rsidRPr="000755BB">
        <w:rPr>
          <w:rFonts w:cs="Open Sans"/>
          <w:sz w:val="22"/>
          <w:szCs w:val="22"/>
        </w:rPr>
        <w:t xml:space="preserve"> Constant. </w:t>
      </w:r>
    </w:p>
    <w:p w14:paraId="0D3287B8" w14:textId="77777777" w:rsidR="005F391B" w:rsidRPr="000755BB" w:rsidRDefault="005F391B" w:rsidP="009A225A">
      <w:pPr>
        <w:pStyle w:val="ListParagraph"/>
        <w:rPr>
          <w:rFonts w:cs="Open Sans"/>
          <w:sz w:val="22"/>
          <w:szCs w:val="22"/>
        </w:rPr>
      </w:pPr>
    </w:p>
    <w:p w14:paraId="57196117" w14:textId="0B154A49" w:rsidR="005F391B" w:rsidRPr="009A225A" w:rsidRDefault="005F391B" w:rsidP="009A225A">
      <w:pPr>
        <w:pStyle w:val="ListParagraph"/>
        <w:ind w:left="1440"/>
        <w:rPr>
          <w:rFonts w:cs="Open Sans"/>
          <w:sz w:val="22"/>
          <w:szCs w:val="22"/>
        </w:rPr>
      </w:pPr>
      <w:r w:rsidRPr="000755BB">
        <w:rPr>
          <w:rFonts w:cs="Open Sans"/>
          <w:sz w:val="22"/>
          <w:szCs w:val="22"/>
        </w:rPr>
        <w:lastRenderedPageBreak/>
        <w:t>The Acting DSM again spoke to Mr AO in the sterile area of Green Compound. Mr AO was informed that ‘he could not be given any medication except Panadol</w:t>
      </w:r>
      <w:r>
        <w:rPr>
          <w:rFonts w:cs="Open Sans"/>
          <w:sz w:val="22"/>
          <w:szCs w:val="22"/>
        </w:rPr>
        <w:t>’</w:t>
      </w:r>
      <w:r w:rsidRPr="000755BB">
        <w:rPr>
          <w:rFonts w:cs="Open Sans"/>
          <w:sz w:val="22"/>
          <w:szCs w:val="22"/>
        </w:rPr>
        <w:t xml:space="preserve">. Mr AO then stated that he would, </w:t>
      </w:r>
      <w:r w:rsidRPr="000755BB">
        <w:rPr>
          <w:rFonts w:cs="Open Sans"/>
          <w:i/>
          <w:iCs/>
          <w:sz w:val="22"/>
          <w:szCs w:val="22"/>
        </w:rPr>
        <w:t xml:space="preserve">‘Kill himself if he didn’t get the Ibuprofen now,’ </w:t>
      </w:r>
      <w:r w:rsidRPr="000755BB">
        <w:rPr>
          <w:rFonts w:cs="Open Sans"/>
          <w:sz w:val="22"/>
          <w:szCs w:val="22"/>
        </w:rPr>
        <w:t xml:space="preserve">the Acting DSM informed Mr AO that, for his own safety he would be relocated to White One Compound. </w:t>
      </w:r>
    </w:p>
    <w:p w14:paraId="590BBDC2" w14:textId="6E57F1DD" w:rsidR="005F391B" w:rsidRPr="009A225A" w:rsidRDefault="005F391B" w:rsidP="009A225A">
      <w:pPr>
        <w:pStyle w:val="ListParagraph"/>
        <w:ind w:left="1440"/>
        <w:rPr>
          <w:rFonts w:cs="Open Sans"/>
          <w:sz w:val="22"/>
          <w:szCs w:val="22"/>
        </w:rPr>
      </w:pPr>
      <w:r w:rsidRPr="000755BB">
        <w:rPr>
          <w:rFonts w:cs="Open Sans"/>
          <w:sz w:val="22"/>
          <w:szCs w:val="22"/>
        </w:rPr>
        <w:t xml:space="preserve">Mr AO was abusive and </w:t>
      </w:r>
      <w:proofErr w:type="gramStart"/>
      <w:r w:rsidRPr="000755BB">
        <w:rPr>
          <w:rFonts w:cs="Open Sans"/>
          <w:sz w:val="22"/>
          <w:szCs w:val="22"/>
        </w:rPr>
        <w:t>aggressive, and</w:t>
      </w:r>
      <w:proofErr w:type="gramEnd"/>
      <w:r w:rsidRPr="000755BB">
        <w:rPr>
          <w:rFonts w:cs="Open Sans"/>
          <w:sz w:val="22"/>
          <w:szCs w:val="22"/>
        </w:rPr>
        <w:t xml:space="preserve"> did not respond to verbal instruction. Emergency Response Team (ERT) officers were instructed by the Acting DSM to transport Mr AO to the transport van at the rear of the Green Compound. </w:t>
      </w:r>
    </w:p>
    <w:p w14:paraId="4C695B96" w14:textId="1EEBE9D6" w:rsidR="005F391B" w:rsidRPr="009A225A" w:rsidRDefault="005F391B" w:rsidP="009A225A">
      <w:pPr>
        <w:pStyle w:val="ListParagraph"/>
        <w:ind w:left="1440"/>
        <w:rPr>
          <w:rFonts w:cs="Open Sans"/>
          <w:sz w:val="22"/>
          <w:szCs w:val="22"/>
        </w:rPr>
      </w:pPr>
      <w:r w:rsidRPr="000755BB">
        <w:rPr>
          <w:rFonts w:cs="Open Sans"/>
          <w:sz w:val="22"/>
          <w:szCs w:val="22"/>
        </w:rPr>
        <w:t>Mr AO was abusive and aggressive, and attempted to head-butt an ERT officer when being moved. The Acting DSM instructed ERT to use mechanical restraints. Restraints were applied by the ERT to the rear of Mr AO at 2300hrs.</w:t>
      </w:r>
    </w:p>
    <w:p w14:paraId="611DA7BF" w14:textId="62ADADAB" w:rsidR="005F391B" w:rsidRPr="009A225A" w:rsidRDefault="005F391B" w:rsidP="009A225A">
      <w:pPr>
        <w:pStyle w:val="ListParagraph"/>
        <w:numPr>
          <w:ilvl w:val="0"/>
          <w:numId w:val="20"/>
        </w:numPr>
        <w:contextualSpacing/>
        <w:rPr>
          <w:rFonts w:cs="Open Sans"/>
        </w:rPr>
      </w:pPr>
      <w:r w:rsidRPr="009A608B">
        <w:rPr>
          <w:rFonts w:cs="Open Sans"/>
        </w:rPr>
        <w:t xml:space="preserve">Once restraints were applied, Mr </w:t>
      </w:r>
      <w:r>
        <w:rPr>
          <w:rFonts w:cs="Open Sans"/>
        </w:rPr>
        <w:t>AO</w:t>
      </w:r>
      <w:r w:rsidRPr="009A608B">
        <w:rPr>
          <w:rFonts w:cs="Open Sans"/>
        </w:rPr>
        <w:t xml:space="preserve"> was taken by van to White One Compound where he was placed in a room. Serco removed the handcuffs and the Department states that Mr </w:t>
      </w:r>
      <w:r>
        <w:rPr>
          <w:rFonts w:cs="Open Sans"/>
        </w:rPr>
        <w:t>AO</w:t>
      </w:r>
      <w:r w:rsidRPr="009A608B">
        <w:rPr>
          <w:rFonts w:cs="Open Sans"/>
        </w:rPr>
        <w:t xml:space="preserve"> immediately began banging his head against the table and the wall. As a result, Serco re-applied the handcuffs. The Department described the events that followed below:</w:t>
      </w:r>
    </w:p>
    <w:p w14:paraId="635E4C47" w14:textId="26291E66" w:rsidR="005F391B" w:rsidRPr="009A225A" w:rsidRDefault="005F391B" w:rsidP="009A225A">
      <w:pPr>
        <w:ind w:left="1440"/>
        <w:rPr>
          <w:rFonts w:cs="Open Sans"/>
          <w:iCs/>
          <w:sz w:val="22"/>
          <w:szCs w:val="22"/>
        </w:rPr>
      </w:pPr>
      <w:r w:rsidRPr="0000429E">
        <w:rPr>
          <w:rFonts w:cs="Open Sans"/>
          <w:iCs/>
          <w:sz w:val="22"/>
          <w:szCs w:val="22"/>
        </w:rPr>
        <w:t xml:space="preserve">Mr </w:t>
      </w:r>
      <w:r>
        <w:rPr>
          <w:rFonts w:cs="Open Sans"/>
          <w:iCs/>
          <w:sz w:val="22"/>
          <w:szCs w:val="22"/>
        </w:rPr>
        <w:t>AO</w:t>
      </w:r>
      <w:r w:rsidRPr="0000429E">
        <w:rPr>
          <w:rFonts w:cs="Open Sans"/>
          <w:iCs/>
          <w:sz w:val="22"/>
          <w:szCs w:val="22"/>
        </w:rPr>
        <w:t xml:space="preserve"> continued to make threats towards ERT officers and the Acting DSM.  Mr </w:t>
      </w:r>
      <w:r>
        <w:rPr>
          <w:rFonts w:cs="Open Sans"/>
          <w:iCs/>
          <w:sz w:val="22"/>
          <w:szCs w:val="22"/>
        </w:rPr>
        <w:t>AO</w:t>
      </w:r>
      <w:r w:rsidRPr="0000429E">
        <w:rPr>
          <w:rFonts w:cs="Open Sans"/>
          <w:iCs/>
          <w:sz w:val="22"/>
          <w:szCs w:val="22"/>
        </w:rPr>
        <w:t xml:space="preserve"> stated that he would, ‘Fuck your </w:t>
      </w:r>
      <w:proofErr w:type="gramStart"/>
      <w:r w:rsidRPr="0000429E">
        <w:rPr>
          <w:rFonts w:cs="Open Sans"/>
          <w:iCs/>
          <w:sz w:val="22"/>
          <w:szCs w:val="22"/>
        </w:rPr>
        <w:t>Mother</w:t>
      </w:r>
      <w:proofErr w:type="gramEnd"/>
      <w:r w:rsidRPr="0000429E">
        <w:rPr>
          <w:rFonts w:cs="Open Sans"/>
          <w:iCs/>
          <w:sz w:val="22"/>
          <w:szCs w:val="22"/>
        </w:rPr>
        <w:t xml:space="preserve">,’ and, ‘Fuck your sister,’ and that he would, ‘Get you when you come into the Compound’. The HAS Line was contacted again by the Acting DSM at 2330hrs due to having to reapply the mechanical restraints to prevent further attempts at self-harm. The HAS Line Nurse and IHMS Doctor were consulted, and a decision was made for the IHMS Doctor to attend the Christmas Island IDC to see Mr </w:t>
      </w:r>
      <w:r>
        <w:rPr>
          <w:rFonts w:cs="Open Sans"/>
          <w:iCs/>
          <w:sz w:val="22"/>
          <w:szCs w:val="22"/>
        </w:rPr>
        <w:t>AO</w:t>
      </w:r>
      <w:r w:rsidRPr="0000429E">
        <w:rPr>
          <w:rFonts w:cs="Open Sans"/>
          <w:iCs/>
          <w:sz w:val="22"/>
          <w:szCs w:val="22"/>
        </w:rPr>
        <w:t xml:space="preserve">. Mr </w:t>
      </w:r>
      <w:r>
        <w:rPr>
          <w:rFonts w:cs="Open Sans"/>
          <w:iCs/>
          <w:sz w:val="22"/>
          <w:szCs w:val="22"/>
        </w:rPr>
        <w:t>AO</w:t>
      </w:r>
      <w:r w:rsidRPr="0000429E">
        <w:rPr>
          <w:rFonts w:cs="Open Sans"/>
          <w:iCs/>
          <w:sz w:val="22"/>
          <w:szCs w:val="22"/>
        </w:rPr>
        <w:t xml:space="preserve"> continued his abuse towards officers and spitting for approximately 15 minutes. Mr </w:t>
      </w:r>
      <w:r>
        <w:rPr>
          <w:rFonts w:cs="Open Sans"/>
          <w:iCs/>
          <w:sz w:val="22"/>
          <w:szCs w:val="22"/>
        </w:rPr>
        <w:t>AO</w:t>
      </w:r>
      <w:r w:rsidRPr="0000429E">
        <w:rPr>
          <w:rFonts w:cs="Open Sans"/>
          <w:iCs/>
          <w:sz w:val="22"/>
          <w:szCs w:val="22"/>
        </w:rPr>
        <w:t xml:space="preserve"> appeared to have what was described by an ERT officer as a ‘Spasm’. Mr </w:t>
      </w:r>
      <w:r>
        <w:rPr>
          <w:rFonts w:cs="Open Sans"/>
          <w:iCs/>
          <w:sz w:val="22"/>
          <w:szCs w:val="22"/>
        </w:rPr>
        <w:t>AO</w:t>
      </w:r>
      <w:r w:rsidRPr="0000429E">
        <w:rPr>
          <w:rFonts w:cs="Open Sans"/>
          <w:iCs/>
          <w:sz w:val="22"/>
          <w:szCs w:val="22"/>
        </w:rPr>
        <w:t xml:space="preserve"> remained unresponsive, so a mattress was placed on the floor to prevent further injury.</w:t>
      </w:r>
    </w:p>
    <w:p w14:paraId="33A11909" w14:textId="77777777" w:rsidR="005F391B" w:rsidRPr="006E27C3" w:rsidRDefault="005F391B" w:rsidP="009A225A">
      <w:pPr>
        <w:pStyle w:val="ListParagraph"/>
        <w:ind w:left="1440"/>
        <w:rPr>
          <w:rFonts w:cs="Open Sans"/>
          <w:iCs/>
          <w:sz w:val="22"/>
          <w:szCs w:val="22"/>
        </w:rPr>
      </w:pPr>
      <w:r w:rsidRPr="0000429E">
        <w:rPr>
          <w:rFonts w:cs="Open Sans"/>
          <w:iCs/>
          <w:sz w:val="22"/>
          <w:szCs w:val="22"/>
        </w:rPr>
        <w:t xml:space="preserve">Mechanical Restraints were removed by ERT Officers at 2333hrs.  Mr </w:t>
      </w:r>
      <w:r>
        <w:rPr>
          <w:rFonts w:cs="Open Sans"/>
          <w:iCs/>
          <w:sz w:val="22"/>
          <w:szCs w:val="22"/>
        </w:rPr>
        <w:t>AO</w:t>
      </w:r>
      <w:r w:rsidRPr="0000429E">
        <w:rPr>
          <w:rFonts w:cs="Open Sans"/>
          <w:iCs/>
          <w:sz w:val="22"/>
          <w:szCs w:val="22"/>
        </w:rPr>
        <w:t xml:space="preserve"> was placed into the recovery position and monitored by ERT officers. Mr </w:t>
      </w:r>
      <w:r>
        <w:rPr>
          <w:rFonts w:cs="Open Sans"/>
          <w:iCs/>
          <w:sz w:val="22"/>
          <w:szCs w:val="22"/>
        </w:rPr>
        <w:t>AO</w:t>
      </w:r>
      <w:r w:rsidRPr="0000429E">
        <w:rPr>
          <w:rFonts w:cs="Open Sans"/>
          <w:iCs/>
          <w:sz w:val="22"/>
          <w:szCs w:val="22"/>
        </w:rPr>
        <w:t xml:space="preserve"> was taken by stretcher to the Christmas Island IDC Medical Centre, secured by straps. The on-call IHMS GP was </w:t>
      </w:r>
      <w:proofErr w:type="gramStart"/>
      <w:r w:rsidRPr="0000429E">
        <w:rPr>
          <w:rFonts w:cs="Open Sans"/>
          <w:iCs/>
          <w:sz w:val="22"/>
          <w:szCs w:val="22"/>
        </w:rPr>
        <w:t>contacted</w:t>
      </w:r>
      <w:proofErr w:type="gramEnd"/>
      <w:r w:rsidRPr="0000429E">
        <w:rPr>
          <w:rFonts w:cs="Open Sans"/>
          <w:iCs/>
          <w:sz w:val="22"/>
          <w:szCs w:val="22"/>
        </w:rPr>
        <w:t xml:space="preserve"> and Mr </w:t>
      </w:r>
      <w:r>
        <w:rPr>
          <w:rFonts w:cs="Open Sans"/>
          <w:iCs/>
          <w:sz w:val="22"/>
          <w:szCs w:val="22"/>
        </w:rPr>
        <w:t>AO</w:t>
      </w:r>
      <w:r w:rsidRPr="0000429E">
        <w:rPr>
          <w:rFonts w:cs="Open Sans"/>
          <w:iCs/>
          <w:sz w:val="22"/>
          <w:szCs w:val="22"/>
        </w:rPr>
        <w:t xml:space="preserve"> was assessed shortly after in the IHMS medical clinic. The GP noted that Mr </w:t>
      </w:r>
      <w:r>
        <w:rPr>
          <w:rFonts w:cs="Open Sans"/>
          <w:iCs/>
          <w:sz w:val="22"/>
          <w:szCs w:val="22"/>
        </w:rPr>
        <w:t>AO</w:t>
      </w:r>
      <w:r w:rsidRPr="0000429E">
        <w:rPr>
          <w:rFonts w:cs="Open Sans"/>
          <w:iCs/>
          <w:sz w:val="22"/>
          <w:szCs w:val="22"/>
        </w:rPr>
        <w:t xml:space="preserve"> had a lump to his forehead, red marks to forearms, </w:t>
      </w:r>
      <w:proofErr w:type="gramStart"/>
      <w:r w:rsidRPr="0000429E">
        <w:rPr>
          <w:rFonts w:cs="Open Sans"/>
          <w:iCs/>
          <w:sz w:val="22"/>
          <w:szCs w:val="22"/>
        </w:rPr>
        <w:t>chest</w:t>
      </w:r>
      <w:proofErr w:type="gramEnd"/>
      <w:r w:rsidRPr="0000429E">
        <w:rPr>
          <w:rFonts w:cs="Open Sans"/>
          <w:iCs/>
          <w:sz w:val="22"/>
          <w:szCs w:val="22"/>
        </w:rPr>
        <w:t xml:space="preserve"> and upper arms with no evidence of fracture. The IHMS GP reported that Mr </w:t>
      </w:r>
      <w:r>
        <w:rPr>
          <w:rFonts w:cs="Open Sans"/>
          <w:iCs/>
          <w:sz w:val="22"/>
          <w:szCs w:val="22"/>
        </w:rPr>
        <w:t>AO</w:t>
      </w:r>
      <w:r w:rsidRPr="0000429E">
        <w:rPr>
          <w:rFonts w:cs="Open Sans"/>
          <w:iCs/>
          <w:sz w:val="22"/>
          <w:szCs w:val="22"/>
        </w:rPr>
        <w:t xml:space="preserve"> was catatonic (affecting the motor skills in the human body).</w:t>
      </w:r>
    </w:p>
    <w:p w14:paraId="464A2E8F" w14:textId="77777777" w:rsidR="005F391B" w:rsidRPr="00E95FE0" w:rsidRDefault="005F391B" w:rsidP="0002529B">
      <w:pPr>
        <w:pStyle w:val="AHRCHeading1"/>
      </w:pPr>
      <w:bookmarkStart w:id="19" w:name="_Toc12522083"/>
      <w:bookmarkStart w:id="20" w:name="_Toc83845014"/>
      <w:bookmarkStart w:id="21" w:name="_Toc98851988"/>
      <w:bookmarkStart w:id="22" w:name="_Toc12522084"/>
      <w:bookmarkStart w:id="23" w:name="_Toc452472691"/>
      <w:bookmarkStart w:id="24" w:name="_Toc487445598"/>
      <w:bookmarkStart w:id="25" w:name="_Toc487531383"/>
      <w:bookmarkStart w:id="26" w:name="_Toc487531402"/>
      <w:bookmarkStart w:id="27" w:name="_Toc487531472"/>
      <w:bookmarkStart w:id="28" w:name="_Toc487531592"/>
      <w:bookmarkStart w:id="29" w:name="_Toc511049481"/>
      <w:bookmarkStart w:id="30" w:name="_Toc4159041"/>
      <w:r w:rsidRPr="00E95FE0">
        <w:lastRenderedPageBreak/>
        <w:t>Conciliation</w:t>
      </w:r>
      <w:bookmarkEnd w:id="19"/>
      <w:bookmarkEnd w:id="20"/>
      <w:bookmarkEnd w:id="21"/>
    </w:p>
    <w:p w14:paraId="26E8F7F2" w14:textId="2F409631" w:rsidR="005F391B" w:rsidRDefault="005F391B" w:rsidP="009A225A">
      <w:pPr>
        <w:pStyle w:val="SubmissionNormal"/>
        <w:numPr>
          <w:ilvl w:val="0"/>
          <w:numId w:val="20"/>
        </w:numPr>
        <w:rPr>
          <w:rFonts w:cs="Open Sans"/>
        </w:rPr>
      </w:pPr>
      <w:r w:rsidRPr="00E95FE0">
        <w:rPr>
          <w:rFonts w:cs="Open Sans"/>
        </w:rPr>
        <w:t xml:space="preserve">The </w:t>
      </w:r>
      <w:r w:rsidR="00425F5E">
        <w:rPr>
          <w:rFonts w:cs="Open Sans"/>
        </w:rPr>
        <w:t>Department</w:t>
      </w:r>
      <w:r w:rsidR="00425F5E" w:rsidRPr="00E95FE0">
        <w:rPr>
          <w:rFonts w:cs="Open Sans"/>
        </w:rPr>
        <w:t xml:space="preserve"> </w:t>
      </w:r>
      <w:r w:rsidRPr="00E95FE0">
        <w:rPr>
          <w:rFonts w:cs="Open Sans"/>
        </w:rPr>
        <w:t>indicated that it did not want to participate in conciliation of the matter.</w:t>
      </w:r>
    </w:p>
    <w:p w14:paraId="527CCA24" w14:textId="77777777" w:rsidR="005F391B" w:rsidRPr="00E95FE0" w:rsidRDefault="005F391B" w:rsidP="0002529B">
      <w:pPr>
        <w:pStyle w:val="AHRCHeading1"/>
      </w:pPr>
      <w:bookmarkStart w:id="31" w:name="_Toc83845015"/>
      <w:bookmarkStart w:id="32" w:name="_Toc98851989"/>
      <w:r w:rsidRPr="00E95FE0">
        <w:t>Procedural history of this inquiry</w:t>
      </w:r>
      <w:bookmarkEnd w:id="22"/>
      <w:bookmarkEnd w:id="31"/>
      <w:bookmarkEnd w:id="32"/>
    </w:p>
    <w:p w14:paraId="1863AF02" w14:textId="520DF054" w:rsidR="005F391B" w:rsidRPr="00E95FE0" w:rsidRDefault="005F391B" w:rsidP="009A225A">
      <w:pPr>
        <w:pStyle w:val="SubmissionNormal"/>
        <w:numPr>
          <w:ilvl w:val="0"/>
          <w:numId w:val="20"/>
        </w:numPr>
        <w:rPr>
          <w:rFonts w:cs="Open Sans"/>
        </w:rPr>
      </w:pPr>
      <w:r w:rsidRPr="00E95FE0">
        <w:rPr>
          <w:rFonts w:cs="Open Sans"/>
        </w:rPr>
        <w:t xml:space="preserve">On </w:t>
      </w:r>
      <w:r>
        <w:rPr>
          <w:rFonts w:cs="Open Sans"/>
        </w:rPr>
        <w:t xml:space="preserve">4 January </w:t>
      </w:r>
      <w:r w:rsidRPr="00E95FE0">
        <w:rPr>
          <w:rFonts w:cs="Open Sans"/>
        </w:rPr>
        <w:t>20</w:t>
      </w:r>
      <w:r>
        <w:rPr>
          <w:rFonts w:cs="Open Sans"/>
        </w:rPr>
        <w:t>21</w:t>
      </w:r>
      <w:r w:rsidRPr="00E95FE0">
        <w:rPr>
          <w:rFonts w:cs="Open Sans"/>
        </w:rPr>
        <w:t xml:space="preserve">, I issued a preliminary view in this matter and gave </w:t>
      </w:r>
      <w:r>
        <w:rPr>
          <w:rFonts w:cs="Open Sans"/>
        </w:rPr>
        <w:t xml:space="preserve">Mr AO, </w:t>
      </w:r>
      <w:r w:rsidRPr="00E95FE0">
        <w:rPr>
          <w:rFonts w:cs="Open Sans"/>
        </w:rPr>
        <w:t>the Department</w:t>
      </w:r>
      <w:r w:rsidR="00840587">
        <w:rPr>
          <w:rFonts w:cs="Open Sans"/>
        </w:rPr>
        <w:t>,</w:t>
      </w:r>
      <w:r>
        <w:rPr>
          <w:rFonts w:cs="Open Sans"/>
        </w:rPr>
        <w:t xml:space="preserve"> and the Minister</w:t>
      </w:r>
      <w:r w:rsidRPr="00E95FE0">
        <w:rPr>
          <w:rFonts w:cs="Open Sans"/>
        </w:rPr>
        <w:t xml:space="preserve"> the opportunity to respond to my preliminary findings. </w:t>
      </w:r>
    </w:p>
    <w:p w14:paraId="433D90BB" w14:textId="69F1BC44" w:rsidR="005F391B" w:rsidRDefault="005F391B" w:rsidP="009A225A">
      <w:pPr>
        <w:pStyle w:val="SubmissionNormal"/>
        <w:numPr>
          <w:ilvl w:val="0"/>
          <w:numId w:val="20"/>
        </w:numPr>
        <w:rPr>
          <w:rFonts w:cs="Open Sans"/>
        </w:rPr>
      </w:pPr>
      <w:r w:rsidRPr="00E95FE0">
        <w:rPr>
          <w:rFonts w:cs="Open Sans"/>
        </w:rPr>
        <w:t xml:space="preserve">On </w:t>
      </w:r>
      <w:r>
        <w:rPr>
          <w:rFonts w:cs="Open Sans"/>
        </w:rPr>
        <w:t>19 March</w:t>
      </w:r>
      <w:r w:rsidRPr="00E95FE0">
        <w:rPr>
          <w:rFonts w:cs="Open Sans"/>
        </w:rPr>
        <w:t xml:space="preserve"> 20</w:t>
      </w:r>
      <w:r>
        <w:rPr>
          <w:rFonts w:cs="Open Sans"/>
        </w:rPr>
        <w:t>21</w:t>
      </w:r>
      <w:r w:rsidRPr="00E95FE0">
        <w:rPr>
          <w:rFonts w:cs="Open Sans"/>
        </w:rPr>
        <w:t>, the Department responded to my preliminary view</w:t>
      </w:r>
      <w:r>
        <w:rPr>
          <w:rFonts w:cs="Open Sans"/>
        </w:rPr>
        <w:t>.</w:t>
      </w:r>
      <w:r w:rsidRPr="00E95FE0">
        <w:rPr>
          <w:rFonts w:cs="Open Sans"/>
        </w:rPr>
        <w:t xml:space="preserve"> </w:t>
      </w:r>
      <w:r w:rsidR="00840587">
        <w:rPr>
          <w:rFonts w:cs="Open Sans"/>
        </w:rPr>
        <w:t>I </w:t>
      </w:r>
      <w:r w:rsidR="00987959">
        <w:rPr>
          <w:rFonts w:cs="Open Sans"/>
        </w:rPr>
        <w:t xml:space="preserve">considered this response in reaching my final views. </w:t>
      </w:r>
    </w:p>
    <w:p w14:paraId="7D63ED70" w14:textId="48E7A17E" w:rsidR="00987959" w:rsidRDefault="00987959" w:rsidP="009A225A">
      <w:pPr>
        <w:pStyle w:val="SubmissionNormal"/>
        <w:numPr>
          <w:ilvl w:val="0"/>
          <w:numId w:val="20"/>
        </w:numPr>
        <w:rPr>
          <w:rFonts w:cs="Open Sans"/>
        </w:rPr>
      </w:pPr>
      <w:r>
        <w:rPr>
          <w:rFonts w:cs="Open Sans"/>
        </w:rPr>
        <w:t>On</w:t>
      </w:r>
      <w:r w:rsidR="00EA3F24">
        <w:rPr>
          <w:rFonts w:cs="Open Sans"/>
        </w:rPr>
        <w:t xml:space="preserve"> 29 September 2021, I provided the Department with a notice of my findings </w:t>
      </w:r>
      <w:r w:rsidR="00EA3F24" w:rsidRPr="00681CDA">
        <w:rPr>
          <w:rFonts w:cs="Open Sans"/>
        </w:rPr>
        <w:t>pursuant to s 29(2) of the AHRC Act</w:t>
      </w:r>
      <w:r w:rsidR="00EA3F24">
        <w:rPr>
          <w:rFonts w:cs="Open Sans"/>
        </w:rPr>
        <w:t>.</w:t>
      </w:r>
    </w:p>
    <w:p w14:paraId="52A208CA" w14:textId="31E11469" w:rsidR="00EA3F24" w:rsidRPr="00EA3F24" w:rsidRDefault="00987959" w:rsidP="00EA3F24">
      <w:pPr>
        <w:pStyle w:val="SubmissionNormal"/>
        <w:numPr>
          <w:ilvl w:val="0"/>
          <w:numId w:val="20"/>
        </w:numPr>
        <w:rPr>
          <w:rFonts w:cs="Open Sans"/>
        </w:rPr>
      </w:pPr>
      <w:r>
        <w:rPr>
          <w:rFonts w:cs="Open Sans"/>
        </w:rPr>
        <w:t>On</w:t>
      </w:r>
      <w:r w:rsidR="00EA3F24">
        <w:rPr>
          <w:rFonts w:cs="Open Sans"/>
        </w:rPr>
        <w:t xml:space="preserve"> 24 February 2022, the Department responded to the notice, as set out in </w:t>
      </w:r>
      <w:r w:rsidR="008D17DA">
        <w:rPr>
          <w:rFonts w:cs="Open Sans"/>
        </w:rPr>
        <w:t>Part</w:t>
      </w:r>
      <w:r w:rsidR="00EA3F24">
        <w:rPr>
          <w:rFonts w:cs="Open Sans"/>
        </w:rPr>
        <w:t xml:space="preserve"> 9.</w:t>
      </w:r>
    </w:p>
    <w:p w14:paraId="2BE627D5" w14:textId="77777777" w:rsidR="005F391B" w:rsidRPr="00E95FE0" w:rsidRDefault="005F391B" w:rsidP="009A225A">
      <w:pPr>
        <w:pStyle w:val="Heading1"/>
        <w:tabs>
          <w:tab w:val="num" w:pos="709"/>
          <w:tab w:val="left" w:pos="810"/>
        </w:tabs>
        <w:spacing w:before="240"/>
        <w:ind w:left="720" w:hanging="720"/>
        <w:rPr>
          <w:rFonts w:cs="Open Sans"/>
          <w:szCs w:val="36"/>
        </w:rPr>
      </w:pPr>
      <w:bookmarkStart w:id="33" w:name="_Toc83845016"/>
      <w:bookmarkStart w:id="34" w:name="_Toc98851990"/>
      <w:r w:rsidRPr="00E95FE0">
        <w:rPr>
          <w:rFonts w:cs="Open Sans"/>
          <w:szCs w:val="36"/>
        </w:rPr>
        <w:t>Legislative framework</w:t>
      </w:r>
      <w:bookmarkEnd w:id="23"/>
      <w:bookmarkEnd w:id="24"/>
      <w:bookmarkEnd w:id="25"/>
      <w:bookmarkEnd w:id="26"/>
      <w:bookmarkEnd w:id="27"/>
      <w:bookmarkEnd w:id="28"/>
      <w:bookmarkEnd w:id="29"/>
      <w:bookmarkEnd w:id="30"/>
      <w:bookmarkEnd w:id="33"/>
      <w:bookmarkEnd w:id="34"/>
    </w:p>
    <w:p w14:paraId="3792DE50" w14:textId="77777777" w:rsidR="005F391B" w:rsidRPr="00095097" w:rsidRDefault="005F391B" w:rsidP="00E35D14">
      <w:pPr>
        <w:pStyle w:val="AHRCHeading2"/>
      </w:pPr>
      <w:bookmarkStart w:id="35" w:name="_Toc452472692"/>
      <w:bookmarkStart w:id="36" w:name="_Toc487445599"/>
      <w:bookmarkStart w:id="37" w:name="_Toc487531384"/>
      <w:bookmarkStart w:id="38" w:name="_Toc487531403"/>
      <w:bookmarkStart w:id="39" w:name="_Toc487531473"/>
      <w:bookmarkStart w:id="40" w:name="_Toc487531593"/>
      <w:bookmarkStart w:id="41" w:name="_Toc511049482"/>
      <w:bookmarkStart w:id="42" w:name="_Toc4159042"/>
      <w:bookmarkStart w:id="43" w:name="_Toc83845017"/>
      <w:bookmarkStart w:id="44" w:name="_Toc98851991"/>
      <w:r w:rsidRPr="00E95FE0">
        <w:t>Functions of the Commission</w:t>
      </w:r>
      <w:bookmarkEnd w:id="35"/>
      <w:bookmarkEnd w:id="36"/>
      <w:bookmarkEnd w:id="37"/>
      <w:bookmarkEnd w:id="38"/>
      <w:bookmarkEnd w:id="39"/>
      <w:bookmarkEnd w:id="40"/>
      <w:bookmarkEnd w:id="41"/>
      <w:bookmarkEnd w:id="42"/>
      <w:bookmarkEnd w:id="43"/>
      <w:bookmarkEnd w:id="44"/>
    </w:p>
    <w:p w14:paraId="186764ED" w14:textId="77777777" w:rsidR="005F391B" w:rsidRPr="00E95FE0" w:rsidRDefault="005F391B" w:rsidP="009A225A">
      <w:pPr>
        <w:numPr>
          <w:ilvl w:val="0"/>
          <w:numId w:val="20"/>
        </w:numPr>
        <w:tabs>
          <w:tab w:val="num" w:pos="960"/>
        </w:tabs>
        <w:rPr>
          <w:rFonts w:cs="Open Sans"/>
        </w:rPr>
      </w:pPr>
      <w:r w:rsidRPr="00E95FE0">
        <w:rPr>
          <w:rFonts w:cs="Open Sans"/>
        </w:rPr>
        <w:t xml:space="preserve">Section 11(1)(f) of the AHRC Act provides that the Commission has the function to inquire into any act or practice that may be inconsistent with, or contrary to, any human right. </w:t>
      </w:r>
    </w:p>
    <w:p w14:paraId="5197A4F9" w14:textId="77777777" w:rsidR="005F391B" w:rsidRPr="00E95FE0" w:rsidRDefault="005F391B" w:rsidP="009A225A">
      <w:pPr>
        <w:numPr>
          <w:ilvl w:val="0"/>
          <w:numId w:val="20"/>
        </w:numPr>
        <w:tabs>
          <w:tab w:val="num" w:pos="960"/>
        </w:tabs>
        <w:rPr>
          <w:rFonts w:cs="Open Sans"/>
        </w:rPr>
      </w:pPr>
      <w:r w:rsidRPr="00E95FE0">
        <w:rPr>
          <w:rFonts w:cs="Open Sans"/>
        </w:rPr>
        <w:t xml:space="preserve">Section 20(1)(b) of the AHRC Act requires the Commission to perform this function when a complaint is made to it in writing alleging that an act is inconsistent with, or contrary to, any human right. </w:t>
      </w:r>
    </w:p>
    <w:p w14:paraId="41A0CC3C" w14:textId="77777777" w:rsidR="005F391B" w:rsidRPr="00E95FE0" w:rsidRDefault="005F391B" w:rsidP="009A225A">
      <w:pPr>
        <w:numPr>
          <w:ilvl w:val="0"/>
          <w:numId w:val="20"/>
        </w:numPr>
        <w:tabs>
          <w:tab w:val="num" w:pos="960"/>
        </w:tabs>
        <w:rPr>
          <w:rFonts w:cs="Open Sans"/>
        </w:rPr>
      </w:pPr>
      <w:r w:rsidRPr="00E95FE0">
        <w:rPr>
          <w:rFonts w:cs="Open Sans"/>
        </w:rPr>
        <w:t>Section 8(6) of the AHRC Act requires that the functions of the Commission under s 11(1)(f) be performed by the President.</w:t>
      </w:r>
    </w:p>
    <w:p w14:paraId="50C7E33A" w14:textId="77777777" w:rsidR="005F391B" w:rsidRPr="00E95FE0" w:rsidRDefault="005F391B" w:rsidP="00E35D14">
      <w:pPr>
        <w:pStyle w:val="AHRCHeading2"/>
        <w:rPr>
          <w:i/>
        </w:rPr>
      </w:pPr>
      <w:bookmarkStart w:id="45" w:name="_Toc4159043"/>
      <w:bookmarkStart w:id="46" w:name="_Toc83845018"/>
      <w:bookmarkStart w:id="47" w:name="_Toc98851992"/>
      <w:r w:rsidRPr="00E95FE0">
        <w:t>What is an ‘act’ or ‘practice?</w:t>
      </w:r>
      <w:bookmarkEnd w:id="45"/>
      <w:bookmarkEnd w:id="46"/>
      <w:bookmarkEnd w:id="47"/>
    </w:p>
    <w:p w14:paraId="1F650236" w14:textId="77777777" w:rsidR="005F391B" w:rsidRPr="00E95FE0" w:rsidRDefault="005F391B" w:rsidP="009A225A">
      <w:pPr>
        <w:numPr>
          <w:ilvl w:val="0"/>
          <w:numId w:val="20"/>
        </w:numPr>
        <w:rPr>
          <w:rFonts w:cs="Open Sans"/>
        </w:rPr>
      </w:pPr>
      <w:r w:rsidRPr="00E95FE0">
        <w:rPr>
          <w:rFonts w:cs="Open Sans"/>
        </w:rPr>
        <w:t>The terms ‘act’ and ‘practice’ are defined in s 3(1) of the AHRC Act to include an act done or a practice engaged in by or on behalf of the Commonwealth or an authority of the Commonwealth or under an enactment.</w:t>
      </w:r>
    </w:p>
    <w:p w14:paraId="011298CE" w14:textId="77777777" w:rsidR="005F391B" w:rsidRPr="00E95FE0" w:rsidRDefault="005F391B" w:rsidP="009A225A">
      <w:pPr>
        <w:numPr>
          <w:ilvl w:val="0"/>
          <w:numId w:val="20"/>
        </w:numPr>
        <w:rPr>
          <w:rFonts w:cs="Open Sans"/>
        </w:rPr>
      </w:pPr>
      <w:r w:rsidRPr="00E95FE0">
        <w:rPr>
          <w:rFonts w:cs="Open Sans"/>
        </w:rPr>
        <w:t>Section 3(3) provides that the reference to, or to the doing of, an act includes a reference to a refusal or failure to do an act.</w:t>
      </w:r>
    </w:p>
    <w:p w14:paraId="417CB961" w14:textId="77777777" w:rsidR="005F391B" w:rsidRPr="00E95FE0" w:rsidRDefault="005F391B" w:rsidP="009A225A">
      <w:pPr>
        <w:numPr>
          <w:ilvl w:val="0"/>
          <w:numId w:val="20"/>
        </w:numPr>
        <w:rPr>
          <w:rFonts w:cs="Open Sans"/>
        </w:rPr>
      </w:pPr>
      <w:r w:rsidRPr="00E95FE0">
        <w:rPr>
          <w:rFonts w:cs="Open Sans"/>
        </w:rPr>
        <w:lastRenderedPageBreak/>
        <w:t>The functions of the Commission identified in s 11(1)(f) of the AHRC Act are only engaged where the act complained of is not one required by law to be taken, that is, where the relevant act or practice is within the discretion of the Commonwealth.</w:t>
      </w:r>
      <w:r w:rsidRPr="00E95FE0">
        <w:rPr>
          <w:rStyle w:val="EndnoteReference"/>
          <w:rFonts w:cs="Open Sans"/>
        </w:rPr>
        <w:endnoteReference w:id="3"/>
      </w:r>
      <w:r w:rsidRPr="00E95FE0">
        <w:rPr>
          <w:rFonts w:cs="Open Sans"/>
        </w:rPr>
        <w:t xml:space="preserve"> </w:t>
      </w:r>
    </w:p>
    <w:p w14:paraId="68E08DF6" w14:textId="77777777" w:rsidR="005F391B" w:rsidRPr="00095097" w:rsidRDefault="005F391B" w:rsidP="00E35D14">
      <w:pPr>
        <w:pStyle w:val="AHRCHeading2"/>
      </w:pPr>
      <w:bookmarkStart w:id="48" w:name="_Toc452472694"/>
      <w:bookmarkStart w:id="49" w:name="_Toc487445601"/>
      <w:bookmarkStart w:id="50" w:name="_Toc487531386"/>
      <w:bookmarkStart w:id="51" w:name="_Toc487531405"/>
      <w:bookmarkStart w:id="52" w:name="_Toc487531475"/>
      <w:bookmarkStart w:id="53" w:name="_Toc487531595"/>
      <w:bookmarkStart w:id="54" w:name="_Toc511049484"/>
      <w:bookmarkStart w:id="55" w:name="_Toc4159044"/>
      <w:bookmarkStart w:id="56" w:name="_Toc83845019"/>
      <w:bookmarkStart w:id="57" w:name="_Toc98851993"/>
      <w:r w:rsidRPr="00E95FE0">
        <w:t>What is a human right?</w:t>
      </w:r>
      <w:bookmarkEnd w:id="48"/>
      <w:bookmarkEnd w:id="49"/>
      <w:bookmarkEnd w:id="50"/>
      <w:bookmarkEnd w:id="51"/>
      <w:bookmarkEnd w:id="52"/>
      <w:bookmarkEnd w:id="53"/>
      <w:bookmarkEnd w:id="54"/>
      <w:bookmarkEnd w:id="55"/>
      <w:bookmarkEnd w:id="56"/>
      <w:bookmarkEnd w:id="57"/>
    </w:p>
    <w:p w14:paraId="09B305DD" w14:textId="77777777" w:rsidR="005F391B" w:rsidRDefault="005F391B" w:rsidP="009A225A">
      <w:pPr>
        <w:numPr>
          <w:ilvl w:val="0"/>
          <w:numId w:val="20"/>
        </w:numPr>
        <w:tabs>
          <w:tab w:val="num" w:pos="960"/>
        </w:tabs>
        <w:rPr>
          <w:rFonts w:cs="Open Sans"/>
        </w:rPr>
      </w:pPr>
      <w:r w:rsidRPr="00E95FE0">
        <w:rPr>
          <w:rFonts w:cs="Open Sans"/>
        </w:rPr>
        <w:t xml:space="preserve">The phrase ‘human rights’ is defined by s 3(1) of the AHRC Act to include the rights and freedoms recognised in the ICCPR. </w:t>
      </w:r>
    </w:p>
    <w:p w14:paraId="33F4AD8D" w14:textId="77777777" w:rsidR="005F391B" w:rsidRPr="00E95FE0" w:rsidRDefault="005F391B" w:rsidP="009A225A">
      <w:pPr>
        <w:keepNext/>
        <w:numPr>
          <w:ilvl w:val="0"/>
          <w:numId w:val="20"/>
        </w:numPr>
        <w:rPr>
          <w:rFonts w:cs="Open Sans"/>
        </w:rPr>
      </w:pPr>
      <w:r w:rsidRPr="00E95FE0">
        <w:rPr>
          <w:rFonts w:cs="Open Sans"/>
        </w:rPr>
        <w:t>Article 10(1) of the ICCPR provides:</w:t>
      </w:r>
    </w:p>
    <w:p w14:paraId="4CB2D1E3" w14:textId="77777777" w:rsidR="005F391B" w:rsidRDefault="005F391B" w:rsidP="009A225A">
      <w:pPr>
        <w:ind w:left="1440"/>
        <w:rPr>
          <w:rFonts w:cs="Open Sans"/>
          <w:iCs/>
          <w:sz w:val="22"/>
          <w:szCs w:val="22"/>
        </w:rPr>
      </w:pPr>
      <w:r w:rsidRPr="00E95FE0">
        <w:rPr>
          <w:rFonts w:cs="Open Sans"/>
          <w:iCs/>
          <w:sz w:val="22"/>
          <w:szCs w:val="22"/>
        </w:rPr>
        <w:t>All persons deprived of their liberty shall be treated with humanity and with respect for the inherent dignity of the human person.</w:t>
      </w:r>
    </w:p>
    <w:p w14:paraId="032ADF3D" w14:textId="2FC67A7D" w:rsidR="005F391B" w:rsidRPr="00095097" w:rsidRDefault="005F391B" w:rsidP="008A4D2D">
      <w:pPr>
        <w:pStyle w:val="AHRCHeading2"/>
      </w:pPr>
      <w:bookmarkStart w:id="58" w:name="_Toc83845020"/>
      <w:bookmarkStart w:id="59" w:name="_Toc98851994"/>
      <w:r>
        <w:t>Right of detainees to be treated with humanity and</w:t>
      </w:r>
      <w:r w:rsidR="009A225A">
        <w:t xml:space="preserve"> </w:t>
      </w:r>
      <w:r>
        <w:t>dignity</w:t>
      </w:r>
      <w:bookmarkEnd w:id="58"/>
      <w:bookmarkEnd w:id="59"/>
    </w:p>
    <w:p w14:paraId="1EC2DE9C" w14:textId="77777777" w:rsidR="005F391B" w:rsidRPr="00095097" w:rsidRDefault="005F391B" w:rsidP="009A225A">
      <w:pPr>
        <w:numPr>
          <w:ilvl w:val="0"/>
          <w:numId w:val="20"/>
        </w:numPr>
        <w:tabs>
          <w:tab w:val="num" w:pos="960"/>
        </w:tabs>
        <w:rPr>
          <w:rFonts w:cs="Open Sans"/>
        </w:rPr>
      </w:pPr>
      <w:r w:rsidRPr="00095097">
        <w:rPr>
          <w:rFonts w:cs="Open Sans"/>
          <w:color w:val="000000"/>
        </w:rPr>
        <w:t xml:space="preserve">General Comment 21 on article 10(1) of the ICCPR by the United Nations Human Rights Committee (UN HR Committee) states: </w:t>
      </w:r>
    </w:p>
    <w:p w14:paraId="34E2CA09" w14:textId="20AB348C" w:rsidR="005F391B" w:rsidRPr="00971D0A" w:rsidRDefault="005F391B" w:rsidP="009A225A">
      <w:pPr>
        <w:widowControl w:val="0"/>
        <w:ind w:left="1440"/>
        <w:rPr>
          <w:rFonts w:cs="Open Sans"/>
          <w:iCs/>
          <w:color w:val="000000"/>
          <w:sz w:val="22"/>
          <w:szCs w:val="22"/>
        </w:rPr>
      </w:pPr>
      <w:r w:rsidRPr="00971D0A">
        <w:rPr>
          <w:rFonts w:cs="Open Sans"/>
          <w:iCs/>
          <w:color w:val="000000"/>
          <w:sz w:val="22"/>
          <w:szCs w:val="22"/>
        </w:rPr>
        <w:t>Article 10, paragraph 1, imposes on State</w:t>
      </w:r>
      <w:r w:rsidR="00876A7E">
        <w:rPr>
          <w:rFonts w:cs="Open Sans"/>
          <w:iCs/>
          <w:color w:val="000000"/>
          <w:sz w:val="22"/>
          <w:szCs w:val="22"/>
        </w:rPr>
        <w:t>s</w:t>
      </w:r>
      <w:r w:rsidRPr="00971D0A">
        <w:rPr>
          <w:rFonts w:cs="Open Sans"/>
          <w:iCs/>
          <w:color w:val="000000"/>
          <w:sz w:val="22"/>
          <w:szCs w:val="22"/>
        </w:rPr>
        <w:t xml:space="preserve"> parties a positive obligation towards persons who are particularly vulnerable because of their status as persons deprived of their liberty, and complements for them the ban on torture or other cruel, </w:t>
      </w:r>
      <w:proofErr w:type="gramStart"/>
      <w:r w:rsidRPr="00971D0A">
        <w:rPr>
          <w:rFonts w:cs="Open Sans"/>
          <w:iCs/>
          <w:color w:val="000000"/>
          <w:sz w:val="22"/>
          <w:szCs w:val="22"/>
        </w:rPr>
        <w:t>inhuman</w:t>
      </w:r>
      <w:proofErr w:type="gramEnd"/>
      <w:r w:rsidRPr="00971D0A">
        <w:rPr>
          <w:rFonts w:cs="Open Sans"/>
          <w:iCs/>
          <w:color w:val="000000"/>
          <w:sz w:val="22"/>
          <w:szCs w:val="22"/>
        </w:rPr>
        <w:t xml:space="preserve"> or degrading treatment or punishment contained in article 7 of the Covenant. Thus, not only may persons deprived of their liberty not be subjected to treatment which is contrary to article 7 … but neither may they be subjected to any hardship or constraint other than that resulting from the deprivation of liberty; respect for the dignity of such persons must be guaranteed under the same conditions as that of free persons.</w:t>
      </w:r>
      <w:r w:rsidRPr="00971D0A">
        <w:rPr>
          <w:rFonts w:cs="Open Sans"/>
          <w:iCs/>
          <w:color w:val="000000"/>
          <w:sz w:val="22"/>
          <w:szCs w:val="22"/>
          <w:vertAlign w:val="superscript"/>
        </w:rPr>
        <w:endnoteReference w:id="4"/>
      </w:r>
      <w:r w:rsidRPr="00971D0A">
        <w:rPr>
          <w:rFonts w:cs="Open Sans"/>
          <w:iCs/>
          <w:color w:val="000000"/>
          <w:sz w:val="22"/>
          <w:szCs w:val="22"/>
        </w:rPr>
        <w:t xml:space="preserve"> </w:t>
      </w:r>
    </w:p>
    <w:p w14:paraId="7B6D910F" w14:textId="04EF686E" w:rsidR="005F391B" w:rsidRPr="00095097" w:rsidRDefault="005F391B" w:rsidP="009A225A">
      <w:pPr>
        <w:numPr>
          <w:ilvl w:val="0"/>
          <w:numId w:val="20"/>
        </w:numPr>
        <w:tabs>
          <w:tab w:val="num" w:pos="960"/>
        </w:tabs>
        <w:rPr>
          <w:rFonts w:cs="Open Sans"/>
        </w:rPr>
      </w:pPr>
      <w:r w:rsidRPr="00095097">
        <w:rPr>
          <w:rFonts w:cs="Open Sans"/>
          <w:color w:val="000000"/>
        </w:rPr>
        <w:t xml:space="preserve">The above </w:t>
      </w:r>
      <w:r w:rsidR="005F5A3F">
        <w:rPr>
          <w:rFonts w:cs="Open Sans"/>
          <w:color w:val="000000"/>
        </w:rPr>
        <w:t>General</w:t>
      </w:r>
      <w:r w:rsidR="00870908">
        <w:rPr>
          <w:rFonts w:cs="Open Sans"/>
          <w:color w:val="000000"/>
        </w:rPr>
        <w:t xml:space="preserve"> </w:t>
      </w:r>
      <w:r w:rsidRPr="00095097">
        <w:rPr>
          <w:rFonts w:cs="Open Sans"/>
          <w:color w:val="000000"/>
        </w:rPr>
        <w:t>Comment supports the conclusions that:</w:t>
      </w:r>
    </w:p>
    <w:p w14:paraId="3562EBD4" w14:textId="0A9F3DC5" w:rsidR="005F391B" w:rsidRDefault="005F391B" w:rsidP="009A225A">
      <w:pPr>
        <w:pStyle w:val="ListParagraph"/>
        <w:widowControl w:val="0"/>
        <w:numPr>
          <w:ilvl w:val="0"/>
          <w:numId w:val="21"/>
        </w:numPr>
        <w:tabs>
          <w:tab w:val="num" w:pos="1851"/>
        </w:tabs>
        <w:ind w:left="1071" w:hanging="357"/>
        <w:contextualSpacing/>
        <w:rPr>
          <w:rFonts w:cs="Open Sans"/>
          <w:color w:val="000000"/>
        </w:rPr>
      </w:pPr>
      <w:r w:rsidRPr="00190B34">
        <w:rPr>
          <w:rFonts w:cs="Open Sans"/>
          <w:color w:val="000000"/>
        </w:rPr>
        <w:t>article 10(1) imposes a positive obligation on State</w:t>
      </w:r>
      <w:r w:rsidR="00AB750B">
        <w:rPr>
          <w:rFonts w:cs="Open Sans"/>
          <w:color w:val="000000"/>
        </w:rPr>
        <w:t>s</w:t>
      </w:r>
      <w:r w:rsidRPr="00190B34">
        <w:rPr>
          <w:rFonts w:cs="Open Sans"/>
          <w:color w:val="000000"/>
        </w:rPr>
        <w:t xml:space="preserve"> </w:t>
      </w:r>
      <w:r w:rsidR="00AB750B">
        <w:rPr>
          <w:rFonts w:cs="Open Sans"/>
          <w:color w:val="000000"/>
        </w:rPr>
        <w:t>P</w:t>
      </w:r>
      <w:r w:rsidRPr="00190B34">
        <w:rPr>
          <w:rFonts w:cs="Open Sans"/>
          <w:color w:val="000000"/>
        </w:rPr>
        <w:t xml:space="preserve">arties to take actions to prevent inhumane treatment of detained persons </w:t>
      </w:r>
    </w:p>
    <w:p w14:paraId="2EFDF5C4" w14:textId="77777777" w:rsidR="005F391B" w:rsidRPr="00190B34" w:rsidRDefault="005F391B" w:rsidP="009A225A">
      <w:pPr>
        <w:pStyle w:val="ListParagraph"/>
        <w:widowControl w:val="0"/>
        <w:numPr>
          <w:ilvl w:val="0"/>
          <w:numId w:val="21"/>
        </w:numPr>
        <w:tabs>
          <w:tab w:val="num" w:pos="1851"/>
        </w:tabs>
        <w:ind w:left="1071" w:hanging="357"/>
        <w:contextualSpacing/>
        <w:rPr>
          <w:rFonts w:cs="Open Sans"/>
          <w:color w:val="000000"/>
        </w:rPr>
      </w:pPr>
      <w:r w:rsidRPr="00190B34">
        <w:rPr>
          <w:rFonts w:cs="Open Sans"/>
          <w:color w:val="000000"/>
        </w:rPr>
        <w:t>the threshold for establishing a breach of article 10(1) is lower than the threshold for establishing ‘cruel, inhuman or degrading treatment’ within the meaning of art</w:t>
      </w:r>
      <w:r>
        <w:rPr>
          <w:rFonts w:cs="Open Sans"/>
          <w:color w:val="000000"/>
        </w:rPr>
        <w:t>icle</w:t>
      </w:r>
      <w:r w:rsidRPr="00190B34">
        <w:rPr>
          <w:rFonts w:cs="Open Sans"/>
          <w:color w:val="000000"/>
        </w:rPr>
        <w:t xml:space="preserve"> 7 of the ICCPR</w:t>
      </w:r>
    </w:p>
    <w:p w14:paraId="5FCA1A32" w14:textId="77777777" w:rsidR="005F391B" w:rsidRPr="00FA4FB9" w:rsidRDefault="005F391B" w:rsidP="009A225A">
      <w:pPr>
        <w:pStyle w:val="ListParagraph"/>
        <w:widowControl w:val="0"/>
        <w:numPr>
          <w:ilvl w:val="0"/>
          <w:numId w:val="21"/>
        </w:numPr>
        <w:tabs>
          <w:tab w:val="num" w:pos="1851"/>
        </w:tabs>
        <w:ind w:left="1071" w:hanging="357"/>
        <w:contextualSpacing/>
        <w:rPr>
          <w:rFonts w:cs="Open Sans"/>
          <w:color w:val="000000"/>
        </w:rPr>
      </w:pPr>
      <w:r w:rsidRPr="00FA4FB9">
        <w:rPr>
          <w:rFonts w:cs="Open Sans"/>
          <w:color w:val="000000"/>
        </w:rPr>
        <w:t>the article may be breached if the detainees’ rights, protected by one of the other articles in the ICCPR, are breached</w:t>
      </w:r>
      <w:r>
        <w:rPr>
          <w:rFonts w:cs="Open Sans"/>
          <w:color w:val="000000"/>
        </w:rPr>
        <w:t>—</w:t>
      </w:r>
      <w:r w:rsidRPr="00FA4FB9">
        <w:rPr>
          <w:rFonts w:cs="Open Sans"/>
          <w:color w:val="000000"/>
        </w:rPr>
        <w:t>unless that breach is necessitated by the deprivation of liberty.</w:t>
      </w:r>
    </w:p>
    <w:p w14:paraId="675BE0A1" w14:textId="2A4F5620" w:rsidR="005F391B" w:rsidRPr="00095097" w:rsidRDefault="005F391B" w:rsidP="009A225A">
      <w:pPr>
        <w:numPr>
          <w:ilvl w:val="0"/>
          <w:numId w:val="20"/>
        </w:numPr>
        <w:tabs>
          <w:tab w:val="num" w:pos="960"/>
        </w:tabs>
        <w:rPr>
          <w:rFonts w:cs="Open Sans"/>
        </w:rPr>
      </w:pPr>
      <w:r w:rsidRPr="00095097">
        <w:rPr>
          <w:rFonts w:cs="Open Sans"/>
          <w:color w:val="000000"/>
        </w:rPr>
        <w:lastRenderedPageBreak/>
        <w:t>The above conclusions about the application of article 10(1) are also supported by the jurisprudence of the UN HR Committee,</w:t>
      </w:r>
      <w:r w:rsidRPr="00190B34">
        <w:rPr>
          <w:rFonts w:cs="Open Sans"/>
          <w:color w:val="000000"/>
          <w:vertAlign w:val="superscript"/>
        </w:rPr>
        <w:endnoteReference w:id="5"/>
      </w:r>
      <w:r w:rsidRPr="00095097">
        <w:rPr>
          <w:rFonts w:cs="Open Sans"/>
          <w:color w:val="000000"/>
        </w:rPr>
        <w:t xml:space="preserve"> which emphasises that there is a difference between the obligation imposed by article 7(1) not to engage in ‘inhuman’ treatment and the obligation imposed by article 10(1) to treat detainees with humanity and respect for their dignity. In </w:t>
      </w:r>
      <w:r w:rsidRPr="00095097">
        <w:rPr>
          <w:rFonts w:cs="Open Sans"/>
          <w:i/>
          <w:color w:val="000000"/>
        </w:rPr>
        <w:t xml:space="preserve">Christopher </w:t>
      </w:r>
      <w:proofErr w:type="spellStart"/>
      <w:r w:rsidRPr="00095097">
        <w:rPr>
          <w:rFonts w:cs="Open Sans"/>
          <w:i/>
          <w:color w:val="000000"/>
        </w:rPr>
        <w:t>Hapimana</w:t>
      </w:r>
      <w:proofErr w:type="spellEnd"/>
      <w:r w:rsidRPr="00095097">
        <w:rPr>
          <w:rFonts w:cs="Open Sans"/>
          <w:i/>
          <w:color w:val="000000"/>
        </w:rPr>
        <w:t xml:space="preserve"> Ben Mark </w:t>
      </w:r>
      <w:proofErr w:type="spellStart"/>
      <w:r w:rsidRPr="00095097">
        <w:rPr>
          <w:rFonts w:cs="Open Sans"/>
          <w:i/>
          <w:color w:val="000000"/>
        </w:rPr>
        <w:t>Taunoa</w:t>
      </w:r>
      <w:proofErr w:type="spellEnd"/>
      <w:r w:rsidRPr="00095097">
        <w:rPr>
          <w:rFonts w:cs="Open Sans"/>
          <w:i/>
          <w:color w:val="000000"/>
        </w:rPr>
        <w:t xml:space="preserve"> v Attorney General</w:t>
      </w:r>
      <w:r w:rsidRPr="00095097">
        <w:rPr>
          <w:rFonts w:cs="Open Sans"/>
          <w:color w:val="000000"/>
        </w:rPr>
        <w:t>,</w:t>
      </w:r>
      <w:r w:rsidRPr="00190B34">
        <w:rPr>
          <w:rFonts w:cs="Open Sans"/>
          <w:color w:val="000000"/>
          <w:vertAlign w:val="superscript"/>
        </w:rPr>
        <w:endnoteReference w:id="6"/>
      </w:r>
      <w:r w:rsidRPr="00095097">
        <w:rPr>
          <w:rFonts w:cs="Open Sans"/>
          <w:color w:val="000000"/>
        </w:rPr>
        <w:t xml:space="preserve"> the Supreme Court of New Zealand explained the difference between these two concepts as follows:</w:t>
      </w:r>
    </w:p>
    <w:p w14:paraId="4AC572FA" w14:textId="77777777" w:rsidR="005F391B" w:rsidRPr="00095097" w:rsidRDefault="005F391B" w:rsidP="009A225A">
      <w:pPr>
        <w:widowControl w:val="0"/>
        <w:ind w:left="1440"/>
        <w:rPr>
          <w:rFonts w:cs="Open Sans"/>
          <w:iCs/>
          <w:color w:val="000000"/>
          <w:sz w:val="22"/>
          <w:szCs w:val="22"/>
        </w:rPr>
      </w:pPr>
      <w:r w:rsidRPr="00095097">
        <w:rPr>
          <w:rFonts w:cs="Open Sans"/>
          <w:iCs/>
          <w:color w:val="000000"/>
          <w:sz w:val="22"/>
          <w:szCs w:val="22"/>
        </w:rPr>
        <w:t xml:space="preserve">A requirement to treat people with </w:t>
      </w:r>
      <w:bookmarkStart w:id="60" w:name="disp11"/>
      <w:r w:rsidRPr="00095097">
        <w:rPr>
          <w:rFonts w:cs="Open Sans"/>
          <w:iCs/>
          <w:color w:val="000000"/>
          <w:sz w:val="22"/>
          <w:szCs w:val="22"/>
        </w:rPr>
        <w:t xml:space="preserve">humanity </w:t>
      </w:r>
      <w:bookmarkEnd w:id="60"/>
      <w:r w:rsidRPr="00095097">
        <w:rPr>
          <w:rFonts w:cs="Open Sans"/>
          <w:iCs/>
          <w:color w:val="000000"/>
          <w:sz w:val="22"/>
          <w:szCs w:val="22"/>
        </w:rPr>
        <w:t xml:space="preserve">and respect for the inherent dignity of the person imposes a requirement of humane treatment … the words ‘with humanity’ are I think properly to be contrasted with the concept of ‘inhuman treatment’ … The concepts are not the same, although they overlap because inhuman treatment will always be inhumane. Inhuman treatment is however different in quality. It amounts to denial of humanity. That </w:t>
      </w:r>
      <w:proofErr w:type="gramStart"/>
      <w:r w:rsidRPr="00095097">
        <w:rPr>
          <w:rFonts w:cs="Open Sans"/>
          <w:iCs/>
          <w:color w:val="000000"/>
          <w:sz w:val="22"/>
          <w:szCs w:val="22"/>
        </w:rPr>
        <w:t>is</w:t>
      </w:r>
      <w:proofErr w:type="gramEnd"/>
      <w:r w:rsidRPr="00095097">
        <w:rPr>
          <w:rFonts w:cs="Open Sans"/>
          <w:iCs/>
          <w:color w:val="000000"/>
          <w:sz w:val="22"/>
          <w:szCs w:val="22"/>
        </w:rPr>
        <w:t xml:space="preserve"> I think consistent with modern usage which contrasts ‘inhuman’ with ‘inhumane’.</w:t>
      </w:r>
      <w:r w:rsidRPr="00095097">
        <w:rPr>
          <w:rFonts w:cs="Open Sans"/>
          <w:iCs/>
          <w:color w:val="000000"/>
          <w:sz w:val="22"/>
          <w:szCs w:val="22"/>
          <w:vertAlign w:val="superscript"/>
        </w:rPr>
        <w:endnoteReference w:id="7"/>
      </w:r>
    </w:p>
    <w:p w14:paraId="13D8CFA4" w14:textId="0AACA8FC" w:rsidR="005F391B" w:rsidRPr="00095097" w:rsidRDefault="005F391B" w:rsidP="009A225A">
      <w:pPr>
        <w:numPr>
          <w:ilvl w:val="0"/>
          <w:numId w:val="20"/>
        </w:numPr>
        <w:tabs>
          <w:tab w:val="num" w:pos="960"/>
        </w:tabs>
        <w:rPr>
          <w:rFonts w:cs="Open Sans"/>
        </w:rPr>
      </w:pPr>
      <w:r w:rsidRPr="00095097">
        <w:rPr>
          <w:rFonts w:cs="Open Sans"/>
          <w:color w:val="000000"/>
        </w:rPr>
        <w:t xml:space="preserve">The decision considered provisions of the </w:t>
      </w:r>
      <w:r w:rsidRPr="00311321">
        <w:rPr>
          <w:rFonts w:cs="Open Sans"/>
          <w:i/>
          <w:color w:val="000000"/>
        </w:rPr>
        <w:t>New Zealand Bill of Rights</w:t>
      </w:r>
      <w:r>
        <w:rPr>
          <w:rFonts w:cs="Open Sans"/>
          <w:i/>
          <w:color w:val="000000"/>
        </w:rPr>
        <w:t xml:space="preserve"> </w:t>
      </w:r>
      <w:r w:rsidR="00E72E0C">
        <w:rPr>
          <w:rFonts w:cs="Open Sans"/>
          <w:i/>
          <w:iCs/>
          <w:color w:val="000000"/>
        </w:rPr>
        <w:t>Act 1990</w:t>
      </w:r>
      <w:r w:rsidRPr="00095097">
        <w:rPr>
          <w:rFonts w:cs="Open Sans"/>
          <w:color w:val="000000"/>
        </w:rPr>
        <w:t xml:space="preserve"> which are worded in identical terms to articles 10(1) and 7(1) of the ICCPR.</w:t>
      </w:r>
    </w:p>
    <w:p w14:paraId="7FA292DA" w14:textId="77777777" w:rsidR="005F391B" w:rsidRPr="00862B01" w:rsidRDefault="005F391B" w:rsidP="009A225A">
      <w:pPr>
        <w:numPr>
          <w:ilvl w:val="0"/>
          <w:numId w:val="20"/>
        </w:numPr>
        <w:tabs>
          <w:tab w:val="num" w:pos="960"/>
        </w:tabs>
        <w:rPr>
          <w:rFonts w:cs="Open Sans"/>
        </w:rPr>
      </w:pPr>
      <w:r w:rsidRPr="00095097">
        <w:rPr>
          <w:rFonts w:eastAsia="Calibri" w:cs="Open Sans"/>
          <w:color w:val="000000"/>
        </w:rPr>
        <w:t xml:space="preserve">The content of article 10(1) has been developed with the assistance of </w:t>
      </w:r>
      <w:proofErr w:type="gramStart"/>
      <w:r w:rsidRPr="00095097">
        <w:rPr>
          <w:rFonts w:eastAsia="Calibri" w:cs="Open Sans"/>
          <w:color w:val="000000"/>
        </w:rPr>
        <w:t>a number of</w:t>
      </w:r>
      <w:proofErr w:type="gramEnd"/>
      <w:r w:rsidRPr="00095097">
        <w:rPr>
          <w:rFonts w:eastAsia="Calibri" w:cs="Open Sans"/>
          <w:color w:val="000000"/>
        </w:rPr>
        <w:t xml:space="preserve"> United Nations instruments that articulate minimum international </w:t>
      </w:r>
      <w:r w:rsidRPr="00862B01">
        <w:rPr>
          <w:rFonts w:eastAsia="Calibri" w:cs="Open Sans"/>
          <w:color w:val="000000"/>
        </w:rPr>
        <w:t>standards in relation to people deprived of their liberty, including:</w:t>
      </w:r>
    </w:p>
    <w:p w14:paraId="6BFFA1C0" w14:textId="5B7D4359" w:rsidR="005F391B" w:rsidRPr="005F391B" w:rsidRDefault="005F391B" w:rsidP="009A225A">
      <w:pPr>
        <w:pStyle w:val="ListParagraph"/>
        <w:widowControl w:val="0"/>
        <w:numPr>
          <w:ilvl w:val="0"/>
          <w:numId w:val="22"/>
        </w:numPr>
        <w:ind w:left="1080"/>
        <w:contextualSpacing/>
        <w:rPr>
          <w:rFonts w:eastAsia="Calibri" w:cs="Open Sans"/>
          <w:color w:val="000000"/>
        </w:rPr>
      </w:pPr>
      <w:r w:rsidRPr="00862B01">
        <w:rPr>
          <w:rFonts w:eastAsia="Calibri" w:cs="Open Sans"/>
          <w:color w:val="000000"/>
        </w:rPr>
        <w:t xml:space="preserve">the </w:t>
      </w:r>
      <w:r w:rsidRPr="00862B01">
        <w:rPr>
          <w:rFonts w:eastAsia="Calibri" w:cs="Open Sans"/>
          <w:i/>
          <w:color w:val="000000"/>
        </w:rPr>
        <w:t>Standard Minimum Rules for the Treatment of Prisoners</w:t>
      </w:r>
      <w:r w:rsidRPr="00862B01">
        <w:rPr>
          <w:rFonts w:eastAsia="Calibri" w:cs="Open Sans"/>
          <w:color w:val="000000"/>
        </w:rPr>
        <w:t xml:space="preserve"> (Standard Minimum Rules);</w:t>
      </w:r>
      <w:r w:rsidRPr="00862B01">
        <w:rPr>
          <w:sz w:val="20"/>
          <w:vertAlign w:val="superscript"/>
        </w:rPr>
        <w:endnoteReference w:id="8"/>
      </w:r>
      <w:r w:rsidRPr="00862B01">
        <w:rPr>
          <w:rFonts w:eastAsia="Calibri" w:cs="Open Sans"/>
          <w:color w:val="000000"/>
        </w:rPr>
        <w:t xml:space="preserve"> and</w:t>
      </w:r>
    </w:p>
    <w:p w14:paraId="48ED20DC" w14:textId="77777777" w:rsidR="005F391B" w:rsidRPr="00190B34" w:rsidRDefault="005F391B" w:rsidP="009A225A">
      <w:pPr>
        <w:pStyle w:val="ListParagraph"/>
        <w:widowControl w:val="0"/>
        <w:numPr>
          <w:ilvl w:val="0"/>
          <w:numId w:val="22"/>
        </w:numPr>
        <w:ind w:left="1080"/>
        <w:contextualSpacing/>
        <w:rPr>
          <w:rFonts w:eastAsia="Calibri" w:cs="Open Sans"/>
          <w:color w:val="000000"/>
        </w:rPr>
      </w:pPr>
      <w:r w:rsidRPr="00190B34">
        <w:rPr>
          <w:rFonts w:eastAsia="Calibri" w:cs="Open Sans"/>
          <w:color w:val="000000"/>
        </w:rPr>
        <w:t xml:space="preserve">the </w:t>
      </w:r>
      <w:r w:rsidRPr="00190B34">
        <w:rPr>
          <w:rFonts w:eastAsia="Calibri" w:cs="Open Sans"/>
          <w:i/>
          <w:color w:val="000000"/>
        </w:rPr>
        <w:t>Body of Principles for the Protection of all Persons under Any Form of Detention</w:t>
      </w:r>
      <w:r w:rsidRPr="00190B34">
        <w:rPr>
          <w:rFonts w:eastAsia="Calibri" w:cs="Open Sans"/>
          <w:color w:val="000000"/>
        </w:rPr>
        <w:t xml:space="preserve"> (Body of Principles).</w:t>
      </w:r>
      <w:r w:rsidRPr="00190B34">
        <w:rPr>
          <w:sz w:val="20"/>
          <w:vertAlign w:val="superscript"/>
        </w:rPr>
        <w:endnoteReference w:id="9"/>
      </w:r>
    </w:p>
    <w:p w14:paraId="4C127728" w14:textId="77777777" w:rsidR="005F391B" w:rsidRPr="00095097" w:rsidRDefault="005F391B" w:rsidP="009A225A">
      <w:pPr>
        <w:numPr>
          <w:ilvl w:val="0"/>
          <w:numId w:val="20"/>
        </w:numPr>
        <w:tabs>
          <w:tab w:val="num" w:pos="960"/>
        </w:tabs>
        <w:rPr>
          <w:rFonts w:cs="Open Sans"/>
        </w:rPr>
      </w:pPr>
      <w:bookmarkStart w:id="61" w:name="_Ref505955631"/>
      <w:r w:rsidRPr="00095097">
        <w:rPr>
          <w:rFonts w:eastAsia="Calibri" w:cs="Open Sans"/>
          <w:color w:val="000000"/>
        </w:rPr>
        <w:t>The UN HR Committee has invited States Parties to indicate in their reports the extent to which they are applying the Standard Minimum Rules and the Body of Principles.</w:t>
      </w:r>
      <w:r w:rsidRPr="00190B34">
        <w:rPr>
          <w:rFonts w:eastAsia="Calibri" w:cs="Open Sans"/>
          <w:color w:val="000000"/>
          <w:sz w:val="20"/>
          <w:vertAlign w:val="superscript"/>
        </w:rPr>
        <w:endnoteReference w:id="10"/>
      </w:r>
      <w:r w:rsidRPr="00095097">
        <w:rPr>
          <w:rFonts w:eastAsia="Calibri" w:cs="Open Sans"/>
          <w:color w:val="000000"/>
        </w:rPr>
        <w:t xml:space="preserve"> At least some of these principles have been determined to be minimum standards regarding the conditions of detention that must be observed regardless of a State Party’s level of development.</w:t>
      </w:r>
      <w:r w:rsidRPr="00190B34">
        <w:rPr>
          <w:rFonts w:eastAsia="Calibri" w:cs="Open Sans"/>
          <w:color w:val="000000"/>
          <w:sz w:val="20"/>
          <w:vertAlign w:val="superscript"/>
        </w:rPr>
        <w:endnoteReference w:id="11"/>
      </w:r>
      <w:bookmarkEnd w:id="61"/>
    </w:p>
    <w:p w14:paraId="7B720E32" w14:textId="77777777" w:rsidR="005F391B" w:rsidRPr="00095097" w:rsidRDefault="005F391B" w:rsidP="009A225A">
      <w:pPr>
        <w:numPr>
          <w:ilvl w:val="0"/>
          <w:numId w:val="20"/>
        </w:numPr>
        <w:tabs>
          <w:tab w:val="num" w:pos="960"/>
        </w:tabs>
        <w:rPr>
          <w:rFonts w:cs="Open Sans"/>
        </w:rPr>
      </w:pPr>
      <w:r w:rsidRPr="00095097">
        <w:rPr>
          <w:rFonts w:eastAsia="Calibri" w:cs="Open Sans"/>
          <w:color w:val="000000"/>
        </w:rPr>
        <w:t>Rule 54(1) of the Standard Minimum Rules provides:</w:t>
      </w:r>
    </w:p>
    <w:p w14:paraId="61979E1B" w14:textId="77777777" w:rsidR="005F391B" w:rsidRPr="00190B34" w:rsidRDefault="005F391B" w:rsidP="009A225A">
      <w:pPr>
        <w:widowControl w:val="0"/>
        <w:tabs>
          <w:tab w:val="left" w:pos="720"/>
        </w:tabs>
        <w:ind w:left="1440"/>
        <w:rPr>
          <w:rFonts w:eastAsia="Calibri" w:cs="Open Sans"/>
          <w:color w:val="000000"/>
        </w:rPr>
      </w:pPr>
      <w:r w:rsidRPr="00A506B9">
        <w:rPr>
          <w:rFonts w:eastAsia="Calibri" w:cs="Open Sans"/>
          <w:color w:val="000000"/>
          <w:sz w:val="22"/>
          <w:szCs w:val="22"/>
        </w:rPr>
        <w:t>Officers of the institutions shall not, in their relations with the prisoners, use force except in self-defence or in cases of attempted escape, or active or passive physical resistance to an order based on law or regulations. Officers who have recourse to force must use no more than is strictly necessary and must report the incident immediately to the director of the institution.</w:t>
      </w:r>
    </w:p>
    <w:p w14:paraId="10995B16" w14:textId="77777777" w:rsidR="005F391B" w:rsidRDefault="005F391B" w:rsidP="009A225A">
      <w:pPr>
        <w:numPr>
          <w:ilvl w:val="0"/>
          <w:numId w:val="20"/>
        </w:numPr>
        <w:tabs>
          <w:tab w:val="num" w:pos="960"/>
        </w:tabs>
        <w:rPr>
          <w:rFonts w:cs="Open Sans"/>
        </w:rPr>
      </w:pPr>
      <w:r w:rsidRPr="00095097">
        <w:rPr>
          <w:rFonts w:eastAsia="Calibri" w:cs="Open Sans"/>
          <w:color w:val="000000"/>
        </w:rPr>
        <w:lastRenderedPageBreak/>
        <w:t>This rule provides limits on the circumstances in which force may be used; and limits the use of force in those circumstances to what is necessary.</w:t>
      </w:r>
    </w:p>
    <w:p w14:paraId="66481655" w14:textId="77777777" w:rsidR="005F391B" w:rsidRDefault="005F391B" w:rsidP="009A225A">
      <w:pPr>
        <w:numPr>
          <w:ilvl w:val="0"/>
          <w:numId w:val="20"/>
        </w:numPr>
        <w:tabs>
          <w:tab w:val="num" w:pos="960"/>
        </w:tabs>
        <w:rPr>
          <w:rFonts w:cs="Open Sans"/>
        </w:rPr>
      </w:pPr>
      <w:r w:rsidRPr="00095097">
        <w:rPr>
          <w:rFonts w:eastAsia="Calibri" w:cs="Open Sans"/>
          <w:color w:val="000000"/>
        </w:rPr>
        <w:t>Standard Minimum Rule 94 requires that civil prisoners ‘shall not be subjected to any greater restriction or severity than is necessary to ensure safe custody and good order’.</w:t>
      </w:r>
    </w:p>
    <w:p w14:paraId="768DB5AF" w14:textId="77777777" w:rsidR="005F391B" w:rsidRDefault="005F391B" w:rsidP="009A225A">
      <w:pPr>
        <w:numPr>
          <w:ilvl w:val="0"/>
          <w:numId w:val="20"/>
        </w:numPr>
        <w:tabs>
          <w:tab w:val="num" w:pos="960"/>
        </w:tabs>
        <w:rPr>
          <w:rFonts w:cs="Open Sans"/>
        </w:rPr>
      </w:pPr>
      <w:r w:rsidRPr="00095097">
        <w:rPr>
          <w:rFonts w:eastAsia="Calibri" w:cs="Open Sans"/>
          <w:color w:val="000000"/>
        </w:rPr>
        <w:t>The prohibition in article 7 of the ICCPR is absolute and non-</w:t>
      </w:r>
      <w:proofErr w:type="spellStart"/>
      <w:r w:rsidRPr="00095097">
        <w:rPr>
          <w:rFonts w:eastAsia="Calibri" w:cs="Open Sans"/>
          <w:color w:val="000000"/>
        </w:rPr>
        <w:t>derogable</w:t>
      </w:r>
      <w:proofErr w:type="spellEnd"/>
      <w:r w:rsidRPr="00095097">
        <w:rPr>
          <w:rFonts w:eastAsia="Calibri" w:cs="Open Sans"/>
          <w:color w:val="000000"/>
        </w:rPr>
        <w:t xml:space="preserve">. A person’s treatment in detention must not involve </w:t>
      </w:r>
      <w:r w:rsidRPr="00095097">
        <w:rPr>
          <w:rFonts w:eastAsia="Calibri" w:cs="Open Sans"/>
          <w:color w:val="000000"/>
          <w:lang w:val="en"/>
        </w:rPr>
        <w:t xml:space="preserve">torture or cruel, </w:t>
      </w:r>
      <w:proofErr w:type="gramStart"/>
      <w:r w:rsidRPr="00095097">
        <w:rPr>
          <w:rFonts w:eastAsia="Calibri" w:cs="Open Sans"/>
          <w:color w:val="000000"/>
          <w:lang w:val="en"/>
        </w:rPr>
        <w:t>inhuman</w:t>
      </w:r>
      <w:proofErr w:type="gramEnd"/>
      <w:r w:rsidRPr="00095097">
        <w:rPr>
          <w:rFonts w:eastAsia="Calibri" w:cs="Open Sans"/>
          <w:color w:val="000000"/>
          <w:lang w:val="en"/>
        </w:rPr>
        <w:t xml:space="preserve"> or degrading treatment or punishment.</w:t>
      </w:r>
    </w:p>
    <w:p w14:paraId="357FEF9D" w14:textId="099EB27C" w:rsidR="005F391B" w:rsidRPr="00095097" w:rsidRDefault="005F391B" w:rsidP="009A225A">
      <w:pPr>
        <w:numPr>
          <w:ilvl w:val="0"/>
          <w:numId w:val="20"/>
        </w:numPr>
        <w:tabs>
          <w:tab w:val="num" w:pos="960"/>
        </w:tabs>
        <w:rPr>
          <w:rFonts w:cs="Open Sans"/>
        </w:rPr>
      </w:pPr>
      <w:r w:rsidRPr="00095097">
        <w:rPr>
          <w:rFonts w:eastAsia="Calibri" w:cs="Open Sans"/>
          <w:color w:val="000000"/>
          <w:lang w:val="en"/>
        </w:rPr>
        <w:t xml:space="preserve">In the case of </w:t>
      </w:r>
      <w:r w:rsidRPr="00095097">
        <w:rPr>
          <w:rFonts w:eastAsia="Calibri" w:cs="Open Sans"/>
          <w:i/>
          <w:color w:val="000000"/>
          <w:lang w:val="en"/>
        </w:rPr>
        <w:t>Wilson v Philippines</w:t>
      </w:r>
      <w:r w:rsidRPr="00095097">
        <w:rPr>
          <w:rFonts w:eastAsia="Calibri" w:cs="Open Sans"/>
          <w:color w:val="000000"/>
          <w:lang w:val="en"/>
        </w:rPr>
        <w:t>,</w:t>
      </w:r>
      <w:r w:rsidR="00AD28CA">
        <w:rPr>
          <w:rStyle w:val="EndnoteReference"/>
          <w:rFonts w:eastAsia="Calibri" w:cs="Open Sans"/>
          <w:color w:val="000000"/>
          <w:lang w:val="en"/>
        </w:rPr>
        <w:endnoteReference w:id="12"/>
      </w:r>
      <w:r w:rsidRPr="00095097">
        <w:rPr>
          <w:rFonts w:eastAsia="Calibri" w:cs="Open Sans"/>
          <w:color w:val="000000"/>
          <w:lang w:val="en"/>
        </w:rPr>
        <w:t xml:space="preserve"> the UN HR Committee found a breach of article 7 of the ICCPR where a prisoner was treated violently in detention:</w:t>
      </w:r>
    </w:p>
    <w:p w14:paraId="08182963" w14:textId="77777777" w:rsidR="005F391B" w:rsidRPr="00095097" w:rsidRDefault="005F391B" w:rsidP="009A225A">
      <w:pPr>
        <w:widowControl w:val="0"/>
        <w:tabs>
          <w:tab w:val="left" w:pos="720"/>
        </w:tabs>
        <w:ind w:left="1440"/>
        <w:rPr>
          <w:rFonts w:eastAsia="Calibri" w:cs="Open Sans"/>
          <w:color w:val="000000"/>
          <w:sz w:val="22"/>
          <w:szCs w:val="22"/>
        </w:rPr>
      </w:pPr>
      <w:r w:rsidRPr="00095097">
        <w:rPr>
          <w:rFonts w:eastAsia="Calibri" w:cs="Open Sans"/>
          <w:color w:val="000000"/>
          <w:sz w:val="22"/>
          <w:szCs w:val="22"/>
          <w:lang w:val="en"/>
        </w:rPr>
        <w:t xml:space="preserve">The Committee considers that the conditions of detention described, as well as the violent and abusive </w:t>
      </w:r>
      <w:proofErr w:type="spellStart"/>
      <w:r w:rsidRPr="00095097">
        <w:rPr>
          <w:rFonts w:eastAsia="Calibri" w:cs="Open Sans"/>
          <w:color w:val="000000"/>
          <w:sz w:val="22"/>
          <w:szCs w:val="22"/>
          <w:lang w:val="en"/>
        </w:rPr>
        <w:t>behaviour</w:t>
      </w:r>
      <w:proofErr w:type="spellEnd"/>
      <w:r w:rsidRPr="00095097">
        <w:rPr>
          <w:rFonts w:eastAsia="Calibri" w:cs="Open Sans"/>
          <w:color w:val="000000"/>
          <w:sz w:val="22"/>
          <w:szCs w:val="22"/>
          <w:lang w:val="en"/>
        </w:rPr>
        <w:t xml:space="preserve"> both of certain prison guards and of other inmates, as apparently acquiesced in by the prison authorities, are seriously in violation of the author’s right, as a prisoner, to be treated with humanity and with respect for his inherent dignity, in violation of article 10, paragraph 1. As at least some of the acts of violence against the author were committed either by the prison guards, upon their instigation or with their acquiescence, there was also a violation of article 7.</w:t>
      </w:r>
      <w:r w:rsidRPr="00095097">
        <w:rPr>
          <w:rFonts w:eastAsia="Calibri" w:cs="Open Sans"/>
          <w:color w:val="000000"/>
          <w:sz w:val="22"/>
          <w:szCs w:val="22"/>
          <w:vertAlign w:val="superscript"/>
          <w:lang w:val="en"/>
        </w:rPr>
        <w:endnoteReference w:id="13"/>
      </w:r>
      <w:r w:rsidRPr="00095097">
        <w:rPr>
          <w:rFonts w:eastAsia="Calibri" w:cs="Open Sans"/>
          <w:color w:val="000000"/>
          <w:sz w:val="22"/>
          <w:szCs w:val="22"/>
          <w:lang w:val="en"/>
        </w:rPr>
        <w:t xml:space="preserve"> </w:t>
      </w:r>
    </w:p>
    <w:p w14:paraId="21F87C28" w14:textId="77777777" w:rsidR="005F391B" w:rsidRPr="00095097" w:rsidRDefault="005F391B" w:rsidP="009A225A">
      <w:pPr>
        <w:numPr>
          <w:ilvl w:val="0"/>
          <w:numId w:val="20"/>
        </w:numPr>
        <w:tabs>
          <w:tab w:val="num" w:pos="960"/>
        </w:tabs>
        <w:rPr>
          <w:rFonts w:cs="Open Sans"/>
        </w:rPr>
      </w:pPr>
      <w:r w:rsidRPr="00095097">
        <w:rPr>
          <w:rFonts w:eastAsia="Calibri" w:cs="Open Sans"/>
          <w:color w:val="000000"/>
          <w:lang w:val="en"/>
        </w:rPr>
        <w:t>States have a responsibility to ensure that the rights guaranteed in articles 7 and 10 of the ICCPR are accorded to detainees in privately run detention facilities.</w:t>
      </w:r>
      <w:r w:rsidRPr="00190B34">
        <w:rPr>
          <w:rFonts w:eastAsia="Calibri" w:cs="Open Sans"/>
          <w:color w:val="000000"/>
          <w:sz w:val="20"/>
          <w:vertAlign w:val="superscript"/>
          <w:lang w:val="en"/>
        </w:rPr>
        <w:endnoteReference w:id="14"/>
      </w:r>
      <w:r w:rsidRPr="00095097">
        <w:rPr>
          <w:rFonts w:eastAsia="Calibri" w:cs="Open Sans"/>
          <w:color w:val="000000"/>
          <w:lang w:val="en"/>
        </w:rPr>
        <w:t xml:space="preserve"> </w:t>
      </w:r>
    </w:p>
    <w:p w14:paraId="54BFBF0E" w14:textId="77777777" w:rsidR="005F391B" w:rsidRPr="00A506B9" w:rsidRDefault="005F391B" w:rsidP="00E35D14">
      <w:pPr>
        <w:pStyle w:val="AHRCHeading1"/>
      </w:pPr>
      <w:bookmarkStart w:id="62" w:name="_Toc83845021"/>
      <w:bookmarkStart w:id="63" w:name="_Toc98851995"/>
      <w:r w:rsidRPr="00A506B9">
        <w:t>Findings</w:t>
      </w:r>
      <w:bookmarkEnd w:id="62"/>
      <w:bookmarkEnd w:id="63"/>
    </w:p>
    <w:p w14:paraId="2C2FE47B" w14:textId="0076288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There is no dispute that force was used to restrain Mr AO during the incident on 21 April 2018. Mr AO alleges that the use of force was excessive, while the Department alleges that the use of force was appropriate in the circumstances, </w:t>
      </w:r>
      <w:proofErr w:type="gramStart"/>
      <w:r w:rsidRPr="005F391B">
        <w:rPr>
          <w:rFonts w:eastAsia="Calibri" w:cs="Open Sans"/>
          <w:color w:val="000000"/>
        </w:rPr>
        <w:t>in light of</w:t>
      </w:r>
      <w:proofErr w:type="gramEnd"/>
      <w:r w:rsidRPr="005F391B">
        <w:rPr>
          <w:rFonts w:eastAsia="Calibri" w:cs="Open Sans"/>
          <w:color w:val="000000"/>
        </w:rPr>
        <w:t xml:space="preserve"> Mr AO’s incidents of self-harm. </w:t>
      </w:r>
    </w:p>
    <w:p w14:paraId="3F5BFD8C" w14:textId="39A8A35F"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The Department states that Serco staff were aware of an injury to Mr AO’s SC joint (the joint where the collarbone meets the breastbone/sternum), caused by landing on his right shoulder while playing sport on 31 January 2018. It is also of relevance that Mr AO has complex mental health issues, including post-traumatic stress disorder, borderline personality disorder, a history of self-harm and is a survivor of torture and trauma. </w:t>
      </w:r>
    </w:p>
    <w:p w14:paraId="6728D67E" w14:textId="40A7C139"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lastRenderedPageBreak/>
        <w:t xml:space="preserve">Mr AO presented to the evening medication round requesting </w:t>
      </w:r>
      <w:r w:rsidR="00462004">
        <w:rPr>
          <w:rFonts w:eastAsia="Calibri" w:cs="Open Sans"/>
          <w:color w:val="000000"/>
        </w:rPr>
        <w:t>i</w:t>
      </w:r>
      <w:r w:rsidRPr="005F391B">
        <w:rPr>
          <w:rFonts w:eastAsia="Calibri" w:cs="Open Sans"/>
          <w:color w:val="000000"/>
        </w:rPr>
        <w:t xml:space="preserve">buprofen for his shoulder injury. The Department said that Mr AO became hostile and verbally abusive to </w:t>
      </w:r>
      <w:r w:rsidR="002107D7">
        <w:rPr>
          <w:rFonts w:eastAsia="Calibri" w:cs="Open Sans"/>
          <w:color w:val="000000"/>
        </w:rPr>
        <w:t>International Health and Medical Services</w:t>
      </w:r>
      <w:r w:rsidRPr="005F391B">
        <w:rPr>
          <w:rFonts w:eastAsia="Calibri" w:cs="Open Sans"/>
          <w:color w:val="000000"/>
        </w:rPr>
        <w:t xml:space="preserve"> </w:t>
      </w:r>
      <w:r w:rsidR="002107D7">
        <w:rPr>
          <w:rFonts w:eastAsia="Calibri" w:cs="Open Sans"/>
          <w:color w:val="000000"/>
        </w:rPr>
        <w:t>(</w:t>
      </w:r>
      <w:r w:rsidRPr="005F391B">
        <w:rPr>
          <w:rFonts w:eastAsia="Calibri" w:cs="Open Sans"/>
          <w:color w:val="000000"/>
        </w:rPr>
        <w:t>IHMS</w:t>
      </w:r>
      <w:r w:rsidR="002107D7">
        <w:rPr>
          <w:rFonts w:eastAsia="Calibri" w:cs="Open Sans"/>
          <w:color w:val="000000"/>
        </w:rPr>
        <w:t>)</w:t>
      </w:r>
      <w:r w:rsidRPr="005F391B">
        <w:rPr>
          <w:rFonts w:eastAsia="Calibri" w:cs="Open Sans"/>
          <w:color w:val="000000"/>
        </w:rPr>
        <w:t xml:space="preserve"> staff after he was informed that he could only have Panadol and required a GP review before receiving Ibuprofen. It is IHMS policy that a nurse can only dispense medication for 3 consecutive doses, after which a doctor needs to review the detainee to assess the problem. </w:t>
      </w:r>
    </w:p>
    <w:p w14:paraId="24B984DB" w14:textId="7EAC7900"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Mr AO then banged his head on the metal support beam, after which the Detention Services Manager </w:t>
      </w:r>
      <w:r w:rsidR="00C541A9">
        <w:rPr>
          <w:rFonts w:eastAsia="Calibri" w:cs="Open Sans"/>
          <w:color w:val="000000"/>
        </w:rPr>
        <w:t xml:space="preserve">(DSM) </w:t>
      </w:r>
      <w:r w:rsidRPr="005F391B">
        <w:rPr>
          <w:rFonts w:eastAsia="Calibri" w:cs="Open Sans"/>
          <w:color w:val="000000"/>
        </w:rPr>
        <w:t xml:space="preserve">contacted the HAS Duty nurse who advised that Mr AO be placed on </w:t>
      </w:r>
      <w:proofErr w:type="spellStart"/>
      <w:r w:rsidRPr="005F391B">
        <w:rPr>
          <w:rFonts w:eastAsia="Calibri" w:cs="Open Sans"/>
          <w:color w:val="000000"/>
        </w:rPr>
        <w:t>Keep</w:t>
      </w:r>
      <w:r w:rsidR="00C541A9">
        <w:rPr>
          <w:rFonts w:eastAsia="Calibri" w:cs="Open Sans"/>
          <w:color w:val="000000"/>
        </w:rPr>
        <w:t>safe</w:t>
      </w:r>
      <w:proofErr w:type="spellEnd"/>
      <w:r w:rsidRPr="005F391B">
        <w:rPr>
          <w:rFonts w:eastAsia="Calibri" w:cs="Open Sans"/>
          <w:color w:val="000000"/>
        </w:rPr>
        <w:t xml:space="preserve"> Constant, referring to the level of monitoring required by Serco’s policies that accompany the Department’s psychological support program.</w:t>
      </w:r>
      <w:r w:rsidRPr="00311321">
        <w:rPr>
          <w:rStyle w:val="EndnoteReference"/>
        </w:rPr>
        <w:endnoteReference w:id="15"/>
      </w:r>
      <w:r w:rsidRPr="00311321">
        <w:rPr>
          <w:rStyle w:val="EndnoteReference"/>
          <w:lang w:val="en"/>
        </w:rPr>
        <w:t xml:space="preserve"> </w:t>
      </w:r>
      <w:r w:rsidRPr="005F391B">
        <w:rPr>
          <w:rFonts w:eastAsia="Calibri" w:cs="Open Sans"/>
          <w:color w:val="000000"/>
        </w:rPr>
        <w:t>Mr AO was informed that he would be taken to White One Compound. When he did not comply, Serco officers used force to escort him to the White One Compound.</w:t>
      </w:r>
    </w:p>
    <w:p w14:paraId="04A2FDBF" w14:textId="39AAF846"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In my preliminary view, I stated that it was unclear why Mr AO had to be transported to the White One Compound </w:t>
      </w:r>
      <w:proofErr w:type="gramStart"/>
      <w:r w:rsidRPr="005F391B">
        <w:rPr>
          <w:rFonts w:eastAsia="Calibri" w:cs="Open Sans"/>
          <w:color w:val="000000"/>
        </w:rPr>
        <w:t>in order to</w:t>
      </w:r>
      <w:proofErr w:type="gramEnd"/>
      <w:r w:rsidRPr="005F391B">
        <w:rPr>
          <w:rFonts w:eastAsia="Calibri" w:cs="Open Sans"/>
          <w:color w:val="000000"/>
        </w:rPr>
        <w:t xml:space="preserve"> be kept on </w:t>
      </w:r>
      <w:proofErr w:type="spellStart"/>
      <w:r w:rsidRPr="005F391B">
        <w:rPr>
          <w:rFonts w:eastAsia="Calibri" w:cs="Open Sans"/>
          <w:color w:val="000000"/>
        </w:rPr>
        <w:t>Keep</w:t>
      </w:r>
      <w:r w:rsidR="00C541A9">
        <w:rPr>
          <w:rFonts w:eastAsia="Calibri" w:cs="Open Sans"/>
          <w:color w:val="000000"/>
        </w:rPr>
        <w:t>safe</w:t>
      </w:r>
      <w:proofErr w:type="spellEnd"/>
      <w:r w:rsidR="00C541A9">
        <w:rPr>
          <w:rFonts w:eastAsia="Calibri" w:cs="Open Sans"/>
          <w:color w:val="000000"/>
        </w:rPr>
        <w:t xml:space="preserve"> </w:t>
      </w:r>
      <w:r w:rsidRPr="005F391B">
        <w:rPr>
          <w:rFonts w:eastAsia="Calibri" w:cs="Open Sans"/>
          <w:color w:val="000000"/>
        </w:rPr>
        <w:t>Constant and why he could not be monitored in the Green One Compound. In response, the Department says that the ‘White One Compound provides for the ability to create a safer and secure environment and offers greater observation capabilities. Mr AO was moved to this compound for his own safety and the safety and security of others.’</w:t>
      </w:r>
    </w:p>
    <w:p w14:paraId="580FD418"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Although Serco staff were aware of Mr AO’s shoulder injury, it does not appear from the medical records provided by the Department or the incident reports that IHMS was asked for, or gave advice, about whether Mr AO should be handcuffed. </w:t>
      </w:r>
    </w:p>
    <w:p w14:paraId="60CB1FB0"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In response to my preliminary view, the Department says that the ‘duty nurse and the on-call General Practitioner were aware of the use of restraints on Mr AO and at no time did they object on any ground to their use’. However, it is unclear if the duty nurse or the GP were aware of the pain Mr AO was experiencing </w:t>
      </w:r>
      <w:proofErr w:type="gramStart"/>
      <w:r w:rsidRPr="005F391B">
        <w:rPr>
          <w:rFonts w:eastAsia="Calibri" w:cs="Open Sans"/>
          <w:color w:val="000000"/>
        </w:rPr>
        <w:t>as a result of</w:t>
      </w:r>
      <w:proofErr w:type="gramEnd"/>
      <w:r w:rsidRPr="005F391B">
        <w:rPr>
          <w:rFonts w:eastAsia="Calibri" w:cs="Open Sans"/>
          <w:color w:val="000000"/>
        </w:rPr>
        <w:t xml:space="preserve"> application of the handcuffs. </w:t>
      </w:r>
    </w:p>
    <w:p w14:paraId="655500E3" w14:textId="11EB6884"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I note that the Commission has previously made recommendations regarding the role of healthcare professionals in decision making about the use of restraints. This included the recommendation that the Department’s Detention Services Manual and the manual for detention service providers engaged by the Department make clear that, amongst other things, healthcare professionals may direct the removal of restraints in certain circumstances, for example, if the detainee is in pain or discomfort.</w:t>
      </w:r>
      <w:r w:rsidRPr="00311321">
        <w:rPr>
          <w:rStyle w:val="EndnoteReference"/>
        </w:rPr>
        <w:endnoteReference w:id="16"/>
      </w:r>
      <w:r w:rsidRPr="005F391B">
        <w:rPr>
          <w:rFonts w:eastAsia="Calibri" w:cs="Open Sans"/>
          <w:color w:val="000000"/>
        </w:rPr>
        <w:t xml:space="preserve"> This recommendation was not accepted by the Department. In response, the Department said that ‘any concerns a health provider </w:t>
      </w:r>
      <w:r w:rsidRPr="005F391B">
        <w:rPr>
          <w:rFonts w:eastAsia="Calibri" w:cs="Open Sans"/>
          <w:color w:val="000000"/>
        </w:rPr>
        <w:lastRenderedPageBreak/>
        <w:t>may have in relation to the use of force/application of restraints should be referred to the relevant ABF Detention Superintendent for consideration and decision</w:t>
      </w:r>
      <w:r w:rsidR="00083B3E">
        <w:rPr>
          <w:rFonts w:eastAsia="Calibri" w:cs="Open Sans"/>
          <w:color w:val="000000"/>
        </w:rPr>
        <w:t>’</w:t>
      </w:r>
      <w:r w:rsidRPr="005F391B">
        <w:rPr>
          <w:rFonts w:eastAsia="Calibri" w:cs="Open Sans"/>
          <w:color w:val="000000"/>
        </w:rPr>
        <w:t>.</w:t>
      </w:r>
      <w:r w:rsidRPr="00322E79">
        <w:rPr>
          <w:rFonts w:eastAsia="Calibri" w:cs="Open Sans"/>
          <w:color w:val="000000"/>
          <w:sz w:val="22"/>
          <w:szCs w:val="22"/>
          <w:vertAlign w:val="superscript"/>
          <w:lang w:val="en"/>
        </w:rPr>
        <w:endnoteReference w:id="17"/>
      </w:r>
    </w:p>
    <w:p w14:paraId="45EEED09"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It is also unclear if Serco staff specifically sought advice from IHMS in relation to Mr AO’s mental health issues before the use of force. Following this incident, on 23 April 2018, Mr AO was followed-up by an IHMS GP and an IHMS mental health Nurse. The IHMS GP noted that the ‘majority of his medical problems/behaviour stems from complex post-traumatic stress disorder (PTSD)’ and made a referral to specialist torture and trauma counselling. </w:t>
      </w:r>
    </w:p>
    <w:p w14:paraId="2B625F96" w14:textId="0F154754"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Given Mr AO’s injury and pre-existing mental health issues, in my view, Serco should specifically </w:t>
      </w:r>
      <w:r w:rsidR="00FF1846" w:rsidRPr="005F391B">
        <w:rPr>
          <w:rFonts w:eastAsia="Calibri" w:cs="Open Sans"/>
          <w:color w:val="000000"/>
        </w:rPr>
        <w:t xml:space="preserve">have </w:t>
      </w:r>
      <w:r w:rsidRPr="005F391B">
        <w:rPr>
          <w:rFonts w:eastAsia="Calibri" w:cs="Open Sans"/>
          <w:color w:val="000000"/>
        </w:rPr>
        <w:t xml:space="preserve">sought advice from the Duty Nurse or contacted the on-duty GP to ask whether restraints were appropriate </w:t>
      </w:r>
      <w:proofErr w:type="gramStart"/>
      <w:r w:rsidRPr="005F391B">
        <w:rPr>
          <w:rFonts w:eastAsia="Calibri" w:cs="Open Sans"/>
          <w:color w:val="000000"/>
        </w:rPr>
        <w:t>in light of</w:t>
      </w:r>
      <w:proofErr w:type="gramEnd"/>
      <w:r w:rsidRPr="005F391B">
        <w:rPr>
          <w:rFonts w:eastAsia="Calibri" w:cs="Open Sans"/>
          <w:color w:val="000000"/>
        </w:rPr>
        <w:t xml:space="preserve"> his medical condition.   </w:t>
      </w:r>
    </w:p>
    <w:p w14:paraId="4579388D"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It is my view that the decision to use force was not a measure of last resort in response to his self-harm attempts. I accept that attempts were made to de-escalate the situation using communication. I note that at no point in the camera footage I viewed did Serco officers appear to be aggressive. The officers appeared to be calm in their messaging to Mr AO. However, in my view, further communication, </w:t>
      </w:r>
      <w:proofErr w:type="gramStart"/>
      <w:r w:rsidRPr="005F391B">
        <w:rPr>
          <w:rFonts w:eastAsia="Calibri" w:cs="Open Sans"/>
          <w:color w:val="000000"/>
        </w:rPr>
        <w:t>negotiation</w:t>
      </w:r>
      <w:proofErr w:type="gramEnd"/>
      <w:r w:rsidRPr="005F391B">
        <w:rPr>
          <w:rFonts w:eastAsia="Calibri" w:cs="Open Sans"/>
          <w:color w:val="000000"/>
        </w:rPr>
        <w:t xml:space="preserve"> and conflict de-escalation strategies could and should have been attempted. </w:t>
      </w:r>
    </w:p>
    <w:p w14:paraId="56C9407B"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Serco advised that during the incident, use of force was only applied as a last resort due to behaviour displayed by Mr AO and the risk to the safety of himself and staff, and that it was proportionate to the risk posed at the time of the incident. The Department states that restraints were used for the minimum time necessary:</w:t>
      </w:r>
    </w:p>
    <w:p w14:paraId="12D309F5" w14:textId="77777777" w:rsidR="005F391B" w:rsidRPr="003B7AAA" w:rsidRDefault="005F391B" w:rsidP="009A225A">
      <w:pPr>
        <w:ind w:left="1440"/>
        <w:rPr>
          <w:rFonts w:eastAsia="Calibri" w:cs="Open Sans"/>
          <w:color w:val="000000"/>
          <w:sz w:val="22"/>
          <w:szCs w:val="22"/>
        </w:rPr>
      </w:pPr>
      <w:r w:rsidRPr="003B7AAA">
        <w:rPr>
          <w:rFonts w:eastAsia="Calibri" w:cs="Open Sans"/>
          <w:color w:val="000000"/>
          <w:sz w:val="22"/>
          <w:szCs w:val="22"/>
        </w:rPr>
        <w:t xml:space="preserve">Mr AO was restrained for the minimum time necessary. The restraints were removed after 15 minutes when Mr AO arrived </w:t>
      </w:r>
      <w:proofErr w:type="gramStart"/>
      <w:r w:rsidRPr="003B7AAA">
        <w:rPr>
          <w:rFonts w:eastAsia="Calibri" w:cs="Open Sans"/>
          <w:color w:val="000000"/>
          <w:sz w:val="22"/>
          <w:szCs w:val="22"/>
        </w:rPr>
        <w:t>into</w:t>
      </w:r>
      <w:proofErr w:type="gramEnd"/>
      <w:r w:rsidRPr="003B7AAA">
        <w:rPr>
          <w:rFonts w:eastAsia="Calibri" w:cs="Open Sans"/>
          <w:color w:val="000000"/>
          <w:sz w:val="22"/>
          <w:szCs w:val="22"/>
        </w:rPr>
        <w:t xml:space="preserve"> his room in White One Compound. However, after approximately one minute, Mr AO began head-butting the wall several times. For Mr AO’s own safety, the restraints were re-applied. The restraints were then removed 17 minutes </w:t>
      </w:r>
      <w:proofErr w:type="gramStart"/>
      <w:r w:rsidRPr="003B7AAA">
        <w:rPr>
          <w:rFonts w:eastAsia="Calibri" w:cs="Open Sans"/>
          <w:color w:val="000000"/>
          <w:sz w:val="22"/>
          <w:szCs w:val="22"/>
        </w:rPr>
        <w:t>later</w:t>
      </w:r>
      <w:proofErr w:type="gramEnd"/>
      <w:r w:rsidRPr="003B7AAA">
        <w:rPr>
          <w:rFonts w:eastAsia="Calibri" w:cs="Open Sans"/>
          <w:color w:val="000000"/>
          <w:sz w:val="22"/>
          <w:szCs w:val="22"/>
        </w:rPr>
        <w:t xml:space="preserve"> and Mr AO was taken by stretcher to the International Health and Medical Services (IHMS) building to be assessed by the doctor.</w:t>
      </w:r>
    </w:p>
    <w:p w14:paraId="2014541E"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In response to my preliminary view, the Department explained that the ERT officers initially attempted to escort Mr AO using the Enhanced Escort Position, which involves three offices escorting a detainee: one officer on each side of the detainee and one walking behind them to mitigate any risk of self-harm and harm to others. They say that the Acting DSM and </w:t>
      </w:r>
      <w:r w:rsidRPr="005F391B">
        <w:rPr>
          <w:rFonts w:eastAsia="Calibri" w:cs="Open Sans"/>
          <w:color w:val="000000"/>
        </w:rPr>
        <w:lastRenderedPageBreak/>
        <w:t xml:space="preserve">officers tried to de-escalate the situation through communication, but the use of restraints was required to keep Mr AO from harming himself and the officers. </w:t>
      </w:r>
    </w:p>
    <w:p w14:paraId="5D55A04F"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The body camera footage provided by the Department captures Mr AO being escorted and then being placed in handcuffs. First, two officers physically move him across the lobby in the Green One Compound. Two officers are seen holding onto his arms and pushing him to walk. One officer is seen to hold Mr AO’s right shoulder tightly. Mr AO can be heard repeatedly calling out, ‘my shoulder, leave my arm’. </w:t>
      </w:r>
    </w:p>
    <w:p w14:paraId="016AF812"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While the officers are forcefully pushing Mr AO, he calls out in pain at least four times about his arm. When the officers continue to use force to move him, he can be seen to attempt to head-butt one of them. Four officers then take him to the ground head-first and apply handcuffs. While the officers are applying the handcuffs to Mr AO, he can be heard calling out in pain and yelling at least seven times, ‘my shoulder’. The officers continue to handcuff him. </w:t>
      </w:r>
    </w:p>
    <w:p w14:paraId="551525B0"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Mr AO can then be seen handcuffed behind his back and being escorted down a hallway to a van waiting outside. The entire time Mr AO continues to call out, swear and is visibly distressed. He also appears to be whimpering. While in the van Mr AO continues to yell at the officers to ‘leave my arm’ and is crying, calling out and saying, ‘I am in pain’. The officers tell him to ‘calm down’.</w:t>
      </w:r>
    </w:p>
    <w:p w14:paraId="51ED8D64"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He is then taken out of the van and to a room in the White One Compound. Again, Mr AO is calling out in pain the entire time. Several times he tells the officers that he is in pain. </w:t>
      </w:r>
    </w:p>
    <w:p w14:paraId="00E39004"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In the footage, Mr AO can be heard crying out in apparent distress for over 13.5 minutes. </w:t>
      </w:r>
    </w:p>
    <w:p w14:paraId="0D62DB77"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I accept that Mr AO became aggressive towards officers and used offensive language repeatedly. However, in my view, this was most likely a result of the pain in his shoulder being exacerbated by the force used to transfer him to the White One Compound.  </w:t>
      </w:r>
    </w:p>
    <w:p w14:paraId="5F5C2C44"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Further to the subsequent assessment of the IHMS GP, Mr AO’s behaviour may also stem from his mental health issues and </w:t>
      </w:r>
      <w:proofErr w:type="gramStart"/>
      <w:r w:rsidRPr="005F391B">
        <w:rPr>
          <w:rFonts w:eastAsia="Calibri" w:cs="Open Sans"/>
          <w:color w:val="000000"/>
        </w:rPr>
        <w:t>past history</w:t>
      </w:r>
      <w:proofErr w:type="gramEnd"/>
      <w:r w:rsidRPr="005F391B">
        <w:rPr>
          <w:rFonts w:eastAsia="Calibri" w:cs="Open Sans"/>
          <w:color w:val="000000"/>
        </w:rPr>
        <w:t xml:space="preserve"> of torture and trauma. These issues should have been appropriately considered through consultation with IHMS before force was used on him. </w:t>
      </w:r>
    </w:p>
    <w:p w14:paraId="218FB956"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Serco states that the use of force process was followed correctly and that every effort was made to accommodate Mr AO’s medical condition during the application of force.  </w:t>
      </w:r>
    </w:p>
    <w:p w14:paraId="59D39E1A" w14:textId="2EDD977C"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lastRenderedPageBreak/>
        <w:t>Serco’s contract with the Commonwealth provides that Serco must ‘ensure that restraints are not used in a manner which is likely to cause injury, serious discomfort or potential danger to a Detainee’.</w:t>
      </w:r>
      <w:r w:rsidRPr="00322E79">
        <w:rPr>
          <w:rFonts w:eastAsia="Calibri" w:cs="Open Sans"/>
          <w:color w:val="000000"/>
          <w:sz w:val="22"/>
          <w:szCs w:val="22"/>
          <w:vertAlign w:val="superscript"/>
          <w:lang w:val="en"/>
        </w:rPr>
        <w:endnoteReference w:id="18"/>
      </w:r>
    </w:p>
    <w:p w14:paraId="1190907B" w14:textId="17297E15"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 xml:space="preserve">Serco was aware that the use of force against Mr AO was causing him pain and distress. The body camera footage captures Mr AO distressed, repeatedly requesting </w:t>
      </w:r>
      <w:r w:rsidR="00E23C19">
        <w:rPr>
          <w:rFonts w:eastAsia="Calibri" w:cs="Open Sans"/>
          <w:color w:val="000000"/>
        </w:rPr>
        <w:t>that</w:t>
      </w:r>
      <w:r w:rsidR="00E23C19" w:rsidRPr="005F391B">
        <w:rPr>
          <w:rFonts w:eastAsia="Calibri" w:cs="Open Sans"/>
          <w:color w:val="000000"/>
        </w:rPr>
        <w:t xml:space="preserve"> </w:t>
      </w:r>
      <w:r w:rsidRPr="005F391B">
        <w:rPr>
          <w:rFonts w:eastAsia="Calibri" w:cs="Open Sans"/>
          <w:color w:val="000000"/>
        </w:rPr>
        <w:t>the officers let go of his arm and stating he is in pain. Despite Mr AO making it very clear that he was in pain, Serco officers continued to keep him in handcuffs and forcefully relocate</w:t>
      </w:r>
      <w:r w:rsidR="003E3323">
        <w:rPr>
          <w:rFonts w:eastAsia="Calibri" w:cs="Open Sans"/>
          <w:color w:val="000000"/>
        </w:rPr>
        <w:t>d</w:t>
      </w:r>
      <w:r w:rsidRPr="005F391B">
        <w:rPr>
          <w:rFonts w:eastAsia="Calibri" w:cs="Open Sans"/>
          <w:color w:val="000000"/>
        </w:rPr>
        <w:t xml:space="preserve"> him to the White One Compound. </w:t>
      </w:r>
    </w:p>
    <w:p w14:paraId="720367E4" w14:textId="77777777" w:rsidR="005F391B" w:rsidRPr="005F391B" w:rsidRDefault="005F391B" w:rsidP="009A225A">
      <w:pPr>
        <w:numPr>
          <w:ilvl w:val="0"/>
          <w:numId w:val="20"/>
        </w:numPr>
        <w:tabs>
          <w:tab w:val="num" w:pos="960"/>
        </w:tabs>
        <w:rPr>
          <w:rFonts w:eastAsia="Calibri" w:cs="Open Sans"/>
          <w:color w:val="000000"/>
        </w:rPr>
      </w:pPr>
      <w:r w:rsidRPr="005F391B">
        <w:rPr>
          <w:rFonts w:eastAsia="Calibri" w:cs="Open Sans"/>
          <w:color w:val="000000"/>
        </w:rPr>
        <w:t>It is my view that this may be contrary to Serco’s contractual requirement not to apply restraints in a manner likely to cause injury or serious discomfort to a detainee. I find that the use of handcuffs in these circumstances contributed to his pain and discomfort contrary to Mr AO’s rights to be treated with humanity and with respect for his inherent dignity pursuant to article 10(1) of the ICCPR.</w:t>
      </w:r>
    </w:p>
    <w:p w14:paraId="07B5924A" w14:textId="4D8A3F36" w:rsidR="005F391B" w:rsidRPr="001375D9" w:rsidRDefault="005F391B" w:rsidP="00E35D14">
      <w:pPr>
        <w:pStyle w:val="AHRCHeading1"/>
      </w:pPr>
      <w:bookmarkStart w:id="64" w:name="_Ref472516244"/>
      <w:bookmarkStart w:id="65" w:name="_Toc473014822"/>
      <w:bookmarkStart w:id="66" w:name="_Toc83845022"/>
      <w:bookmarkStart w:id="67" w:name="_Toc98851996"/>
      <w:r w:rsidRPr="001375D9">
        <w:t>Recommendation</w:t>
      </w:r>
      <w:bookmarkEnd w:id="64"/>
      <w:bookmarkEnd w:id="65"/>
      <w:r w:rsidRPr="001375D9">
        <w:t>s</w:t>
      </w:r>
      <w:bookmarkEnd w:id="66"/>
      <w:bookmarkEnd w:id="67"/>
    </w:p>
    <w:p w14:paraId="5BB9C91E" w14:textId="77777777" w:rsidR="005F391B" w:rsidRPr="005B6082" w:rsidRDefault="005F391B" w:rsidP="009A225A">
      <w:pPr>
        <w:widowControl w:val="0"/>
        <w:numPr>
          <w:ilvl w:val="0"/>
          <w:numId w:val="20"/>
        </w:numPr>
        <w:tabs>
          <w:tab w:val="clear" w:pos="720"/>
          <w:tab w:val="num" w:pos="1080"/>
        </w:tabs>
        <w:rPr>
          <w:rFonts w:cs="Open Sans"/>
        </w:rPr>
      </w:pPr>
      <w:bookmarkStart w:id="68" w:name="_Toc438218056"/>
      <w:r w:rsidRPr="001375D9">
        <w:rPr>
          <w:rFonts w:cs="Open Sans"/>
        </w:rPr>
        <w:t xml:space="preserve">As a result of this inquiry, </w:t>
      </w:r>
      <w:r>
        <w:rPr>
          <w:rFonts w:cs="Open Sans"/>
        </w:rPr>
        <w:t xml:space="preserve">I find that the </w:t>
      </w:r>
      <w:r w:rsidRPr="000D5E38">
        <w:rPr>
          <w:rFonts w:cs="Open Sans"/>
        </w:rPr>
        <w:t xml:space="preserve">decision of the Department </w:t>
      </w:r>
      <w:r>
        <w:rPr>
          <w:rFonts w:cs="Open Sans"/>
        </w:rPr>
        <w:t>to use force on Mr AO</w:t>
      </w:r>
      <w:r w:rsidRPr="000D5E38">
        <w:rPr>
          <w:rFonts w:cs="Open Sans"/>
        </w:rPr>
        <w:t xml:space="preserve"> was inconsistent with or contrary to </w:t>
      </w:r>
      <w:r>
        <w:rPr>
          <w:rFonts w:cs="Open Sans"/>
        </w:rPr>
        <w:t xml:space="preserve">his rights under </w:t>
      </w:r>
      <w:r w:rsidRPr="005B6082">
        <w:rPr>
          <w:rFonts w:cs="Open Sans"/>
        </w:rPr>
        <w:t xml:space="preserve">article 10 of the ICCPR to be treated with humanity and with respect for </w:t>
      </w:r>
      <w:r>
        <w:rPr>
          <w:rFonts w:cs="Open Sans"/>
        </w:rPr>
        <w:t>his</w:t>
      </w:r>
      <w:r w:rsidRPr="005B6082">
        <w:rPr>
          <w:rFonts w:cs="Open Sans"/>
        </w:rPr>
        <w:t xml:space="preserve"> inherent dignity.</w:t>
      </w:r>
    </w:p>
    <w:p w14:paraId="2BE62983" w14:textId="04DDA39B" w:rsidR="005F391B" w:rsidRPr="001D4975" w:rsidRDefault="005F391B" w:rsidP="001D4975">
      <w:pPr>
        <w:pStyle w:val="ListParagraph"/>
        <w:numPr>
          <w:ilvl w:val="0"/>
          <w:numId w:val="20"/>
        </w:numPr>
        <w:rPr>
          <w:rFonts w:cs="Open Sans"/>
        </w:rPr>
      </w:pPr>
      <w:r w:rsidRPr="00984B1B">
        <w:rPr>
          <w:rFonts w:cs="Open Sans"/>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984B1B">
        <w:rPr>
          <w:rStyle w:val="EndnoteReference"/>
          <w:rFonts w:cs="Open Sans"/>
        </w:rPr>
        <w:endnoteReference w:id="19"/>
      </w:r>
      <w:r w:rsidRPr="00984B1B">
        <w:rPr>
          <w:rFonts w:cs="Open Sans"/>
        </w:rPr>
        <w:t xml:space="preserve"> </w:t>
      </w:r>
      <w:r w:rsidRPr="001D4975">
        <w:rPr>
          <w:rFonts w:cs="Open Sans"/>
        </w:rPr>
        <w:t>The Commission may include in the notice any recommendation for preventing a repetition of the act or a continuation of the practice.</w:t>
      </w:r>
      <w:r w:rsidRPr="00984B1B">
        <w:rPr>
          <w:rStyle w:val="EndnoteReference"/>
          <w:rFonts w:cs="Open Sans"/>
        </w:rPr>
        <w:endnoteReference w:id="20"/>
      </w:r>
      <w:r w:rsidRPr="001D4975">
        <w:rPr>
          <w:rFonts w:cs="Open Sans"/>
        </w:rPr>
        <w:t xml:space="preserve"> The Commission may also recommend other action to remedy or reduce the loss or damage suffered by a person.</w:t>
      </w:r>
      <w:r w:rsidRPr="00984B1B">
        <w:rPr>
          <w:rStyle w:val="EndnoteReference"/>
          <w:rFonts w:cs="Open Sans"/>
        </w:rPr>
        <w:endnoteReference w:id="21"/>
      </w:r>
      <w:bookmarkEnd w:id="68"/>
    </w:p>
    <w:p w14:paraId="37D342FC" w14:textId="77777777" w:rsidR="005F391B" w:rsidRPr="00DF1CF7" w:rsidRDefault="005F391B" w:rsidP="009A225A">
      <w:pPr>
        <w:pStyle w:val="ListParagraph"/>
        <w:numPr>
          <w:ilvl w:val="0"/>
          <w:numId w:val="20"/>
        </w:numPr>
        <w:rPr>
          <w:rFonts w:cs="Open Sans"/>
        </w:rPr>
      </w:pPr>
      <w:r>
        <w:rPr>
          <w:rFonts w:cs="Open Sans"/>
        </w:rPr>
        <w:t xml:space="preserve">I make the following recommendations: </w:t>
      </w:r>
    </w:p>
    <w:p w14:paraId="3EBD8BF6" w14:textId="77777777" w:rsidR="005F391B" w:rsidRPr="002F43B0" w:rsidRDefault="005F391B" w:rsidP="009A225A">
      <w:pPr>
        <w:keepNext/>
        <w:ind w:left="720"/>
        <w:rPr>
          <w:b/>
        </w:rPr>
      </w:pPr>
      <w:r>
        <w:rPr>
          <w:b/>
          <w:bCs/>
        </w:rPr>
        <w:t xml:space="preserve">Recommendation 1 </w:t>
      </w:r>
    </w:p>
    <w:p w14:paraId="08AF2666" w14:textId="77777777" w:rsidR="005F391B" w:rsidRPr="00865C65" w:rsidRDefault="005F391B" w:rsidP="009A225A">
      <w:pPr>
        <w:pStyle w:val="ListParagraph"/>
        <w:widowControl w:val="0"/>
        <w:rPr>
          <w:rFonts w:cs="Open Sans"/>
        </w:rPr>
      </w:pPr>
      <w:r w:rsidRPr="00865C65">
        <w:rPr>
          <w:rFonts w:cs="Open Sans"/>
        </w:rPr>
        <w:t xml:space="preserve">The Commonwealth pay to Mr AO an appropriate amount of compensation to reflect the loss and damage he suffered </w:t>
      </w:r>
      <w:proofErr w:type="gramStart"/>
      <w:r w:rsidRPr="00865C65">
        <w:rPr>
          <w:rFonts w:cs="Open Sans"/>
        </w:rPr>
        <w:t>as a result of</w:t>
      </w:r>
      <w:proofErr w:type="gramEnd"/>
      <w:r w:rsidRPr="00865C65">
        <w:rPr>
          <w:rFonts w:cs="Open Sans"/>
        </w:rPr>
        <w:t xml:space="preserve"> the breach of his human rights identified by this inquiry, being the pain and suffering he experienced a result of the use of force against him. </w:t>
      </w:r>
    </w:p>
    <w:p w14:paraId="4260DC37" w14:textId="77777777" w:rsidR="005F391B" w:rsidRPr="00210656" w:rsidRDefault="005F391B" w:rsidP="009A225A">
      <w:pPr>
        <w:keepNext/>
        <w:ind w:left="720"/>
        <w:rPr>
          <w:rFonts w:cs="Open Sans"/>
          <w:b/>
          <w:bCs/>
        </w:rPr>
      </w:pPr>
      <w:r w:rsidRPr="008420CB">
        <w:rPr>
          <w:rFonts w:cs="Open Sans"/>
          <w:b/>
          <w:bCs/>
        </w:rPr>
        <w:lastRenderedPageBreak/>
        <w:t>Recommendation 2</w:t>
      </w:r>
    </w:p>
    <w:p w14:paraId="18ECF68F" w14:textId="77777777" w:rsidR="005F391B" w:rsidRPr="007F5053" w:rsidRDefault="005F391B" w:rsidP="009A225A">
      <w:pPr>
        <w:pStyle w:val="ListParagraph"/>
        <w:widowControl w:val="0"/>
        <w:rPr>
          <w:rFonts w:cs="Open Sans"/>
        </w:rPr>
      </w:pPr>
      <w:r>
        <w:rPr>
          <w:rFonts w:cs="Open Sans"/>
        </w:rPr>
        <w:t xml:space="preserve">The Department and Serco ensure that officers who may be required to use force in their roles be appropriately and periodically trained on communication, </w:t>
      </w:r>
      <w:proofErr w:type="gramStart"/>
      <w:r>
        <w:rPr>
          <w:rFonts w:cs="Open Sans"/>
        </w:rPr>
        <w:t>negotiation</w:t>
      </w:r>
      <w:proofErr w:type="gramEnd"/>
      <w:r>
        <w:rPr>
          <w:rFonts w:cs="Open Sans"/>
        </w:rPr>
        <w:t xml:space="preserve"> and conflict de-escalation strategies as alternatives to the use of force. </w:t>
      </w:r>
    </w:p>
    <w:p w14:paraId="55BB97DA" w14:textId="77777777" w:rsidR="005F391B" w:rsidRPr="00210656" w:rsidRDefault="005F391B" w:rsidP="009A225A">
      <w:pPr>
        <w:keepNext/>
        <w:ind w:left="720"/>
        <w:rPr>
          <w:rFonts w:cs="Open Sans"/>
          <w:b/>
          <w:bCs/>
        </w:rPr>
      </w:pPr>
      <w:r w:rsidRPr="008420CB">
        <w:rPr>
          <w:rFonts w:cs="Open Sans"/>
          <w:b/>
          <w:bCs/>
        </w:rPr>
        <w:t xml:space="preserve">Recommendation </w:t>
      </w:r>
      <w:r>
        <w:rPr>
          <w:rFonts w:cs="Open Sans"/>
          <w:b/>
          <w:bCs/>
        </w:rPr>
        <w:t>3</w:t>
      </w:r>
    </w:p>
    <w:p w14:paraId="18BD601D" w14:textId="77777777" w:rsidR="005F391B" w:rsidRPr="00865C65" w:rsidRDefault="005F391B" w:rsidP="009A225A">
      <w:pPr>
        <w:pStyle w:val="ListParagraph"/>
        <w:widowControl w:val="0"/>
        <w:rPr>
          <w:rFonts w:cs="Open Sans"/>
        </w:rPr>
      </w:pPr>
      <w:r>
        <w:rPr>
          <w:rFonts w:cs="Open Sans"/>
        </w:rPr>
        <w:t xml:space="preserve">The Department and Serco should, whenever practicable, consult with detention health services as to whether there are medical reasons restraints should not be used on a detainee prior to the use of force against the detainee. </w:t>
      </w:r>
    </w:p>
    <w:p w14:paraId="01D57D20" w14:textId="77777777" w:rsidR="003B7AAA" w:rsidRDefault="003B7AAA" w:rsidP="00E35D14">
      <w:pPr>
        <w:pStyle w:val="AHRCHeading1"/>
      </w:pPr>
      <w:bookmarkStart w:id="69" w:name="_Toc70681739"/>
      <w:bookmarkStart w:id="70" w:name="_Toc87965785"/>
      <w:bookmarkStart w:id="71" w:name="_Toc98851997"/>
      <w:r>
        <w:t>The Department’s response to my findings and recommendations</w:t>
      </w:r>
      <w:bookmarkEnd w:id="69"/>
      <w:bookmarkEnd w:id="70"/>
      <w:bookmarkEnd w:id="71"/>
    </w:p>
    <w:p w14:paraId="293A66BB" w14:textId="2E29146F" w:rsidR="003B7AAA" w:rsidRDefault="003B7AAA" w:rsidP="009A225A">
      <w:pPr>
        <w:pStyle w:val="ListParagraph"/>
        <w:numPr>
          <w:ilvl w:val="0"/>
          <w:numId w:val="20"/>
        </w:numPr>
        <w:rPr>
          <w:rFonts w:cs="Open Sans"/>
        </w:rPr>
      </w:pPr>
      <w:r>
        <w:rPr>
          <w:rFonts w:cs="Open Sans"/>
        </w:rPr>
        <w:t xml:space="preserve">On </w:t>
      </w:r>
      <w:r w:rsidR="00465566">
        <w:rPr>
          <w:rFonts w:cs="Open Sans"/>
        </w:rPr>
        <w:t>29 September</w:t>
      </w:r>
      <w:r>
        <w:rPr>
          <w:rFonts w:cs="Open Sans"/>
        </w:rPr>
        <w:t xml:space="preserve"> 2021, I provided the Department with a notice of my findings and recommendations.</w:t>
      </w:r>
    </w:p>
    <w:p w14:paraId="546902D4" w14:textId="1FDFD350" w:rsidR="005F391B" w:rsidRPr="003B7AAA" w:rsidRDefault="003B7AAA" w:rsidP="009A225A">
      <w:pPr>
        <w:pStyle w:val="ListParagraph"/>
        <w:numPr>
          <w:ilvl w:val="0"/>
          <w:numId w:val="20"/>
        </w:numPr>
        <w:rPr>
          <w:rFonts w:cs="Open Sans"/>
        </w:rPr>
      </w:pPr>
      <w:r>
        <w:rPr>
          <w:rFonts w:cs="Open Sans"/>
        </w:rPr>
        <w:t xml:space="preserve">On </w:t>
      </w:r>
      <w:r w:rsidR="00F50DDF">
        <w:rPr>
          <w:rFonts w:cs="Open Sans"/>
        </w:rPr>
        <w:t>24 February 2022</w:t>
      </w:r>
      <w:r>
        <w:rPr>
          <w:rFonts w:cs="Open Sans"/>
        </w:rPr>
        <w:t xml:space="preserve">, the Department provided the following response to my findings and recommendations: </w:t>
      </w:r>
    </w:p>
    <w:p w14:paraId="60F34F2D" w14:textId="77777777" w:rsidR="003B7AAA" w:rsidRP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t xml:space="preserve">The Department of Home Affairs (the Department) values the role of the Australian Human Rights Commission (the Commission) to inquire into human rights complaints and acknowledges the findings and recommendations made. </w:t>
      </w:r>
    </w:p>
    <w:p w14:paraId="71316064" w14:textId="6C51B200" w:rsidR="003B7AAA" w:rsidRP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t xml:space="preserve">The Department does not agree with the findings of the President of the Commission (the President) that the use of force by the Department against Mr AO was inconsistent with or contrary to article 10(1) of the </w:t>
      </w:r>
      <w:r w:rsidRPr="003B7AAA">
        <w:rPr>
          <w:rFonts w:eastAsia="Times New Roman" w:cs="Open Sans"/>
          <w:i/>
          <w:iCs/>
          <w:spacing w:val="-5"/>
          <w:sz w:val="22"/>
          <w:szCs w:val="18"/>
          <w:lang w:eastAsia="en-US"/>
        </w:rPr>
        <w:t>International Covenant on Civil and Political Rights</w:t>
      </w:r>
      <w:r w:rsidRPr="003B7AAA">
        <w:rPr>
          <w:rFonts w:eastAsia="Times New Roman" w:cs="Open Sans"/>
          <w:spacing w:val="-5"/>
          <w:sz w:val="22"/>
          <w:szCs w:val="18"/>
          <w:lang w:eastAsia="en-US"/>
        </w:rPr>
        <w:t xml:space="preserve"> (ICCPR). </w:t>
      </w:r>
    </w:p>
    <w:p w14:paraId="0E4BBD83" w14:textId="77777777" w:rsidR="003B7AAA" w:rsidRP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t xml:space="preserve">The Department disagrees with recommendation one. The Commonwealth can only pay compensation to settle a monetary claim against the Department if there is a meaningful prospect of legal liability within the meaning of the </w:t>
      </w:r>
      <w:r w:rsidRPr="003B7AAA">
        <w:rPr>
          <w:rFonts w:eastAsia="Times New Roman" w:cs="Open Sans"/>
          <w:i/>
          <w:iCs/>
          <w:spacing w:val="-5"/>
          <w:sz w:val="22"/>
          <w:szCs w:val="18"/>
          <w:lang w:eastAsia="en-US"/>
        </w:rPr>
        <w:t>Legal Services Directions 2017</w:t>
      </w:r>
      <w:r w:rsidRPr="003B7AAA">
        <w:rPr>
          <w:rFonts w:eastAsia="Times New Roman" w:cs="Open Sans"/>
          <w:spacing w:val="-5"/>
          <w:sz w:val="22"/>
          <w:szCs w:val="18"/>
          <w:lang w:eastAsia="en-US"/>
        </w:rPr>
        <w:t xml:space="preserve"> and it would be within legal principle and practice to resolve this matter on those terms. Based on the current evidence, the Department’s position is that it is not appropriate to pay compensation in this instance. </w:t>
      </w:r>
    </w:p>
    <w:p w14:paraId="0AB214B3" w14:textId="77777777" w:rsidR="003B7AAA" w:rsidRP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t xml:space="preserve">The Department notes recommendation two and confirms that its Service Provider Serco provides nationally recognised use of force training to all officers during their Initial Training Course (ITC) and during the required yearly refresher courses. </w:t>
      </w:r>
    </w:p>
    <w:p w14:paraId="6CD0BCCA" w14:textId="77777777" w:rsidR="003B7AAA" w:rsidRP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lastRenderedPageBreak/>
        <w:t xml:space="preserve">At the ITC and during refresher courses all officers receive training and are assessed to the required competency level in the Operational Safety Techniques that may be needed within an Immigration Detention Facility or during an external escort. This includes training officers to respond to an incident in the first instance with communication and conflict de-escalation strategies as alternatives to the use of force. Specifically, Serco officers receive an entire unit (both theoretical and practical) on communication, </w:t>
      </w:r>
      <w:proofErr w:type="gramStart"/>
      <w:r w:rsidRPr="003B7AAA">
        <w:rPr>
          <w:rFonts w:eastAsia="Times New Roman" w:cs="Open Sans"/>
          <w:spacing w:val="-5"/>
          <w:sz w:val="22"/>
          <w:szCs w:val="18"/>
          <w:lang w:eastAsia="en-US"/>
        </w:rPr>
        <w:t>negotiation</w:t>
      </w:r>
      <w:proofErr w:type="gramEnd"/>
      <w:r w:rsidRPr="003B7AAA">
        <w:rPr>
          <w:rFonts w:eastAsia="Times New Roman" w:cs="Open Sans"/>
          <w:spacing w:val="-5"/>
          <w:sz w:val="22"/>
          <w:szCs w:val="18"/>
          <w:lang w:eastAsia="en-US"/>
        </w:rPr>
        <w:t xml:space="preserve"> and conflict de-escalation where use of force is always only applied as the last resort. </w:t>
      </w:r>
      <w:proofErr w:type="gramStart"/>
      <w:r w:rsidRPr="003B7AAA">
        <w:rPr>
          <w:rFonts w:eastAsia="Times New Roman" w:cs="Open Sans"/>
          <w:spacing w:val="-5"/>
          <w:sz w:val="22"/>
          <w:szCs w:val="18"/>
          <w:lang w:eastAsia="en-US"/>
        </w:rPr>
        <w:t>In order to</w:t>
      </w:r>
      <w:proofErr w:type="gramEnd"/>
      <w:r w:rsidRPr="003B7AAA">
        <w:rPr>
          <w:rFonts w:eastAsia="Times New Roman" w:cs="Open Sans"/>
          <w:spacing w:val="-5"/>
          <w:sz w:val="22"/>
          <w:szCs w:val="18"/>
          <w:lang w:eastAsia="en-US"/>
        </w:rPr>
        <w:t xml:space="preserve"> complete this unit satisfactorily they are assessed against the industry standards. </w:t>
      </w:r>
    </w:p>
    <w:p w14:paraId="7D620905" w14:textId="7A5EFCA1" w:rsidR="003B7AAA" w:rsidRDefault="003B7AAA" w:rsidP="009A225A">
      <w:pPr>
        <w:keepLines/>
        <w:ind w:left="1440"/>
        <w:rPr>
          <w:rFonts w:eastAsia="Times New Roman" w:cs="Open Sans"/>
          <w:spacing w:val="-5"/>
          <w:sz w:val="22"/>
          <w:szCs w:val="18"/>
          <w:lang w:eastAsia="en-US"/>
        </w:rPr>
      </w:pPr>
      <w:r w:rsidRPr="003B7AAA">
        <w:rPr>
          <w:rFonts w:eastAsia="Times New Roman" w:cs="Open Sans"/>
          <w:spacing w:val="-5"/>
          <w:sz w:val="22"/>
          <w:szCs w:val="18"/>
          <w:lang w:eastAsia="en-US"/>
        </w:rPr>
        <w:t xml:space="preserve">The Department notes recommendation three and maintains that where practicable, the Facilities and Detainee Services Provider (FDSP) is expected to consult with the detention health service provider (DHSP) to ensure that no medical reasons preclude the use of force, including restraints, against a detainee, as prescribed by contractual and detention operational policy requirements. Where force is used in an immediate or </w:t>
      </w:r>
      <w:proofErr w:type="gramStart"/>
      <w:r w:rsidRPr="003B7AAA">
        <w:rPr>
          <w:rFonts w:eastAsia="Times New Roman" w:cs="Open Sans"/>
          <w:spacing w:val="-5"/>
          <w:sz w:val="22"/>
          <w:szCs w:val="18"/>
          <w:lang w:eastAsia="en-US"/>
        </w:rPr>
        <w:t>emergency situation</w:t>
      </w:r>
      <w:proofErr w:type="gramEnd"/>
      <w:r w:rsidRPr="003B7AAA">
        <w:rPr>
          <w:rFonts w:eastAsia="Times New Roman" w:cs="Open Sans"/>
          <w:spacing w:val="-5"/>
          <w:sz w:val="22"/>
          <w:szCs w:val="18"/>
          <w:lang w:eastAsia="en-US"/>
        </w:rPr>
        <w:t xml:space="preserve"> (unplanned use of force), such consultation is generally not practicable.</w:t>
      </w:r>
    </w:p>
    <w:p w14:paraId="290EA62C" w14:textId="3209BF3A" w:rsidR="00E44E38" w:rsidRPr="003B7AAA" w:rsidRDefault="00E44E38" w:rsidP="009A225A">
      <w:pPr>
        <w:keepLines/>
        <w:ind w:left="1440"/>
        <w:rPr>
          <w:rFonts w:eastAsia="Times New Roman" w:cs="Open Sans"/>
          <w:spacing w:val="-5"/>
          <w:sz w:val="22"/>
          <w:szCs w:val="18"/>
          <w:lang w:eastAsia="en-US"/>
        </w:rPr>
      </w:pPr>
      <w:r>
        <w:rPr>
          <w:b/>
          <w:bCs/>
          <w:sz w:val="22"/>
          <w:szCs w:val="22"/>
        </w:rPr>
        <w:t>Table 1 - Summary of Department’s response to recommendations</w:t>
      </w:r>
    </w:p>
    <w:tbl>
      <w:tblPr>
        <w:tblStyle w:val="TableGrid"/>
        <w:tblW w:w="8048" w:type="dxa"/>
        <w:tblInd w:w="1327" w:type="dxa"/>
        <w:tblLayout w:type="fixed"/>
        <w:tblLook w:val="0000" w:firstRow="0" w:lastRow="0" w:firstColumn="0" w:lastColumn="0" w:noHBand="0" w:noVBand="0"/>
      </w:tblPr>
      <w:tblGrid>
        <w:gridCol w:w="4024"/>
        <w:gridCol w:w="4024"/>
      </w:tblGrid>
      <w:tr w:rsidR="00E44E38" w:rsidRPr="00E44E38" w14:paraId="439D118A" w14:textId="77777777" w:rsidTr="00983F3D">
        <w:trPr>
          <w:trHeight w:val="250"/>
        </w:trPr>
        <w:tc>
          <w:tcPr>
            <w:tcW w:w="4024" w:type="dxa"/>
            <w:shd w:val="clear" w:color="auto" w:fill="BFBFBF" w:themeFill="background1" w:themeFillShade="BF"/>
          </w:tcPr>
          <w:p w14:paraId="7EC81715"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Recommendation number </w:t>
            </w:r>
          </w:p>
        </w:tc>
        <w:tc>
          <w:tcPr>
            <w:tcW w:w="4024" w:type="dxa"/>
            <w:shd w:val="clear" w:color="auto" w:fill="BFBFBF" w:themeFill="background1" w:themeFillShade="BF"/>
          </w:tcPr>
          <w:p w14:paraId="5D2A8780"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Department’s response </w:t>
            </w:r>
          </w:p>
        </w:tc>
      </w:tr>
      <w:tr w:rsidR="00E44E38" w:rsidRPr="00E44E38" w14:paraId="14E80F83" w14:textId="77777777" w:rsidTr="00983F3D">
        <w:trPr>
          <w:trHeight w:val="150"/>
        </w:trPr>
        <w:tc>
          <w:tcPr>
            <w:tcW w:w="4024" w:type="dxa"/>
          </w:tcPr>
          <w:p w14:paraId="7BB6C561"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1 </w:t>
            </w:r>
          </w:p>
        </w:tc>
        <w:tc>
          <w:tcPr>
            <w:tcW w:w="4024" w:type="dxa"/>
          </w:tcPr>
          <w:p w14:paraId="2DBF09CF"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Disagree </w:t>
            </w:r>
          </w:p>
        </w:tc>
      </w:tr>
      <w:tr w:rsidR="00E44E38" w:rsidRPr="00E44E38" w14:paraId="3F6DE83D" w14:textId="77777777" w:rsidTr="00983F3D">
        <w:trPr>
          <w:trHeight w:val="150"/>
        </w:trPr>
        <w:tc>
          <w:tcPr>
            <w:tcW w:w="4024" w:type="dxa"/>
          </w:tcPr>
          <w:p w14:paraId="25A7C8BE"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2 </w:t>
            </w:r>
          </w:p>
        </w:tc>
        <w:tc>
          <w:tcPr>
            <w:tcW w:w="4024" w:type="dxa"/>
          </w:tcPr>
          <w:p w14:paraId="30CCE4AF"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Notes </w:t>
            </w:r>
          </w:p>
        </w:tc>
      </w:tr>
      <w:tr w:rsidR="00E44E38" w:rsidRPr="00E44E38" w14:paraId="48C302E7" w14:textId="77777777" w:rsidTr="00983F3D">
        <w:trPr>
          <w:trHeight w:val="150"/>
        </w:trPr>
        <w:tc>
          <w:tcPr>
            <w:tcW w:w="4024" w:type="dxa"/>
          </w:tcPr>
          <w:p w14:paraId="76733DC1"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3 </w:t>
            </w:r>
          </w:p>
        </w:tc>
        <w:tc>
          <w:tcPr>
            <w:tcW w:w="4024" w:type="dxa"/>
          </w:tcPr>
          <w:p w14:paraId="3E150DE6" w14:textId="77777777" w:rsidR="00E44E38" w:rsidRPr="00E44E38" w:rsidRDefault="00E44E38" w:rsidP="009A225A">
            <w:pPr>
              <w:autoSpaceDE w:val="0"/>
              <w:autoSpaceDN w:val="0"/>
              <w:adjustRightInd w:val="0"/>
              <w:rPr>
                <w:rFonts w:eastAsia="Times New Roman" w:cs="Open Sans"/>
                <w:color w:val="000000"/>
                <w:sz w:val="22"/>
                <w:szCs w:val="22"/>
              </w:rPr>
            </w:pPr>
            <w:r w:rsidRPr="00E44E38">
              <w:rPr>
                <w:rFonts w:eastAsia="Times New Roman" w:cs="Open Sans"/>
                <w:color w:val="000000"/>
                <w:sz w:val="22"/>
                <w:szCs w:val="22"/>
              </w:rPr>
              <w:t xml:space="preserve">Notes </w:t>
            </w:r>
          </w:p>
        </w:tc>
      </w:tr>
    </w:tbl>
    <w:p w14:paraId="790D7065" w14:textId="77777777" w:rsidR="003B7AAA" w:rsidRDefault="003B7AAA" w:rsidP="005F391B">
      <w:pPr>
        <w:rPr>
          <w:rFonts w:cs="Open Sans"/>
        </w:rPr>
      </w:pPr>
    </w:p>
    <w:p w14:paraId="5B9E73FA" w14:textId="77777777" w:rsidR="005F391B" w:rsidRDefault="005F391B" w:rsidP="005F391B">
      <w:pPr>
        <w:rPr>
          <w:rFonts w:cs="Open Sans"/>
        </w:rPr>
      </w:pPr>
    </w:p>
    <w:p w14:paraId="4E44A480" w14:textId="0330C409" w:rsidR="003B7AAA" w:rsidRDefault="005F391B" w:rsidP="005F391B">
      <w:r w:rsidRPr="003F061F">
        <w:rPr>
          <w:rFonts w:cs="Open Sans"/>
        </w:rPr>
        <w:t>Emeritus Professor Rosalind Croucher AM</w:t>
      </w:r>
      <w:r w:rsidR="003B7AAA">
        <w:br/>
      </w:r>
      <w:r w:rsidRPr="003F061F">
        <w:rPr>
          <w:rFonts w:cs="Open Sans"/>
          <w:b/>
        </w:rPr>
        <w:t xml:space="preserve">President </w:t>
      </w:r>
      <w:r w:rsidR="003B7AAA">
        <w:br/>
      </w:r>
      <w:r w:rsidRPr="003F061F">
        <w:rPr>
          <w:rFonts w:cs="Open Sans"/>
        </w:rPr>
        <w:t>Australian Human Rights Commission</w:t>
      </w:r>
      <w:r w:rsidR="003B7AAA">
        <w:br/>
      </w:r>
      <w:r w:rsidR="26D2EE6F">
        <w:rPr>
          <w:noProof/>
        </w:rPr>
        <w:drawing>
          <wp:inline distT="0" distB="0" distL="0" distR="0" wp14:anchorId="73441E5D" wp14:editId="3383AF81">
            <wp:extent cx="2266790" cy="561975"/>
            <wp:effectExtent l="0" t="0" r="0" b="0"/>
            <wp:docPr id="1381617581" name="Picture 138161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266790" cy="561975"/>
                    </a:xfrm>
                    <a:prstGeom prst="rect">
                      <a:avLst/>
                    </a:prstGeom>
                  </pic:spPr>
                </pic:pic>
              </a:graphicData>
            </a:graphic>
          </wp:inline>
        </w:drawing>
      </w:r>
    </w:p>
    <w:p w14:paraId="12AB8212" w14:textId="5620F8FD" w:rsidR="005F391B" w:rsidRPr="003F061F" w:rsidRDefault="00DD49A7" w:rsidP="005F391B">
      <w:pPr>
        <w:rPr>
          <w:rFonts w:cs="Open Sans"/>
        </w:rPr>
      </w:pPr>
      <w:r>
        <w:rPr>
          <w:rFonts w:cs="Open Sans"/>
        </w:rPr>
        <w:t xml:space="preserve">May 2022 </w:t>
      </w:r>
    </w:p>
    <w:p w14:paraId="58A9A7E2" w14:textId="77777777" w:rsidR="005F391B" w:rsidRDefault="005F391B" w:rsidP="005F391B">
      <w:pPr>
        <w:rPr>
          <w:rFonts w:cs="Open Sans"/>
        </w:rPr>
      </w:pPr>
    </w:p>
    <w:p w14:paraId="186A90C3" w14:textId="77777777" w:rsidR="003423F4" w:rsidRPr="00E23DB3" w:rsidRDefault="003423F4" w:rsidP="005F391B">
      <w:pPr>
        <w:pStyle w:val="Heading1"/>
        <w:numPr>
          <w:ilvl w:val="0"/>
          <w:numId w:val="0"/>
        </w:numPr>
        <w:ind w:left="851" w:hanging="851"/>
      </w:pPr>
    </w:p>
    <w:sectPr w:rsidR="003423F4" w:rsidRPr="00E23DB3"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2B2D" w14:textId="77777777" w:rsidR="00937B8F" w:rsidRDefault="00937B8F" w:rsidP="00F14C6D">
      <w:r>
        <w:separator/>
      </w:r>
    </w:p>
  </w:endnote>
  <w:endnote w:type="continuationSeparator" w:id="0">
    <w:p w14:paraId="6C77CF53" w14:textId="77777777" w:rsidR="00937B8F" w:rsidRDefault="00937B8F" w:rsidP="00F14C6D">
      <w:r>
        <w:continuationSeparator/>
      </w:r>
    </w:p>
  </w:endnote>
  <w:endnote w:type="continuationNotice" w:id="1">
    <w:p w14:paraId="45B21046" w14:textId="77777777" w:rsidR="00937B8F" w:rsidRDefault="00937B8F">
      <w:pPr>
        <w:spacing w:before="0" w:after="0"/>
      </w:pPr>
    </w:p>
  </w:endnote>
  <w:endnote w:id="2">
    <w:p w14:paraId="560870C3" w14:textId="58E9F473" w:rsidR="009A50EC" w:rsidRDefault="009A50EC" w:rsidP="00311321">
      <w:pPr>
        <w:pStyle w:val="EndnoteText"/>
        <w:tabs>
          <w:tab w:val="left" w:pos="284"/>
        </w:tabs>
        <w:ind w:left="284" w:hanging="284"/>
      </w:pPr>
      <w:r w:rsidRPr="00311321">
        <w:rPr>
          <w:rStyle w:val="EndnoteReference"/>
          <w:sz w:val="22"/>
        </w:rPr>
        <w:endnoteRef/>
      </w:r>
      <w:r w:rsidRPr="00311321">
        <w:rPr>
          <w:rStyle w:val="EndnoteReference"/>
          <w:sz w:val="22"/>
        </w:rPr>
        <w:t xml:space="preserve"> </w:t>
      </w:r>
      <w:r>
        <w:rPr>
          <w:sz w:val="22"/>
        </w:rPr>
        <w:t xml:space="preserve">   </w:t>
      </w:r>
      <w:r w:rsidRPr="00311321">
        <w:rPr>
          <w:rFonts w:cs="Open Sans"/>
          <w:sz w:val="22"/>
          <w:szCs w:val="22"/>
        </w:rPr>
        <w:t>International Covenant on Civil and Political Rights, opened for signature 16 December 1966, 999 UNTS 171, (entered into force 23 March 1976), [1980] ATS 23 (entered into force for Australia 13 November 1980).</w:t>
      </w:r>
    </w:p>
  </w:endnote>
  <w:endnote w:id="3">
    <w:p w14:paraId="1D57E98C" w14:textId="58EC03D1" w:rsidR="005F391B" w:rsidRPr="001360ED" w:rsidRDefault="005F391B" w:rsidP="005F391B">
      <w:pPr>
        <w:pStyle w:val="EndnoteText"/>
        <w:tabs>
          <w:tab w:val="left" w:pos="284"/>
        </w:tabs>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See</w:t>
      </w:r>
      <w:r w:rsidRPr="001360ED">
        <w:rPr>
          <w:rFonts w:cs="Open Sans"/>
          <w:spacing w:val="-4"/>
          <w:sz w:val="22"/>
          <w:szCs w:val="22"/>
        </w:rPr>
        <w:t xml:space="preserve"> </w:t>
      </w:r>
      <w:r w:rsidRPr="001360ED">
        <w:rPr>
          <w:rFonts w:cs="Open Sans"/>
          <w:i/>
          <w:sz w:val="22"/>
          <w:szCs w:val="22"/>
        </w:rPr>
        <w:t>Secretary,</w:t>
      </w:r>
      <w:r w:rsidRPr="001360ED">
        <w:rPr>
          <w:rFonts w:cs="Open Sans"/>
          <w:i/>
          <w:spacing w:val="-4"/>
          <w:sz w:val="22"/>
          <w:szCs w:val="22"/>
        </w:rPr>
        <w:t xml:space="preserve"> </w:t>
      </w:r>
      <w:r w:rsidRPr="001360ED">
        <w:rPr>
          <w:rFonts w:cs="Open Sans"/>
          <w:i/>
          <w:sz w:val="22"/>
          <w:szCs w:val="22"/>
        </w:rPr>
        <w:t>Department of Defence v</w:t>
      </w:r>
      <w:r w:rsidRPr="001360ED">
        <w:rPr>
          <w:rFonts w:cs="Open Sans"/>
          <w:i/>
          <w:spacing w:val="-4"/>
          <w:sz w:val="22"/>
          <w:szCs w:val="22"/>
        </w:rPr>
        <w:t xml:space="preserve"> </w:t>
      </w:r>
      <w:r w:rsidRPr="001360ED">
        <w:rPr>
          <w:rFonts w:cs="Open Sans"/>
          <w:i/>
          <w:sz w:val="22"/>
          <w:szCs w:val="22"/>
        </w:rPr>
        <w:t>HREOC, Burgess</w:t>
      </w:r>
      <w:r w:rsidRPr="001360ED">
        <w:rPr>
          <w:rFonts w:cs="Open Sans"/>
          <w:i/>
          <w:spacing w:val="-4"/>
          <w:sz w:val="22"/>
          <w:szCs w:val="22"/>
        </w:rPr>
        <w:t xml:space="preserve"> </w:t>
      </w:r>
      <w:r w:rsidRPr="001360ED">
        <w:rPr>
          <w:rFonts w:cs="Open Sans"/>
          <w:i/>
          <w:sz w:val="22"/>
          <w:szCs w:val="22"/>
        </w:rPr>
        <w:t>&amp;</w:t>
      </w:r>
      <w:r w:rsidRPr="001360ED">
        <w:rPr>
          <w:rFonts w:cs="Open Sans"/>
          <w:i/>
          <w:spacing w:val="-4"/>
          <w:sz w:val="22"/>
          <w:szCs w:val="22"/>
        </w:rPr>
        <w:t xml:space="preserve"> </w:t>
      </w:r>
      <w:r w:rsidRPr="001360ED">
        <w:rPr>
          <w:rFonts w:cs="Open Sans"/>
          <w:i/>
          <w:sz w:val="22"/>
          <w:szCs w:val="22"/>
        </w:rPr>
        <w:t>Ors</w:t>
      </w:r>
      <w:r w:rsidRPr="001360ED">
        <w:rPr>
          <w:rFonts w:cs="Open Sans"/>
          <w:i/>
          <w:spacing w:val="-3"/>
          <w:sz w:val="22"/>
          <w:szCs w:val="22"/>
        </w:rPr>
        <w:t xml:space="preserve"> </w:t>
      </w:r>
      <w:r w:rsidRPr="001360ED">
        <w:rPr>
          <w:rFonts w:cs="Open Sans"/>
          <w:sz w:val="22"/>
          <w:szCs w:val="22"/>
        </w:rPr>
        <w:t>(1997)</w:t>
      </w:r>
      <w:r w:rsidRPr="001360ED">
        <w:rPr>
          <w:rFonts w:cs="Open Sans"/>
          <w:spacing w:val="-4"/>
          <w:sz w:val="22"/>
          <w:szCs w:val="22"/>
        </w:rPr>
        <w:t xml:space="preserve"> </w:t>
      </w:r>
      <w:r w:rsidRPr="001360ED">
        <w:rPr>
          <w:rFonts w:cs="Open Sans"/>
          <w:sz w:val="22"/>
          <w:szCs w:val="22"/>
        </w:rPr>
        <w:t>78 FCR</w:t>
      </w:r>
      <w:r w:rsidRPr="001360ED">
        <w:rPr>
          <w:rFonts w:cs="Open Sans"/>
          <w:spacing w:val="-4"/>
          <w:sz w:val="22"/>
          <w:szCs w:val="22"/>
        </w:rPr>
        <w:t xml:space="preserve"> </w:t>
      </w:r>
      <w:r w:rsidRPr="001360ED">
        <w:rPr>
          <w:rFonts w:cs="Open Sans"/>
          <w:sz w:val="22"/>
          <w:szCs w:val="22"/>
        </w:rPr>
        <w:t xml:space="preserve">208, where Branson J found that the Commission could not, in conducting its inquiry, disregard the legal obligations of the Secretary in exercising a statutory power. Note in particular 212-3 and 214-5. </w:t>
      </w:r>
    </w:p>
  </w:endnote>
  <w:endnote w:id="4">
    <w:p w14:paraId="50A770EE" w14:textId="1EFB90F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Human Rights Committee, </w:t>
      </w:r>
      <w:r w:rsidRPr="001360ED">
        <w:rPr>
          <w:rFonts w:cs="Open Sans"/>
          <w:i/>
          <w:sz w:val="22"/>
          <w:szCs w:val="22"/>
        </w:rPr>
        <w:t xml:space="preserve">General </w:t>
      </w:r>
      <w:r w:rsidR="00675EED">
        <w:rPr>
          <w:rFonts w:cs="Open Sans"/>
          <w:i/>
          <w:sz w:val="22"/>
          <w:szCs w:val="22"/>
        </w:rPr>
        <w:t>C</w:t>
      </w:r>
      <w:r w:rsidRPr="001360ED">
        <w:rPr>
          <w:rFonts w:cs="Open Sans"/>
          <w:i/>
          <w:sz w:val="22"/>
          <w:szCs w:val="22"/>
        </w:rPr>
        <w:t>omment N</w:t>
      </w:r>
      <w:r w:rsidR="00675EED">
        <w:rPr>
          <w:rFonts w:cs="Open Sans"/>
          <w:i/>
          <w:sz w:val="22"/>
          <w:szCs w:val="22"/>
        </w:rPr>
        <w:t>o</w:t>
      </w:r>
      <w:r w:rsidRPr="001360ED">
        <w:rPr>
          <w:rFonts w:cs="Open Sans"/>
          <w:i/>
          <w:sz w:val="22"/>
          <w:szCs w:val="22"/>
        </w:rPr>
        <w:t xml:space="preserve"> 21: Article 10 (Humane treatment of persons deprived of their liberty) </w:t>
      </w:r>
      <w:r w:rsidRPr="001360ED">
        <w:rPr>
          <w:rFonts w:cs="Open Sans"/>
          <w:iCs/>
          <w:sz w:val="22"/>
          <w:szCs w:val="22"/>
        </w:rPr>
        <w:t>44</w:t>
      </w:r>
      <w:r w:rsidRPr="001360ED">
        <w:rPr>
          <w:rFonts w:cs="Open Sans"/>
          <w:iCs/>
          <w:sz w:val="22"/>
          <w:szCs w:val="22"/>
          <w:vertAlign w:val="superscript"/>
        </w:rPr>
        <w:t>th</w:t>
      </w:r>
      <w:r w:rsidRPr="001360ED">
        <w:rPr>
          <w:rFonts w:cs="Open Sans"/>
          <w:iCs/>
          <w:sz w:val="22"/>
          <w:szCs w:val="22"/>
        </w:rPr>
        <w:t xml:space="preserve"> sess</w:t>
      </w:r>
      <w:r w:rsidRPr="001360ED">
        <w:rPr>
          <w:rFonts w:cs="Open Sans"/>
          <w:sz w:val="22"/>
          <w:szCs w:val="22"/>
        </w:rPr>
        <w:t>, UN Doc HRI/GEN/1/Rev.1 (10 April 1992) [3].</w:t>
      </w:r>
    </w:p>
  </w:endnote>
  <w:endnote w:id="5">
    <w:p w14:paraId="42A448D5" w14:textId="33F50AF4"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Human Rights Committee, </w:t>
      </w:r>
      <w:r w:rsidRPr="001360ED">
        <w:rPr>
          <w:rFonts w:cs="Open Sans"/>
          <w:i/>
          <w:sz w:val="22"/>
          <w:szCs w:val="22"/>
        </w:rPr>
        <w:t xml:space="preserve">Views: </w:t>
      </w:r>
      <w:r w:rsidRPr="001360ED">
        <w:rPr>
          <w:rFonts w:cs="Open Sans"/>
          <w:bCs/>
          <w:i/>
          <w:iCs/>
          <w:sz w:val="22"/>
          <w:szCs w:val="22"/>
        </w:rPr>
        <w:t>Communication No 639/1995</w:t>
      </w:r>
      <w:r w:rsidRPr="001360ED">
        <w:rPr>
          <w:rFonts w:cs="Open Sans"/>
          <w:bCs/>
          <w:iCs/>
          <w:sz w:val="22"/>
          <w:szCs w:val="22"/>
        </w:rPr>
        <w:t>, 60</w:t>
      </w:r>
      <w:r w:rsidRPr="001360ED">
        <w:rPr>
          <w:rFonts w:cs="Open Sans"/>
          <w:bCs/>
          <w:iCs/>
          <w:sz w:val="22"/>
          <w:szCs w:val="22"/>
          <w:vertAlign w:val="superscript"/>
        </w:rPr>
        <w:t>th</w:t>
      </w:r>
      <w:r w:rsidRPr="001360ED">
        <w:rPr>
          <w:rFonts w:cs="Open Sans"/>
          <w:bCs/>
          <w:iCs/>
          <w:sz w:val="22"/>
          <w:szCs w:val="22"/>
        </w:rPr>
        <w:t xml:space="preserve"> sess,</w:t>
      </w:r>
      <w:r w:rsidRPr="001360ED">
        <w:rPr>
          <w:rFonts w:cs="Open Sans"/>
          <w:b/>
          <w:bCs/>
          <w:iCs/>
          <w:sz w:val="22"/>
          <w:szCs w:val="22"/>
        </w:rPr>
        <w:t xml:space="preserve"> </w:t>
      </w:r>
      <w:r w:rsidRPr="001360ED">
        <w:rPr>
          <w:rFonts w:cs="Open Sans"/>
          <w:sz w:val="22"/>
          <w:szCs w:val="22"/>
        </w:rPr>
        <w:t>UN Doc CCPR/C/60/D/639/1995 (28 July 1997) (‘</w:t>
      </w:r>
      <w:r w:rsidRPr="001360ED">
        <w:rPr>
          <w:rFonts w:cs="Open Sans"/>
          <w:i/>
          <w:sz w:val="22"/>
          <w:szCs w:val="22"/>
        </w:rPr>
        <w:t>Walker and Richards v Jamaica’)</w:t>
      </w:r>
      <w:r w:rsidRPr="001360ED">
        <w:rPr>
          <w:rFonts w:cs="Open Sans"/>
          <w:sz w:val="22"/>
          <w:szCs w:val="22"/>
        </w:rPr>
        <w:t xml:space="preserve">; Human Rights Committee, </w:t>
      </w:r>
      <w:r w:rsidRPr="001360ED">
        <w:rPr>
          <w:rFonts w:cs="Open Sans"/>
          <w:i/>
          <w:sz w:val="22"/>
          <w:szCs w:val="22"/>
        </w:rPr>
        <w:t>Views:</w:t>
      </w:r>
      <w:r w:rsidRPr="001360ED">
        <w:rPr>
          <w:rFonts w:cs="Open Sans"/>
          <w:sz w:val="22"/>
          <w:szCs w:val="22"/>
        </w:rPr>
        <w:t xml:space="preserve"> </w:t>
      </w:r>
      <w:r w:rsidRPr="001360ED">
        <w:rPr>
          <w:rFonts w:cs="Open Sans"/>
          <w:bCs/>
          <w:i/>
          <w:iCs/>
          <w:sz w:val="22"/>
          <w:szCs w:val="22"/>
        </w:rPr>
        <w:t>Communication No 845/1998</w:t>
      </w:r>
      <w:r w:rsidRPr="001360ED">
        <w:rPr>
          <w:rFonts w:cs="Open Sans"/>
          <w:bCs/>
          <w:iCs/>
          <w:sz w:val="22"/>
          <w:szCs w:val="22"/>
        </w:rPr>
        <w:t>,</w:t>
      </w:r>
      <w:r w:rsidRPr="001360ED">
        <w:rPr>
          <w:rFonts w:cs="Open Sans"/>
          <w:sz w:val="22"/>
          <w:szCs w:val="22"/>
        </w:rPr>
        <w:t xml:space="preserve"> 74</w:t>
      </w:r>
      <w:r w:rsidRPr="001360ED">
        <w:rPr>
          <w:rFonts w:cs="Open Sans"/>
          <w:sz w:val="22"/>
          <w:szCs w:val="22"/>
          <w:vertAlign w:val="superscript"/>
        </w:rPr>
        <w:t>th</w:t>
      </w:r>
      <w:r w:rsidRPr="001360ED">
        <w:rPr>
          <w:rFonts w:cs="Open Sans"/>
          <w:sz w:val="22"/>
          <w:szCs w:val="22"/>
        </w:rPr>
        <w:t xml:space="preserve"> sess, UN Doc CCPR/C/74/D/845/1998 (26 March 2002) (‘</w:t>
      </w:r>
      <w:r w:rsidRPr="001360ED">
        <w:rPr>
          <w:rFonts w:cs="Open Sans"/>
          <w:i/>
          <w:sz w:val="22"/>
          <w:szCs w:val="22"/>
        </w:rPr>
        <w:t>Kennedy v Trinidad and Tobago’</w:t>
      </w:r>
      <w:r w:rsidRPr="001360ED">
        <w:rPr>
          <w:rFonts w:cs="Open Sans"/>
          <w:bCs/>
          <w:iCs/>
          <w:sz w:val="22"/>
          <w:szCs w:val="22"/>
        </w:rPr>
        <w:t>)</w:t>
      </w:r>
      <w:r w:rsidRPr="001360ED">
        <w:rPr>
          <w:rFonts w:cs="Open Sans"/>
          <w:sz w:val="22"/>
          <w:szCs w:val="22"/>
        </w:rPr>
        <w:t xml:space="preserve">; Human Rights Committee, </w:t>
      </w:r>
      <w:r w:rsidRPr="001360ED">
        <w:rPr>
          <w:rFonts w:cs="Open Sans"/>
          <w:i/>
          <w:sz w:val="22"/>
          <w:szCs w:val="22"/>
        </w:rPr>
        <w:t xml:space="preserve">Views: </w:t>
      </w:r>
      <w:r w:rsidRPr="001360ED">
        <w:rPr>
          <w:rFonts w:cs="Open Sans"/>
          <w:bCs/>
          <w:i/>
          <w:iCs/>
          <w:sz w:val="22"/>
          <w:szCs w:val="22"/>
        </w:rPr>
        <w:t>Communication No 684/1996</w:t>
      </w:r>
      <w:r w:rsidRPr="001360ED">
        <w:rPr>
          <w:rFonts w:cs="Open Sans"/>
          <w:bCs/>
          <w:iCs/>
          <w:sz w:val="22"/>
          <w:szCs w:val="22"/>
        </w:rPr>
        <w:t>,</w:t>
      </w:r>
      <w:r w:rsidRPr="001360ED">
        <w:rPr>
          <w:rFonts w:cs="Open Sans"/>
          <w:bCs/>
          <w:i/>
          <w:iCs/>
          <w:sz w:val="22"/>
          <w:szCs w:val="22"/>
        </w:rPr>
        <w:t xml:space="preserve"> </w:t>
      </w:r>
      <w:r w:rsidRPr="001360ED">
        <w:rPr>
          <w:rFonts w:cs="Open Sans"/>
          <w:bCs/>
          <w:iCs/>
          <w:sz w:val="22"/>
          <w:szCs w:val="22"/>
        </w:rPr>
        <w:t>74</w:t>
      </w:r>
      <w:r w:rsidRPr="001360ED">
        <w:rPr>
          <w:rFonts w:cs="Open Sans"/>
          <w:bCs/>
          <w:iCs/>
          <w:sz w:val="22"/>
          <w:szCs w:val="22"/>
          <w:vertAlign w:val="superscript"/>
        </w:rPr>
        <w:t>th</w:t>
      </w:r>
      <w:r w:rsidRPr="001360ED">
        <w:rPr>
          <w:rFonts w:cs="Open Sans"/>
          <w:bCs/>
          <w:iCs/>
          <w:sz w:val="22"/>
          <w:szCs w:val="22"/>
        </w:rPr>
        <w:t xml:space="preserve"> sess, UN Doc </w:t>
      </w:r>
      <w:r w:rsidRPr="001360ED">
        <w:rPr>
          <w:rFonts w:cs="Open Sans"/>
          <w:sz w:val="22"/>
          <w:szCs w:val="22"/>
        </w:rPr>
        <w:t>CCPR/C/74/D/684/1996 (2 April 2002)</w:t>
      </w:r>
      <w:r w:rsidR="009F1738">
        <w:rPr>
          <w:rFonts w:cs="Open Sans"/>
          <w:sz w:val="22"/>
          <w:szCs w:val="22"/>
        </w:rPr>
        <w:t xml:space="preserve"> </w:t>
      </w:r>
      <w:r w:rsidRPr="001360ED">
        <w:rPr>
          <w:rFonts w:cs="Open Sans"/>
          <w:sz w:val="22"/>
          <w:szCs w:val="22"/>
        </w:rPr>
        <w:t>(‘</w:t>
      </w:r>
      <w:r w:rsidRPr="001360ED">
        <w:rPr>
          <w:rFonts w:cs="Open Sans"/>
          <w:i/>
          <w:sz w:val="22"/>
          <w:szCs w:val="22"/>
        </w:rPr>
        <w:t>R.S. v Trinidad and Tobago</w:t>
      </w:r>
      <w:r w:rsidRPr="001360ED">
        <w:rPr>
          <w:rFonts w:cs="Open Sans"/>
          <w:sz w:val="22"/>
          <w:szCs w:val="22"/>
        </w:rPr>
        <w:t>’).</w:t>
      </w:r>
    </w:p>
  </w:endnote>
  <w:endnote w:id="6">
    <w:p w14:paraId="338ADC36" w14:textId="7777777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[2007] NZSC 70.</w:t>
      </w:r>
    </w:p>
  </w:endnote>
  <w:endnote w:id="7">
    <w:p w14:paraId="712ECC5F" w14:textId="7777777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[2007] NZSC 70 [79].</w:t>
      </w:r>
    </w:p>
  </w:endnote>
  <w:endnote w:id="8">
    <w:p w14:paraId="2B6340AA" w14:textId="7777777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The Standard Minimum Rules were approved by the UN Economic and Social Council by its resolutions ESC Res 663C (XXIV) 24 UN ESCOR Supp 1 UN Doc E/3048 (31 July 1957) and ESC Res 2076 (LXII) 62 UN ESCPR Supp 1 UN Doc E/5988 (13 May 1977). They were adopted by the UN General Assembly in resolutions </w:t>
      </w:r>
      <w:r w:rsidRPr="001360ED">
        <w:rPr>
          <w:rFonts w:cs="Open Sans"/>
          <w:i/>
          <w:sz w:val="22"/>
          <w:szCs w:val="22"/>
        </w:rPr>
        <w:t>Human Rights in the Administration of Justice</w:t>
      </w:r>
      <w:r w:rsidRPr="001360ED">
        <w:rPr>
          <w:rFonts w:cs="Open Sans"/>
          <w:sz w:val="22"/>
          <w:szCs w:val="22"/>
        </w:rPr>
        <w:t>, GA Res 2858 (XXVI), UN GAOR, 3</w:t>
      </w:r>
      <w:r w:rsidRPr="001360ED">
        <w:rPr>
          <w:rFonts w:cs="Open Sans"/>
          <w:sz w:val="22"/>
          <w:szCs w:val="22"/>
          <w:vertAlign w:val="superscript"/>
        </w:rPr>
        <w:t>rd</w:t>
      </w:r>
      <w:r w:rsidRPr="001360ED">
        <w:rPr>
          <w:rFonts w:cs="Open Sans"/>
          <w:sz w:val="22"/>
          <w:szCs w:val="22"/>
        </w:rPr>
        <w:t xml:space="preserve"> Comm, 26</w:t>
      </w:r>
      <w:r w:rsidRPr="001360ED">
        <w:rPr>
          <w:rFonts w:cs="Open Sans"/>
          <w:sz w:val="22"/>
          <w:szCs w:val="22"/>
          <w:vertAlign w:val="superscript"/>
        </w:rPr>
        <w:t>th</w:t>
      </w:r>
      <w:r w:rsidRPr="001360ED">
        <w:rPr>
          <w:rFonts w:cs="Open Sans"/>
          <w:sz w:val="22"/>
          <w:szCs w:val="22"/>
        </w:rPr>
        <w:t xml:space="preserve"> sess, 2027</w:t>
      </w:r>
      <w:r w:rsidRPr="001360ED">
        <w:rPr>
          <w:rFonts w:cs="Open Sans"/>
          <w:sz w:val="22"/>
          <w:szCs w:val="22"/>
          <w:vertAlign w:val="superscript"/>
        </w:rPr>
        <w:t>th</w:t>
      </w:r>
      <w:r w:rsidRPr="001360ED">
        <w:rPr>
          <w:rFonts w:cs="Open Sans"/>
          <w:sz w:val="22"/>
          <w:szCs w:val="22"/>
        </w:rPr>
        <w:t xml:space="preserve"> plen mtg, Agenda Item 12, UN Doc A/8588 (20 December 1971) and UN Doc A/CONF/611, Annex 1. At </w:t>
      </w:r>
      <w:hyperlink r:id="rId1" w:history="1">
        <w:r w:rsidRPr="001360ED">
          <w:rPr>
            <w:rStyle w:val="Hyperlink"/>
            <w:rFonts w:cs="Open Sans"/>
            <w:sz w:val="22"/>
            <w:szCs w:val="22"/>
          </w:rPr>
          <w:t>http://www.ohchr.org/EN/ProfessionalInterest/Pages/TreatmentOfPrisoners.aspx</w:t>
        </w:r>
      </w:hyperlink>
      <w:r w:rsidRPr="001360ED">
        <w:rPr>
          <w:rFonts w:cs="Open Sans"/>
          <w:sz w:val="22"/>
          <w:szCs w:val="22"/>
        </w:rPr>
        <w:t>.</w:t>
      </w:r>
    </w:p>
  </w:endnote>
  <w:endnote w:id="9">
    <w:p w14:paraId="19B47FD2" w14:textId="7777777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The Body of Principles were adopted by the UN General Assembly in </w:t>
      </w:r>
      <w:r w:rsidRPr="001360ED">
        <w:rPr>
          <w:rFonts w:cs="Open Sans"/>
          <w:i/>
          <w:sz w:val="22"/>
          <w:szCs w:val="22"/>
        </w:rPr>
        <w:t>Body of Principles for the Protection of all Persons Under Any Form of Detention or Imprisonment</w:t>
      </w:r>
      <w:r w:rsidRPr="001360ED">
        <w:rPr>
          <w:rFonts w:cs="Open Sans"/>
          <w:sz w:val="22"/>
          <w:szCs w:val="22"/>
        </w:rPr>
        <w:t>, GA Res 43/173, UN GAOR,</w:t>
      </w:r>
      <w:r w:rsidRPr="001360ED">
        <w:rPr>
          <w:rFonts w:cs="Open Sans"/>
          <w:i/>
          <w:sz w:val="22"/>
          <w:szCs w:val="22"/>
        </w:rPr>
        <w:t xml:space="preserve"> </w:t>
      </w:r>
      <w:r w:rsidRPr="001360ED">
        <w:rPr>
          <w:rFonts w:cs="Open Sans"/>
          <w:sz w:val="22"/>
          <w:szCs w:val="22"/>
        </w:rPr>
        <w:t>6</w:t>
      </w:r>
      <w:r w:rsidRPr="001360ED">
        <w:rPr>
          <w:rFonts w:cs="Open Sans"/>
          <w:sz w:val="22"/>
          <w:szCs w:val="22"/>
          <w:vertAlign w:val="superscript"/>
        </w:rPr>
        <w:t>th</w:t>
      </w:r>
      <w:r w:rsidRPr="001360ED">
        <w:rPr>
          <w:rFonts w:cs="Open Sans"/>
          <w:sz w:val="22"/>
          <w:szCs w:val="22"/>
        </w:rPr>
        <w:t xml:space="preserve"> Comm, 43</w:t>
      </w:r>
      <w:r w:rsidRPr="001360ED">
        <w:rPr>
          <w:rFonts w:cs="Open Sans"/>
          <w:sz w:val="22"/>
          <w:szCs w:val="22"/>
          <w:vertAlign w:val="superscript"/>
        </w:rPr>
        <w:t>rd</w:t>
      </w:r>
      <w:r w:rsidRPr="001360ED">
        <w:rPr>
          <w:rFonts w:cs="Open Sans"/>
          <w:sz w:val="22"/>
          <w:szCs w:val="22"/>
        </w:rPr>
        <w:t xml:space="preserve"> sess, 76</w:t>
      </w:r>
      <w:r w:rsidRPr="001360ED">
        <w:rPr>
          <w:rFonts w:cs="Open Sans"/>
          <w:sz w:val="22"/>
          <w:szCs w:val="22"/>
          <w:vertAlign w:val="superscript"/>
        </w:rPr>
        <w:t>th</w:t>
      </w:r>
      <w:r w:rsidRPr="001360ED">
        <w:rPr>
          <w:rFonts w:cs="Open Sans"/>
          <w:sz w:val="22"/>
          <w:szCs w:val="22"/>
        </w:rPr>
        <w:t xml:space="preserve"> plen mtg, Agenda Item 138, UN Doc A/43/49 (9 December 1988) Annex. At </w:t>
      </w:r>
      <w:hyperlink r:id="rId2" w:history="1">
        <w:r w:rsidRPr="001360ED">
          <w:rPr>
            <w:rStyle w:val="Hyperlink"/>
            <w:rFonts w:cs="Open Sans"/>
            <w:sz w:val="22"/>
            <w:szCs w:val="22"/>
          </w:rPr>
          <w:t>http://www.un.org/documents/ga/res/43/a43r173.htm</w:t>
        </w:r>
      </w:hyperlink>
      <w:r w:rsidRPr="001360ED">
        <w:rPr>
          <w:rFonts w:cs="Open Sans"/>
          <w:sz w:val="22"/>
          <w:szCs w:val="22"/>
        </w:rPr>
        <w:t>.</w:t>
      </w:r>
    </w:p>
  </w:endnote>
  <w:endnote w:id="10">
    <w:p w14:paraId="3C984865" w14:textId="7AD50504"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r>
      <w:r w:rsidR="009F1738">
        <w:rPr>
          <w:rFonts w:cs="Open Sans"/>
          <w:sz w:val="22"/>
          <w:szCs w:val="22"/>
        </w:rPr>
        <w:t xml:space="preserve">UN </w:t>
      </w:r>
      <w:r w:rsidRPr="001360ED">
        <w:rPr>
          <w:rFonts w:cs="Open Sans"/>
          <w:sz w:val="22"/>
          <w:szCs w:val="22"/>
        </w:rPr>
        <w:t xml:space="preserve">Human Rights Committee, </w:t>
      </w:r>
      <w:r w:rsidRPr="001360ED">
        <w:rPr>
          <w:rFonts w:cs="Open Sans"/>
          <w:i/>
          <w:sz w:val="22"/>
          <w:szCs w:val="22"/>
        </w:rPr>
        <w:t xml:space="preserve">General </w:t>
      </w:r>
      <w:r w:rsidR="009F1738">
        <w:rPr>
          <w:rFonts w:cs="Open Sans"/>
          <w:i/>
          <w:sz w:val="22"/>
          <w:szCs w:val="22"/>
        </w:rPr>
        <w:t>C</w:t>
      </w:r>
      <w:r w:rsidRPr="001360ED">
        <w:rPr>
          <w:rFonts w:cs="Open Sans"/>
          <w:i/>
          <w:sz w:val="22"/>
          <w:szCs w:val="22"/>
        </w:rPr>
        <w:t xml:space="preserve">omment No 21: Article 10 (Humane treatment of persons deprived of their liberty) </w:t>
      </w:r>
      <w:r w:rsidRPr="001360ED">
        <w:rPr>
          <w:rFonts w:cs="Open Sans"/>
          <w:iCs/>
          <w:sz w:val="22"/>
          <w:szCs w:val="22"/>
        </w:rPr>
        <w:t>44</w:t>
      </w:r>
      <w:r w:rsidRPr="001360ED">
        <w:rPr>
          <w:rFonts w:cs="Open Sans"/>
          <w:iCs/>
          <w:sz w:val="22"/>
          <w:szCs w:val="22"/>
          <w:vertAlign w:val="superscript"/>
        </w:rPr>
        <w:t>th</w:t>
      </w:r>
      <w:r w:rsidRPr="001360ED">
        <w:rPr>
          <w:rFonts w:cs="Open Sans"/>
          <w:iCs/>
          <w:sz w:val="22"/>
          <w:szCs w:val="22"/>
        </w:rPr>
        <w:t xml:space="preserve"> sess</w:t>
      </w:r>
      <w:r w:rsidRPr="001360ED">
        <w:rPr>
          <w:rFonts w:cs="Open Sans"/>
          <w:sz w:val="22"/>
          <w:szCs w:val="22"/>
        </w:rPr>
        <w:t xml:space="preserve">, UN Doc HRI/GEN/1/Rev.1 (10 April 1992) [5]. </w:t>
      </w:r>
    </w:p>
  </w:endnote>
  <w:endnote w:id="11">
    <w:p w14:paraId="391E31DE" w14:textId="65CF9491"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Human Rights Committee, </w:t>
      </w:r>
      <w:r w:rsidRPr="001360ED">
        <w:rPr>
          <w:rFonts w:cs="Open Sans"/>
          <w:i/>
          <w:sz w:val="22"/>
          <w:szCs w:val="22"/>
        </w:rPr>
        <w:t>Views: Communication No 458/1991</w:t>
      </w:r>
      <w:r w:rsidRPr="001360ED">
        <w:rPr>
          <w:rFonts w:cs="Open Sans"/>
          <w:sz w:val="22"/>
          <w:szCs w:val="22"/>
        </w:rPr>
        <w:t>, 51</w:t>
      </w:r>
      <w:r w:rsidRPr="001360ED">
        <w:rPr>
          <w:rFonts w:cs="Open Sans"/>
          <w:sz w:val="22"/>
          <w:szCs w:val="22"/>
          <w:vertAlign w:val="superscript"/>
        </w:rPr>
        <w:t>st</w:t>
      </w:r>
      <w:r w:rsidRPr="001360ED">
        <w:rPr>
          <w:rFonts w:cs="Open Sans"/>
          <w:sz w:val="22"/>
          <w:szCs w:val="22"/>
        </w:rPr>
        <w:t xml:space="preserve"> sess, UN Doc CCPR/C/51/458/1991 (21 July 1994) 11 [9.3] (‘</w:t>
      </w:r>
      <w:r w:rsidRPr="001360ED">
        <w:rPr>
          <w:rFonts w:cs="Open Sans"/>
          <w:i/>
          <w:sz w:val="22"/>
          <w:szCs w:val="22"/>
        </w:rPr>
        <w:t>Mukong v Cameroon</w:t>
      </w:r>
      <w:r w:rsidRPr="001360ED">
        <w:rPr>
          <w:rFonts w:cs="Open Sans"/>
          <w:sz w:val="22"/>
          <w:szCs w:val="22"/>
        </w:rPr>
        <w:t>’);</w:t>
      </w:r>
      <w:r w:rsidRPr="001360ED">
        <w:rPr>
          <w:rFonts w:cs="Open Sans"/>
          <w:i/>
          <w:sz w:val="22"/>
          <w:szCs w:val="22"/>
        </w:rPr>
        <w:t xml:space="preserve"> </w:t>
      </w:r>
      <w:r w:rsidRPr="001360ED">
        <w:rPr>
          <w:rFonts w:cs="Open Sans"/>
          <w:sz w:val="22"/>
          <w:szCs w:val="22"/>
        </w:rPr>
        <w:t xml:space="preserve">Human Rights Committee, </w:t>
      </w:r>
      <w:r w:rsidRPr="001360ED">
        <w:rPr>
          <w:rFonts w:cs="Open Sans"/>
          <w:i/>
          <w:sz w:val="22"/>
          <w:szCs w:val="22"/>
        </w:rPr>
        <w:t>Views: Communication No 632/1995</w:t>
      </w:r>
      <w:r w:rsidRPr="001360ED">
        <w:rPr>
          <w:rFonts w:cs="Open Sans"/>
          <w:sz w:val="22"/>
          <w:szCs w:val="22"/>
        </w:rPr>
        <w:t>, 60</w:t>
      </w:r>
      <w:r w:rsidRPr="001360ED">
        <w:rPr>
          <w:rFonts w:cs="Open Sans"/>
          <w:sz w:val="22"/>
          <w:szCs w:val="22"/>
          <w:vertAlign w:val="superscript"/>
        </w:rPr>
        <w:t>th</w:t>
      </w:r>
      <w:r w:rsidRPr="001360ED">
        <w:rPr>
          <w:rFonts w:cs="Open Sans"/>
          <w:sz w:val="22"/>
          <w:szCs w:val="22"/>
        </w:rPr>
        <w:t xml:space="preserve"> sess, UN Doc CCPR/C/60/D/632/1995 (18 August 1997) 6 [6.3] (‘</w:t>
      </w:r>
      <w:r w:rsidRPr="001360ED">
        <w:rPr>
          <w:rFonts w:cs="Open Sans"/>
          <w:i/>
          <w:sz w:val="22"/>
          <w:szCs w:val="22"/>
        </w:rPr>
        <w:t>Potter v New Zealand</w:t>
      </w:r>
      <w:r w:rsidRPr="001360ED">
        <w:rPr>
          <w:rFonts w:cs="Open Sans"/>
          <w:sz w:val="22"/>
          <w:szCs w:val="22"/>
        </w:rPr>
        <w:t xml:space="preserve">’). See also, Human Rights Committee, </w:t>
      </w:r>
      <w:r w:rsidRPr="001360ED">
        <w:rPr>
          <w:rFonts w:cs="Open Sans"/>
          <w:i/>
          <w:sz w:val="22"/>
          <w:szCs w:val="22"/>
        </w:rPr>
        <w:t>Consideration of Reports Submitted by States Parties under Article 40 of the Covenant: United States of America</w:t>
      </w:r>
      <w:r w:rsidRPr="001360ED">
        <w:rPr>
          <w:rFonts w:cs="Open Sans"/>
          <w:sz w:val="22"/>
          <w:szCs w:val="22"/>
        </w:rPr>
        <w:t>, UN GAOR, 50</w:t>
      </w:r>
      <w:r w:rsidRPr="001360ED">
        <w:rPr>
          <w:rFonts w:cs="Open Sans"/>
          <w:sz w:val="22"/>
          <w:szCs w:val="22"/>
          <w:vertAlign w:val="superscript"/>
        </w:rPr>
        <w:t>th</w:t>
      </w:r>
      <w:r w:rsidRPr="001360ED">
        <w:rPr>
          <w:rFonts w:cs="Open Sans"/>
          <w:sz w:val="22"/>
          <w:szCs w:val="22"/>
        </w:rPr>
        <w:t xml:space="preserve"> sess, Supp No 40, UN Doc </w:t>
      </w:r>
      <w:r w:rsidRPr="001360ED">
        <w:rPr>
          <w:rFonts w:cs="Open Sans"/>
          <w:bCs/>
          <w:sz w:val="22"/>
          <w:szCs w:val="22"/>
        </w:rPr>
        <w:t>A/50/40</w:t>
      </w:r>
      <w:r w:rsidRPr="001360ED">
        <w:rPr>
          <w:rFonts w:cs="Open Sans"/>
          <w:sz w:val="22"/>
          <w:szCs w:val="22"/>
        </w:rPr>
        <w:t xml:space="preserve"> (3 October 1995) 55 [285], 57 [299].</w:t>
      </w:r>
    </w:p>
  </w:endnote>
  <w:endnote w:id="12">
    <w:p w14:paraId="283204BB" w14:textId="4966B31C" w:rsidR="00AD28CA" w:rsidRDefault="00AD28CA">
      <w:pPr>
        <w:pStyle w:val="EndnoteText"/>
      </w:pPr>
      <w:r w:rsidRPr="000B0594">
        <w:rPr>
          <w:rFonts w:cs="Open Sans"/>
          <w:sz w:val="14"/>
          <w:szCs w:val="14"/>
        </w:rPr>
        <w:endnoteRef/>
      </w:r>
      <w:r w:rsidRPr="000B0594">
        <w:rPr>
          <w:rFonts w:cs="Open Sans"/>
          <w:sz w:val="22"/>
          <w:szCs w:val="22"/>
        </w:rPr>
        <w:t xml:space="preserve"> </w:t>
      </w:r>
      <w:r w:rsidR="000B0594" w:rsidRPr="000B0594">
        <w:rPr>
          <w:rFonts w:cs="Open Sans"/>
          <w:sz w:val="22"/>
          <w:szCs w:val="22"/>
        </w:rPr>
        <w:t xml:space="preserve">  </w:t>
      </w:r>
      <w:r w:rsidR="00583891" w:rsidRPr="001360ED">
        <w:rPr>
          <w:rFonts w:cs="Open Sans"/>
          <w:sz w:val="22"/>
          <w:szCs w:val="22"/>
        </w:rPr>
        <w:t xml:space="preserve">Human Rights Committee, </w:t>
      </w:r>
      <w:r w:rsidR="00583891" w:rsidRPr="001360ED">
        <w:rPr>
          <w:rFonts w:cs="Open Sans"/>
          <w:i/>
          <w:iCs/>
          <w:sz w:val="22"/>
          <w:szCs w:val="22"/>
        </w:rPr>
        <w:t xml:space="preserve">Views: </w:t>
      </w:r>
      <w:r w:rsidR="00583891" w:rsidRPr="001360ED">
        <w:rPr>
          <w:rFonts w:cs="Open Sans"/>
          <w:i/>
          <w:sz w:val="22"/>
          <w:szCs w:val="22"/>
        </w:rPr>
        <w:t>Communication No 868/1999,</w:t>
      </w:r>
      <w:r w:rsidR="00583891" w:rsidRPr="001360ED">
        <w:rPr>
          <w:rFonts w:cs="Open Sans"/>
          <w:sz w:val="22"/>
          <w:szCs w:val="22"/>
        </w:rPr>
        <w:t xml:space="preserve"> 79</w:t>
      </w:r>
      <w:r w:rsidR="00583891" w:rsidRPr="001360ED">
        <w:rPr>
          <w:rFonts w:cs="Open Sans"/>
          <w:sz w:val="22"/>
          <w:szCs w:val="22"/>
          <w:vertAlign w:val="superscript"/>
        </w:rPr>
        <w:t>th</w:t>
      </w:r>
      <w:r w:rsidR="00583891" w:rsidRPr="001360ED">
        <w:rPr>
          <w:rFonts w:cs="Open Sans"/>
          <w:sz w:val="22"/>
          <w:szCs w:val="22"/>
        </w:rPr>
        <w:t xml:space="preserve"> </w:t>
      </w:r>
      <w:r w:rsidR="00583891" w:rsidRPr="001360ED">
        <w:rPr>
          <w:rFonts w:cs="Open Sans"/>
          <w:sz w:val="22"/>
          <w:szCs w:val="22"/>
        </w:rPr>
        <w:t xml:space="preserve">sess, UN Doc </w:t>
      </w:r>
      <w:r w:rsidR="000B0594">
        <w:rPr>
          <w:rFonts w:cs="Open Sans"/>
          <w:sz w:val="22"/>
          <w:szCs w:val="22"/>
        </w:rPr>
        <w:t xml:space="preserve">    </w:t>
      </w:r>
      <w:r w:rsidR="00583891" w:rsidRPr="001360ED">
        <w:rPr>
          <w:rFonts w:cs="Open Sans"/>
          <w:sz w:val="22"/>
          <w:szCs w:val="22"/>
        </w:rPr>
        <w:t>CCPR/C/79/D/868/1999 (11 November 2003) [7.3] (‘</w:t>
      </w:r>
      <w:r w:rsidR="00583891" w:rsidRPr="001360ED">
        <w:rPr>
          <w:rFonts w:cs="Open Sans"/>
          <w:i/>
          <w:sz w:val="22"/>
          <w:szCs w:val="22"/>
        </w:rPr>
        <w:t>Wilson v Philippines</w:t>
      </w:r>
      <w:r w:rsidR="00583891" w:rsidRPr="001360ED">
        <w:rPr>
          <w:rFonts w:cs="Open Sans"/>
          <w:sz w:val="22"/>
          <w:szCs w:val="22"/>
        </w:rPr>
        <w:t>’).</w:t>
      </w:r>
    </w:p>
  </w:endnote>
  <w:endnote w:id="13">
    <w:p w14:paraId="566BF00F" w14:textId="42CAD6CF"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000B0594">
        <w:rPr>
          <w:rFonts w:cs="Open Sans"/>
          <w:sz w:val="22"/>
          <w:szCs w:val="22"/>
        </w:rPr>
        <w:t xml:space="preserve">    </w:t>
      </w:r>
      <w:r w:rsidR="00CC6A54" w:rsidRPr="001360ED">
        <w:rPr>
          <w:rFonts w:cs="Open Sans"/>
          <w:i/>
          <w:sz w:val="22"/>
          <w:szCs w:val="22"/>
        </w:rPr>
        <w:t>Wilson v Philippines</w:t>
      </w:r>
      <w:r w:rsidR="00FF3156">
        <w:rPr>
          <w:rFonts w:cs="Open Sans"/>
          <w:sz w:val="22"/>
          <w:szCs w:val="22"/>
        </w:rPr>
        <w:t>,</w:t>
      </w:r>
      <w:r w:rsidRPr="001360ED">
        <w:rPr>
          <w:rFonts w:cs="Open Sans"/>
          <w:sz w:val="22"/>
          <w:szCs w:val="22"/>
        </w:rPr>
        <w:t xml:space="preserve"> UN Doc CCPR/C/79/D/868/1999  [7.3].</w:t>
      </w:r>
    </w:p>
  </w:endnote>
  <w:endnote w:id="14">
    <w:p w14:paraId="05E54432" w14:textId="66CBFCE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 xml:space="preserve">Human Rights Committee, </w:t>
      </w:r>
      <w:r w:rsidRPr="001360ED">
        <w:rPr>
          <w:rFonts w:cs="Open Sans"/>
          <w:i/>
          <w:sz w:val="22"/>
          <w:szCs w:val="22"/>
        </w:rPr>
        <w:t>Views: Communication No 1020/2001</w:t>
      </w:r>
      <w:r w:rsidRPr="001360ED">
        <w:rPr>
          <w:rFonts w:cs="Open Sans"/>
          <w:sz w:val="22"/>
          <w:szCs w:val="22"/>
        </w:rPr>
        <w:t>, 78</w:t>
      </w:r>
      <w:r w:rsidRPr="001360ED">
        <w:rPr>
          <w:rFonts w:cs="Open Sans"/>
          <w:sz w:val="22"/>
          <w:szCs w:val="22"/>
          <w:vertAlign w:val="superscript"/>
        </w:rPr>
        <w:t>th</w:t>
      </w:r>
      <w:r w:rsidRPr="001360ED">
        <w:rPr>
          <w:rFonts w:cs="Open Sans"/>
          <w:sz w:val="22"/>
          <w:szCs w:val="22"/>
        </w:rPr>
        <w:t xml:space="preserve"> sess, UN Doc CCPR/C/78/D/1020/2001 (7 August 2003) 15 [7.2] (‘</w:t>
      </w:r>
      <w:r w:rsidRPr="001360ED">
        <w:rPr>
          <w:rFonts w:cs="Open Sans"/>
          <w:i/>
          <w:iCs/>
          <w:sz w:val="22"/>
          <w:szCs w:val="22"/>
        </w:rPr>
        <w:t>Cabal and Bertran v Australia</w:t>
      </w:r>
      <w:r w:rsidRPr="001360ED">
        <w:rPr>
          <w:rFonts w:cs="Open Sans"/>
          <w:iCs/>
          <w:sz w:val="22"/>
          <w:szCs w:val="22"/>
        </w:rPr>
        <w:t>’)</w:t>
      </w:r>
      <w:r w:rsidRPr="001360ED">
        <w:rPr>
          <w:rFonts w:cs="Open Sans"/>
          <w:sz w:val="22"/>
          <w:szCs w:val="22"/>
        </w:rPr>
        <w:t>.</w:t>
      </w:r>
    </w:p>
  </w:endnote>
  <w:endnote w:id="15">
    <w:p w14:paraId="4775F659" w14:textId="6C6135AE" w:rsidR="005F391B" w:rsidRPr="008F3AEE" w:rsidRDefault="005F391B" w:rsidP="005F391B">
      <w:pPr>
        <w:pStyle w:val="EndnoteText"/>
        <w:ind w:left="284" w:hanging="284"/>
        <w:rPr>
          <w:rFonts w:cs="Open Sans"/>
          <w:sz w:val="22"/>
          <w:szCs w:val="22"/>
        </w:rPr>
      </w:pPr>
      <w:r>
        <w:rPr>
          <w:rStyle w:val="EndnoteReference"/>
        </w:rPr>
        <w:endnoteRef/>
      </w:r>
      <w:r>
        <w:t xml:space="preserve"> </w:t>
      </w:r>
      <w:r w:rsidRPr="008F3AEE">
        <w:rPr>
          <w:rFonts w:cs="Open Sans"/>
          <w:sz w:val="22"/>
          <w:szCs w:val="22"/>
        </w:rPr>
        <w:tab/>
        <w:t xml:space="preserve">Commonwealth Ombudsman, </w:t>
      </w:r>
      <w:r w:rsidRPr="008F3AEE">
        <w:rPr>
          <w:rFonts w:cs="Open Sans"/>
          <w:i/>
          <w:iCs/>
          <w:sz w:val="22"/>
          <w:szCs w:val="22"/>
        </w:rPr>
        <w:t>Suicide and Self-harm in the Immigration Detention Network</w:t>
      </w:r>
      <w:r w:rsidRPr="008F3AEE">
        <w:rPr>
          <w:rFonts w:cs="Open Sans"/>
          <w:sz w:val="22"/>
          <w:szCs w:val="22"/>
        </w:rPr>
        <w:t xml:space="preserve"> (2013), at </w:t>
      </w:r>
      <w:r>
        <w:rPr>
          <w:rFonts w:cs="Open Sans"/>
          <w:sz w:val="22"/>
          <w:szCs w:val="22"/>
        </w:rPr>
        <w:t xml:space="preserve">91–92, </w:t>
      </w:r>
      <w:r w:rsidRPr="008F3AEE">
        <w:rPr>
          <w:rFonts w:cs="Open Sans"/>
          <w:sz w:val="22"/>
          <w:szCs w:val="22"/>
        </w:rPr>
        <w:t xml:space="preserve">137–138 and </w:t>
      </w:r>
      <w:r>
        <w:rPr>
          <w:rFonts w:cs="Open Sans"/>
          <w:sz w:val="22"/>
          <w:szCs w:val="22"/>
        </w:rPr>
        <w:t xml:space="preserve">142, </w:t>
      </w:r>
      <w:hyperlink r:id="rId3" w:history="1">
        <w:r w:rsidRPr="00933052">
          <w:rPr>
            <w:rStyle w:val="Hyperlink"/>
            <w:rFonts w:cs="Open Sans"/>
            <w:sz w:val="22"/>
            <w:szCs w:val="22"/>
          </w:rPr>
          <w:t>https://www.ombudsman.gov.au/__data/assets/pdf_file/0022/30298/December-2013-Suicide-and-self-harm-in-the-Immigration-Detention-Network.pdf</w:t>
        </w:r>
      </w:hyperlink>
      <w:r>
        <w:rPr>
          <w:rFonts w:cs="Open Sans"/>
          <w:sz w:val="22"/>
          <w:szCs w:val="22"/>
        </w:rPr>
        <w:t xml:space="preserve">. </w:t>
      </w:r>
    </w:p>
  </w:endnote>
  <w:endnote w:id="16">
    <w:p w14:paraId="1378996A" w14:textId="77777777" w:rsidR="005F391B" w:rsidRPr="001E0712" w:rsidRDefault="005F391B" w:rsidP="005F391B">
      <w:pPr>
        <w:pStyle w:val="EndnoteText"/>
        <w:ind w:left="284" w:hanging="284"/>
        <w:rPr>
          <w:rFonts w:cs="Open Sans"/>
          <w:i/>
          <w:iCs/>
          <w:sz w:val="22"/>
          <w:szCs w:val="22"/>
        </w:rPr>
      </w:pPr>
      <w:r>
        <w:rPr>
          <w:rStyle w:val="EndnoteReference"/>
        </w:rPr>
        <w:endnoteRef/>
      </w:r>
      <w:r>
        <w:t xml:space="preserve"> </w:t>
      </w:r>
      <w:r>
        <w:tab/>
      </w:r>
      <w:r w:rsidRPr="001E0712">
        <w:rPr>
          <w:rFonts w:cs="Open Sans"/>
          <w:sz w:val="22"/>
          <w:szCs w:val="22"/>
        </w:rPr>
        <w:t xml:space="preserve">Australian Human Rights Commission, </w:t>
      </w:r>
      <w:r w:rsidRPr="001E0712">
        <w:rPr>
          <w:rFonts w:cs="Open Sans"/>
          <w:i/>
          <w:iCs/>
          <w:sz w:val="22"/>
          <w:szCs w:val="22"/>
        </w:rPr>
        <w:t>The Use of Force in Immigration Detention</w:t>
      </w:r>
      <w:r>
        <w:rPr>
          <w:rFonts w:cs="Open Sans"/>
          <w:i/>
          <w:iCs/>
          <w:sz w:val="22"/>
          <w:szCs w:val="22"/>
        </w:rPr>
        <w:t xml:space="preserve"> </w:t>
      </w:r>
      <w:r w:rsidRPr="005B4857">
        <w:rPr>
          <w:rFonts w:cs="Open Sans"/>
          <w:sz w:val="22"/>
          <w:szCs w:val="22"/>
        </w:rPr>
        <w:t>[2019] AusHRC 130</w:t>
      </w:r>
      <w:r>
        <w:rPr>
          <w:rFonts w:cs="Open Sans"/>
          <w:sz w:val="22"/>
          <w:szCs w:val="22"/>
        </w:rPr>
        <w:t xml:space="preserve"> (May 2019) [577].</w:t>
      </w:r>
    </w:p>
  </w:endnote>
  <w:endnote w:id="17">
    <w:p w14:paraId="14A22C43" w14:textId="6A6CE9D8" w:rsidR="005F391B" w:rsidRDefault="005F391B" w:rsidP="005F391B">
      <w:pPr>
        <w:pStyle w:val="EndnoteText"/>
        <w:ind w:left="284" w:hanging="284"/>
      </w:pPr>
      <w:r>
        <w:rPr>
          <w:rStyle w:val="EndnoteReference"/>
        </w:rPr>
        <w:endnoteRef/>
      </w:r>
      <w:r>
        <w:t xml:space="preserve"> </w:t>
      </w:r>
      <w:r>
        <w:tab/>
      </w:r>
      <w:r w:rsidRPr="001E0712">
        <w:rPr>
          <w:rFonts w:cs="Open Sans"/>
          <w:sz w:val="22"/>
          <w:szCs w:val="22"/>
        </w:rPr>
        <w:t xml:space="preserve">Australian Human Rights Commission, </w:t>
      </w:r>
      <w:r w:rsidRPr="001E0712">
        <w:rPr>
          <w:rFonts w:cs="Open Sans"/>
          <w:i/>
          <w:iCs/>
          <w:sz w:val="22"/>
          <w:szCs w:val="22"/>
        </w:rPr>
        <w:t>The Use of Force in Immigration Detention</w:t>
      </w:r>
      <w:r>
        <w:rPr>
          <w:rFonts w:cs="Open Sans"/>
          <w:i/>
          <w:iCs/>
          <w:sz w:val="22"/>
          <w:szCs w:val="22"/>
        </w:rPr>
        <w:t xml:space="preserve"> </w:t>
      </w:r>
      <w:r w:rsidRPr="005B4857">
        <w:rPr>
          <w:rFonts w:cs="Open Sans"/>
          <w:sz w:val="22"/>
          <w:szCs w:val="22"/>
        </w:rPr>
        <w:t>[2019] AusHRC 130</w:t>
      </w:r>
      <w:r>
        <w:rPr>
          <w:rFonts w:cs="Open Sans"/>
          <w:sz w:val="22"/>
          <w:szCs w:val="22"/>
        </w:rPr>
        <w:t xml:space="preserve"> (May 2019) </w:t>
      </w:r>
      <w:r w:rsidR="00636349">
        <w:rPr>
          <w:rFonts w:cs="Open Sans"/>
          <w:sz w:val="22"/>
          <w:szCs w:val="22"/>
        </w:rPr>
        <w:t>[</w:t>
      </w:r>
      <w:r>
        <w:rPr>
          <w:rFonts w:cs="Open Sans"/>
          <w:sz w:val="22"/>
          <w:szCs w:val="22"/>
        </w:rPr>
        <w:t>151</w:t>
      </w:r>
      <w:r w:rsidR="00636349">
        <w:rPr>
          <w:rFonts w:cs="Open Sans"/>
          <w:sz w:val="22"/>
          <w:szCs w:val="22"/>
        </w:rPr>
        <w:t>]</w:t>
      </w:r>
      <w:r>
        <w:rPr>
          <w:rFonts w:cs="Open Sans"/>
          <w:sz w:val="22"/>
          <w:szCs w:val="22"/>
        </w:rPr>
        <w:t>.</w:t>
      </w:r>
    </w:p>
  </w:endnote>
  <w:endnote w:id="18">
    <w:p w14:paraId="2C88B506" w14:textId="77777777" w:rsidR="005F391B" w:rsidRPr="001360ED" w:rsidRDefault="005F391B" w:rsidP="005F391B">
      <w:pPr>
        <w:pStyle w:val="EndnoteText"/>
        <w:ind w:left="284" w:hanging="284"/>
        <w:rPr>
          <w:rFonts w:cs="Open Sans"/>
          <w:sz w:val="22"/>
          <w:szCs w:val="22"/>
        </w:rPr>
      </w:pPr>
      <w:r w:rsidRPr="001360ED">
        <w:rPr>
          <w:rStyle w:val="EndnoteReference"/>
          <w:rFonts w:cs="Open Sans"/>
          <w:sz w:val="22"/>
          <w:szCs w:val="22"/>
        </w:rPr>
        <w:endnoteRef/>
      </w:r>
      <w:r w:rsidRPr="001360ED">
        <w:rPr>
          <w:rFonts w:cs="Open Sans"/>
          <w:sz w:val="22"/>
          <w:szCs w:val="22"/>
        </w:rPr>
        <w:t xml:space="preserve"> </w:t>
      </w:r>
      <w:r w:rsidRPr="001360ED">
        <w:rPr>
          <w:rFonts w:cs="Open Sans"/>
          <w:sz w:val="22"/>
          <w:szCs w:val="22"/>
        </w:rPr>
        <w:tab/>
        <w:t>Immigration Detention Facilities and Detainee Services Contract between the Commonwealth and Serco, 9 April 2015, Sch 2 (Statement of Work), Section 4 (Security Services), clause 3.9(a)(i).</w:t>
      </w:r>
    </w:p>
  </w:endnote>
  <w:endnote w:id="19">
    <w:p w14:paraId="139560E1" w14:textId="77777777" w:rsidR="005F391B" w:rsidRPr="001360ED" w:rsidRDefault="005F391B" w:rsidP="005F391B">
      <w:pPr>
        <w:pStyle w:val="EndnoteText"/>
        <w:tabs>
          <w:tab w:val="left" w:pos="284"/>
        </w:tabs>
        <w:ind w:left="284" w:hanging="284"/>
        <w:rPr>
          <w:rStyle w:val="EndnoteReference"/>
          <w:rFonts w:cs="Open Sans"/>
          <w:sz w:val="22"/>
          <w:szCs w:val="22"/>
        </w:rPr>
      </w:pPr>
      <w:r w:rsidRPr="001360ED">
        <w:rPr>
          <w:rStyle w:val="EndnoteReference"/>
          <w:rFonts w:cs="Open Sans"/>
          <w:sz w:val="22"/>
          <w:szCs w:val="22"/>
        </w:rPr>
        <w:endnoteRef/>
      </w:r>
      <w:r w:rsidRPr="001360ED">
        <w:rPr>
          <w:rStyle w:val="EndnoteReference"/>
          <w:rFonts w:cs="Open Sans"/>
          <w:sz w:val="22"/>
          <w:szCs w:val="22"/>
        </w:rPr>
        <w:t xml:space="preserve"> </w:t>
      </w:r>
      <w:r w:rsidRPr="001360ED">
        <w:rPr>
          <w:rStyle w:val="EndnoteReference"/>
          <w:rFonts w:cs="Open Sans"/>
          <w:sz w:val="22"/>
          <w:szCs w:val="22"/>
        </w:rPr>
        <w:tab/>
      </w:r>
      <w:r w:rsidRPr="001360ED">
        <w:rPr>
          <w:rFonts w:cs="Open Sans"/>
          <w:i/>
          <w:sz w:val="22"/>
          <w:szCs w:val="22"/>
        </w:rPr>
        <w:t>Australian Human Rights Commission Act 1986 (Cth) s</w:t>
      </w:r>
      <w:r w:rsidRPr="001360ED">
        <w:rPr>
          <w:rStyle w:val="EndnoteReference"/>
          <w:rFonts w:cs="Open Sans"/>
          <w:sz w:val="22"/>
          <w:szCs w:val="22"/>
        </w:rPr>
        <w:t xml:space="preserve"> </w:t>
      </w:r>
      <w:r w:rsidRPr="001360ED">
        <w:rPr>
          <w:rFonts w:cs="Open Sans"/>
          <w:sz w:val="22"/>
          <w:szCs w:val="22"/>
        </w:rPr>
        <w:t>29(2)(a).</w:t>
      </w:r>
    </w:p>
  </w:endnote>
  <w:endnote w:id="20">
    <w:p w14:paraId="64B245F8" w14:textId="77777777" w:rsidR="005F391B" w:rsidRPr="001360ED" w:rsidRDefault="005F391B" w:rsidP="005F391B">
      <w:pPr>
        <w:pStyle w:val="EndnoteText"/>
        <w:tabs>
          <w:tab w:val="left" w:pos="284"/>
        </w:tabs>
        <w:ind w:left="284" w:hanging="284"/>
        <w:rPr>
          <w:rStyle w:val="EndnoteReference"/>
          <w:rFonts w:cs="Open Sans"/>
          <w:sz w:val="22"/>
          <w:szCs w:val="22"/>
        </w:rPr>
      </w:pPr>
      <w:r w:rsidRPr="001360ED">
        <w:rPr>
          <w:rStyle w:val="EndnoteReference"/>
          <w:rFonts w:cs="Open Sans"/>
          <w:sz w:val="22"/>
          <w:szCs w:val="22"/>
        </w:rPr>
        <w:endnoteRef/>
      </w:r>
      <w:r w:rsidRPr="001360ED">
        <w:rPr>
          <w:rStyle w:val="EndnoteReference"/>
          <w:rFonts w:cs="Open Sans"/>
          <w:sz w:val="22"/>
          <w:szCs w:val="22"/>
        </w:rPr>
        <w:t xml:space="preserve"> </w:t>
      </w:r>
      <w:r w:rsidRPr="001360ED">
        <w:rPr>
          <w:rStyle w:val="EndnoteReference"/>
          <w:rFonts w:cs="Open Sans"/>
          <w:sz w:val="22"/>
          <w:szCs w:val="22"/>
        </w:rPr>
        <w:tab/>
      </w:r>
      <w:r w:rsidRPr="001360ED">
        <w:rPr>
          <w:rFonts w:cs="Open Sans"/>
          <w:i/>
          <w:sz w:val="22"/>
          <w:szCs w:val="22"/>
        </w:rPr>
        <w:t xml:space="preserve">Australian Human Rights Commission Act 1986 (Cth) </w:t>
      </w:r>
      <w:r w:rsidRPr="001360ED">
        <w:rPr>
          <w:rFonts w:cs="Open Sans"/>
          <w:sz w:val="22"/>
          <w:szCs w:val="22"/>
        </w:rPr>
        <w:t>s 29(2)(b).</w:t>
      </w:r>
    </w:p>
  </w:endnote>
  <w:endnote w:id="21">
    <w:p w14:paraId="263317B5" w14:textId="77777777" w:rsidR="005F391B" w:rsidRPr="001360ED" w:rsidRDefault="005F391B" w:rsidP="005F391B">
      <w:pPr>
        <w:pStyle w:val="EndnoteText"/>
        <w:tabs>
          <w:tab w:val="left" w:pos="284"/>
        </w:tabs>
        <w:ind w:left="284" w:hanging="284"/>
        <w:rPr>
          <w:rFonts w:cs="Open Sans"/>
          <w:sz w:val="22"/>
          <w:szCs w:val="22"/>
        </w:rPr>
      </w:pPr>
      <w:r w:rsidRPr="001360ED">
        <w:rPr>
          <w:rStyle w:val="EndnoteReference"/>
          <w:rFonts w:cs="Open Sans"/>
          <w:sz w:val="22"/>
          <w:szCs w:val="22"/>
        </w:rPr>
        <w:endnoteRef/>
      </w:r>
      <w:r w:rsidRPr="001360ED">
        <w:rPr>
          <w:rStyle w:val="EndnoteReference"/>
          <w:rFonts w:cs="Open Sans"/>
          <w:sz w:val="22"/>
          <w:szCs w:val="22"/>
        </w:rPr>
        <w:t xml:space="preserve"> </w:t>
      </w:r>
      <w:r w:rsidRPr="001360ED">
        <w:rPr>
          <w:rStyle w:val="EndnoteReference"/>
          <w:rFonts w:cs="Open Sans"/>
          <w:sz w:val="22"/>
          <w:szCs w:val="22"/>
        </w:rPr>
        <w:tab/>
      </w:r>
      <w:r w:rsidRPr="001360ED">
        <w:rPr>
          <w:rFonts w:cs="Open Sans"/>
          <w:i/>
          <w:sz w:val="22"/>
          <w:szCs w:val="22"/>
        </w:rPr>
        <w:t>Australian Human Rights Commission Act 1986</w:t>
      </w:r>
      <w:r w:rsidRPr="001360ED">
        <w:rPr>
          <w:rFonts w:cs="Open Sans"/>
          <w:sz w:val="22"/>
          <w:szCs w:val="22"/>
        </w:rPr>
        <w:t xml:space="preserve"> (Cth) s 29(2)(c).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33E7" w14:textId="77777777" w:rsidR="00AC636D" w:rsidRPr="000465F1" w:rsidRDefault="00AC636D" w:rsidP="000465F1">
    <w:pPr>
      <w:pStyle w:val="Footer"/>
    </w:pPr>
    <w:r w:rsidRPr="000465F1">
      <w:t>ABN 47 996 232 602</w:t>
    </w:r>
  </w:p>
  <w:p w14:paraId="2AC1CFDA" w14:textId="77777777" w:rsidR="00AC636D" w:rsidRPr="000465F1" w:rsidRDefault="00AC636D" w:rsidP="000465F1">
    <w:pPr>
      <w:pStyle w:val="Footer"/>
    </w:pPr>
    <w:r w:rsidRPr="000465F1">
      <w:t>GPO Box 5218, Sydney NSW 2001</w:t>
    </w:r>
  </w:p>
  <w:p w14:paraId="684FBB1B" w14:textId="77777777" w:rsidR="00AC636D" w:rsidRPr="000465F1" w:rsidRDefault="00AC636D" w:rsidP="000465F1">
    <w:pPr>
      <w:pStyle w:val="Footer"/>
    </w:pPr>
    <w:r w:rsidRPr="000465F1">
      <w:t>General enquiries 1300 369 711</w:t>
    </w:r>
  </w:p>
  <w:p w14:paraId="55C9DDA3" w14:textId="77777777" w:rsidR="00AC636D" w:rsidRPr="000465F1" w:rsidRDefault="00990B81" w:rsidP="000465F1">
    <w:pPr>
      <w:pStyle w:val="Footer"/>
    </w:pPr>
    <w:r>
      <w:t>National Info Service</w:t>
    </w:r>
    <w:r w:rsidR="00AC636D" w:rsidRPr="000465F1">
      <w:t xml:space="preserve"> 1300 656 419</w:t>
    </w:r>
  </w:p>
  <w:p w14:paraId="3C48A675"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1C7D"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p w14:paraId="5335F2ED"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8560"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FFB"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p w14:paraId="3BDDCB7B"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D65C" w14:textId="77777777" w:rsidR="00937B8F" w:rsidRDefault="00937B8F" w:rsidP="00F14C6D">
      <w:r>
        <w:separator/>
      </w:r>
    </w:p>
  </w:footnote>
  <w:footnote w:type="continuationSeparator" w:id="0">
    <w:p w14:paraId="558AAB2C" w14:textId="77777777" w:rsidR="00937B8F" w:rsidRDefault="00937B8F" w:rsidP="00F14C6D">
      <w:r>
        <w:continuationSeparator/>
      </w:r>
    </w:p>
  </w:footnote>
  <w:footnote w:type="continuationNotice" w:id="1">
    <w:p w14:paraId="75F8FF9A" w14:textId="77777777" w:rsidR="00937B8F" w:rsidRDefault="00937B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14A" w14:textId="77777777" w:rsidR="00BF6406" w:rsidRPr="000465F1" w:rsidRDefault="00214CD4" w:rsidP="000465F1">
    <w:pPr>
      <w:pStyle w:val="Header"/>
    </w:pPr>
    <w:r>
      <w:pict w14:anchorId="563D8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946423F"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DD7B" w14:textId="77777777" w:rsidR="00B34946" w:rsidRPr="000465F1" w:rsidRDefault="00214CD4" w:rsidP="000465F1">
    <w:r>
      <w:pict w14:anchorId="12559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02B6A65B"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F785" w14:textId="77777777" w:rsidR="00CC2AA0" w:rsidRDefault="00214CD4" w:rsidP="002012F7">
    <w:pPr>
      <w:pStyle w:val="Header"/>
    </w:pPr>
    <w:r>
      <w:pict w14:anchorId="79647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3.25pt;width:595.65pt;height:870.15pt;z-index:-251658237;mso-position-horizontal-relative:margin;mso-position-vertical-relative:margin" o:allowincell="f">
          <v:imagedata r:id="rId1" o:title="MS word cover1"/>
          <w10:wrap anchorx="margin" anchory="margin"/>
        </v:shape>
      </w:pict>
    </w:r>
    <w:r>
      <w:pict w14:anchorId="1E9FF6D3">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18BA864E" w14:textId="77777777" w:rsidR="008B3899" w:rsidRDefault="008B3899" w:rsidP="002012F7">
    <w:pPr>
      <w:pStyle w:val="Header"/>
    </w:pPr>
  </w:p>
  <w:p w14:paraId="46BF21C5"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AB2D"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1776" w14:textId="77777777" w:rsidR="00BF6406" w:rsidRPr="00902EC3" w:rsidRDefault="00BF6406" w:rsidP="00902EC3">
    <w:pPr>
      <w:pStyle w:val="Header"/>
    </w:pPr>
    <w:bookmarkStart w:id="72" w:name="_Hlk514672172"/>
    <w:bookmarkStart w:id="73" w:name="_Hlk514672173"/>
    <w:r w:rsidRPr="00902EC3">
      <w:t>Australian Human Rights Commission</w:t>
    </w:r>
  </w:p>
  <w:bookmarkEnd w:id="72"/>
  <w:bookmarkEnd w:id="73"/>
  <w:p w14:paraId="1DF9004C" w14:textId="4F4F1C47" w:rsidR="005F391B" w:rsidRDefault="005F391B" w:rsidP="005F391B">
    <w:pPr>
      <w:pStyle w:val="HeaderDocumentDate"/>
    </w:pPr>
    <w:r w:rsidRPr="00FB239D">
      <w:rPr>
        <w:rStyle w:val="Reporttitleinheader"/>
        <w:i/>
        <w:iCs/>
      </w:rPr>
      <w:t>Mr AO v Commonwealth of Australia (Department of Home Affairs)</w:t>
    </w:r>
    <w:r>
      <w:t xml:space="preserve"> </w:t>
    </w:r>
    <w:r w:rsidR="00214CD4">
      <w:t>May</w:t>
    </w:r>
    <w:r w:rsidR="002B3AE9">
      <w:t xml:space="preserve"> 2022</w:t>
    </w:r>
  </w:p>
  <w:p w14:paraId="2A65CFA8" w14:textId="77777777" w:rsidR="005F391B" w:rsidRPr="000465F1" w:rsidRDefault="005F391B" w:rsidP="005F391B">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3A00" w14:textId="77777777" w:rsidR="0063009F" w:rsidRPr="00F51ECD" w:rsidRDefault="0063009F" w:rsidP="0063009F">
    <w:pPr>
      <w:pStyle w:val="Header"/>
      <w:rPr>
        <w:sz w:val="22"/>
        <w:szCs w:val="22"/>
      </w:rPr>
    </w:pPr>
    <w:r w:rsidRPr="00F51ECD">
      <w:rPr>
        <w:sz w:val="22"/>
        <w:szCs w:val="22"/>
      </w:rPr>
      <w:t>Australian Human Rights Commission</w:t>
    </w:r>
  </w:p>
  <w:p w14:paraId="07A3D2F7" w14:textId="3EE7CA83" w:rsidR="0063009F" w:rsidRPr="000465F1" w:rsidRDefault="00FB239D" w:rsidP="0063009F">
    <w:pPr>
      <w:pStyle w:val="HeaderDocumentDate"/>
    </w:pPr>
    <w:r w:rsidRPr="00FB239D">
      <w:rPr>
        <w:rStyle w:val="Reporttitleinheader"/>
        <w:i/>
        <w:iCs/>
      </w:rPr>
      <w:t>Mr AO v Commonwealth of Australia (Department of Home Affairs)</w:t>
    </w:r>
    <w:r w:rsidR="0063009F">
      <w:t xml:space="preserve"> </w:t>
    </w:r>
    <w:r w:rsidR="009B1CCE">
      <w:fldChar w:fldCharType="begin"/>
    </w:r>
    <w:r w:rsidR="009B1CCE">
      <w:instrText xml:space="preserve"> CREATEDATE  \@ "MMMM yyyy"  \* MERGEFORMAT </w:instrText>
    </w:r>
    <w:r w:rsidR="009B1CCE">
      <w:fldChar w:fldCharType="separate"/>
    </w:r>
    <w:r w:rsidR="003B1BE3">
      <w:rPr>
        <w:noProof/>
      </w:rPr>
      <w:t>May</w:t>
    </w:r>
    <w:r w:rsidR="003B1C96">
      <w:rPr>
        <w:noProof/>
      </w:rPr>
      <w:t xml:space="preserve"> 2022</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3051"/>
        </w:tabs>
        <w:ind w:left="3051"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3D0F0E"/>
    <w:multiLevelType w:val="hybridMultilevel"/>
    <w:tmpl w:val="9AAA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1115EC7"/>
    <w:multiLevelType w:val="hybridMultilevel"/>
    <w:tmpl w:val="531E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79146A4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i w:val="0"/>
        <w:iCs/>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6B2A3E"/>
    <w:multiLevelType w:val="multilevel"/>
    <w:tmpl w:val="8BE444DC"/>
    <w:numStyleLink w:val="AHRCReportHeadings"/>
  </w:abstractNum>
  <w:num w:numId="1" w16cid:durableId="1924946429">
    <w:abstractNumId w:val="18"/>
  </w:num>
  <w:num w:numId="2" w16cid:durableId="1935554436">
    <w:abstractNumId w:val="9"/>
  </w:num>
  <w:num w:numId="3" w16cid:durableId="27070640">
    <w:abstractNumId w:val="7"/>
  </w:num>
  <w:num w:numId="4" w16cid:durableId="1548223666">
    <w:abstractNumId w:val="6"/>
  </w:num>
  <w:num w:numId="5" w16cid:durableId="947389780">
    <w:abstractNumId w:val="5"/>
  </w:num>
  <w:num w:numId="6" w16cid:durableId="175388938">
    <w:abstractNumId w:val="4"/>
  </w:num>
  <w:num w:numId="7" w16cid:durableId="2089690390">
    <w:abstractNumId w:val="8"/>
  </w:num>
  <w:num w:numId="8" w16cid:durableId="296958168">
    <w:abstractNumId w:val="1"/>
  </w:num>
  <w:num w:numId="9" w16cid:durableId="96993855">
    <w:abstractNumId w:val="0"/>
  </w:num>
  <w:num w:numId="10" w16cid:durableId="1216045508">
    <w:abstractNumId w:val="3"/>
  </w:num>
  <w:num w:numId="11" w16cid:durableId="1015349638">
    <w:abstractNumId w:val="2"/>
  </w:num>
  <w:num w:numId="12" w16cid:durableId="338389958">
    <w:abstractNumId w:val="19"/>
  </w:num>
  <w:num w:numId="13" w16cid:durableId="1424764126">
    <w:abstractNumId w:val="17"/>
  </w:num>
  <w:num w:numId="14" w16cid:durableId="626087414">
    <w:abstractNumId w:val="15"/>
  </w:num>
  <w:num w:numId="15" w16cid:durableId="1368220680">
    <w:abstractNumId w:val="14"/>
  </w:num>
  <w:num w:numId="16" w16cid:durableId="545800850">
    <w:abstractNumId w:val="11"/>
  </w:num>
  <w:num w:numId="17" w16cid:durableId="1466310708">
    <w:abstractNumId w:val="12"/>
  </w:num>
  <w:num w:numId="18" w16cid:durableId="7799763">
    <w:abstractNumId w:val="21"/>
  </w:num>
  <w:num w:numId="19" w16cid:durableId="463238970">
    <w:abstractNumId w:val="16"/>
  </w:num>
  <w:num w:numId="20" w16cid:durableId="375197945">
    <w:abstractNumId w:val="20"/>
  </w:num>
  <w:num w:numId="21" w16cid:durableId="1250576758">
    <w:abstractNumId w:val="10"/>
  </w:num>
  <w:num w:numId="22" w16cid:durableId="1048795704">
    <w:abstractNumId w:val="13"/>
  </w:num>
  <w:num w:numId="23" w16cid:durableId="1897740524">
    <w:abstractNumId w:val="18"/>
  </w:num>
  <w:num w:numId="24" w16cid:durableId="136898771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96"/>
    <w:rsid w:val="000015EC"/>
    <w:rsid w:val="00003EA5"/>
    <w:rsid w:val="000161C2"/>
    <w:rsid w:val="0002476A"/>
    <w:rsid w:val="0002529B"/>
    <w:rsid w:val="00036BE4"/>
    <w:rsid w:val="000430B8"/>
    <w:rsid w:val="00045712"/>
    <w:rsid w:val="00045C4B"/>
    <w:rsid w:val="000465F1"/>
    <w:rsid w:val="000534AC"/>
    <w:rsid w:val="000579B1"/>
    <w:rsid w:val="00061C6C"/>
    <w:rsid w:val="00065EEA"/>
    <w:rsid w:val="00066C68"/>
    <w:rsid w:val="00072EDA"/>
    <w:rsid w:val="00083B3E"/>
    <w:rsid w:val="00092868"/>
    <w:rsid w:val="000A1DB8"/>
    <w:rsid w:val="000A30E4"/>
    <w:rsid w:val="000A48AC"/>
    <w:rsid w:val="000A520E"/>
    <w:rsid w:val="000B0594"/>
    <w:rsid w:val="000B0603"/>
    <w:rsid w:val="000B0A5D"/>
    <w:rsid w:val="000B5B68"/>
    <w:rsid w:val="000C5608"/>
    <w:rsid w:val="000C5DA6"/>
    <w:rsid w:val="000E130A"/>
    <w:rsid w:val="000E29A9"/>
    <w:rsid w:val="00117238"/>
    <w:rsid w:val="00134774"/>
    <w:rsid w:val="00140274"/>
    <w:rsid w:val="00151263"/>
    <w:rsid w:val="0015239E"/>
    <w:rsid w:val="0016266F"/>
    <w:rsid w:val="00162A8D"/>
    <w:rsid w:val="00165E3C"/>
    <w:rsid w:val="001664F5"/>
    <w:rsid w:val="00173FB5"/>
    <w:rsid w:val="00174D9A"/>
    <w:rsid w:val="001839D6"/>
    <w:rsid w:val="00195EDE"/>
    <w:rsid w:val="001B0353"/>
    <w:rsid w:val="001C1F8B"/>
    <w:rsid w:val="001D0285"/>
    <w:rsid w:val="001D0EF4"/>
    <w:rsid w:val="001D4975"/>
    <w:rsid w:val="001E45BA"/>
    <w:rsid w:val="001E5676"/>
    <w:rsid w:val="001F2BBB"/>
    <w:rsid w:val="001F52FD"/>
    <w:rsid w:val="001F62CC"/>
    <w:rsid w:val="00200677"/>
    <w:rsid w:val="002012F7"/>
    <w:rsid w:val="002027F6"/>
    <w:rsid w:val="0020576C"/>
    <w:rsid w:val="002068EB"/>
    <w:rsid w:val="002107D7"/>
    <w:rsid w:val="00214CD4"/>
    <w:rsid w:val="00214DB2"/>
    <w:rsid w:val="002210CD"/>
    <w:rsid w:val="00231ED1"/>
    <w:rsid w:val="002329AE"/>
    <w:rsid w:val="00241523"/>
    <w:rsid w:val="00242624"/>
    <w:rsid w:val="0024557E"/>
    <w:rsid w:val="002471FD"/>
    <w:rsid w:val="0025176E"/>
    <w:rsid w:val="00257344"/>
    <w:rsid w:val="00262B2C"/>
    <w:rsid w:val="002632EA"/>
    <w:rsid w:val="00266697"/>
    <w:rsid w:val="00275C6E"/>
    <w:rsid w:val="002845A6"/>
    <w:rsid w:val="0028506A"/>
    <w:rsid w:val="002850B0"/>
    <w:rsid w:val="002863D7"/>
    <w:rsid w:val="002873B4"/>
    <w:rsid w:val="00292AB5"/>
    <w:rsid w:val="002A43C2"/>
    <w:rsid w:val="002B1B65"/>
    <w:rsid w:val="002B3AE9"/>
    <w:rsid w:val="002C02DB"/>
    <w:rsid w:val="002C17F0"/>
    <w:rsid w:val="002C1866"/>
    <w:rsid w:val="002C5943"/>
    <w:rsid w:val="002D432E"/>
    <w:rsid w:val="002E5A1B"/>
    <w:rsid w:val="002F4CE1"/>
    <w:rsid w:val="002F56B4"/>
    <w:rsid w:val="002F5E96"/>
    <w:rsid w:val="0030053D"/>
    <w:rsid w:val="00300DC8"/>
    <w:rsid w:val="00300F22"/>
    <w:rsid w:val="003026A0"/>
    <w:rsid w:val="00304441"/>
    <w:rsid w:val="00304A37"/>
    <w:rsid w:val="0031040E"/>
    <w:rsid w:val="00310ED4"/>
    <w:rsid w:val="00310EFD"/>
    <w:rsid w:val="00311321"/>
    <w:rsid w:val="00312301"/>
    <w:rsid w:val="0031492A"/>
    <w:rsid w:val="00316C1A"/>
    <w:rsid w:val="00321095"/>
    <w:rsid w:val="00321531"/>
    <w:rsid w:val="00322E79"/>
    <w:rsid w:val="00323C73"/>
    <w:rsid w:val="003242B2"/>
    <w:rsid w:val="003250E3"/>
    <w:rsid w:val="00331141"/>
    <w:rsid w:val="00333204"/>
    <w:rsid w:val="003423F4"/>
    <w:rsid w:val="00344758"/>
    <w:rsid w:val="00347142"/>
    <w:rsid w:val="00350D1B"/>
    <w:rsid w:val="003565A8"/>
    <w:rsid w:val="003566EA"/>
    <w:rsid w:val="00356CCA"/>
    <w:rsid w:val="0036611F"/>
    <w:rsid w:val="003724A9"/>
    <w:rsid w:val="00372C79"/>
    <w:rsid w:val="003A168E"/>
    <w:rsid w:val="003A1DAD"/>
    <w:rsid w:val="003A48B7"/>
    <w:rsid w:val="003B1BE3"/>
    <w:rsid w:val="003B1C96"/>
    <w:rsid w:val="003B1FA4"/>
    <w:rsid w:val="003B2382"/>
    <w:rsid w:val="003B7AAA"/>
    <w:rsid w:val="003E3323"/>
    <w:rsid w:val="003E4C5D"/>
    <w:rsid w:val="003E52DB"/>
    <w:rsid w:val="003E5DEF"/>
    <w:rsid w:val="003E65F1"/>
    <w:rsid w:val="0040378E"/>
    <w:rsid w:val="0040497E"/>
    <w:rsid w:val="00420EEE"/>
    <w:rsid w:val="00422417"/>
    <w:rsid w:val="00424233"/>
    <w:rsid w:val="00425F5E"/>
    <w:rsid w:val="00434945"/>
    <w:rsid w:val="00445CB5"/>
    <w:rsid w:val="00460EE0"/>
    <w:rsid w:val="00462004"/>
    <w:rsid w:val="00465566"/>
    <w:rsid w:val="00467F2E"/>
    <w:rsid w:val="004712FB"/>
    <w:rsid w:val="00471BB7"/>
    <w:rsid w:val="00472EFF"/>
    <w:rsid w:val="00474063"/>
    <w:rsid w:val="00476793"/>
    <w:rsid w:val="00481B2A"/>
    <w:rsid w:val="00482091"/>
    <w:rsid w:val="00491FCF"/>
    <w:rsid w:val="00493316"/>
    <w:rsid w:val="00494AAE"/>
    <w:rsid w:val="004A187B"/>
    <w:rsid w:val="004A24A5"/>
    <w:rsid w:val="004A2D3C"/>
    <w:rsid w:val="004A6716"/>
    <w:rsid w:val="004C7412"/>
    <w:rsid w:val="004D04BF"/>
    <w:rsid w:val="004E0DFF"/>
    <w:rsid w:val="004E6D6F"/>
    <w:rsid w:val="004F1C7C"/>
    <w:rsid w:val="00510390"/>
    <w:rsid w:val="005123F0"/>
    <w:rsid w:val="00513540"/>
    <w:rsid w:val="00513941"/>
    <w:rsid w:val="0053051D"/>
    <w:rsid w:val="00550342"/>
    <w:rsid w:val="00561019"/>
    <w:rsid w:val="005625DE"/>
    <w:rsid w:val="00564208"/>
    <w:rsid w:val="00571CEB"/>
    <w:rsid w:val="00583891"/>
    <w:rsid w:val="0058426E"/>
    <w:rsid w:val="00591951"/>
    <w:rsid w:val="00592D1C"/>
    <w:rsid w:val="005A0964"/>
    <w:rsid w:val="005A2F77"/>
    <w:rsid w:val="005A5B06"/>
    <w:rsid w:val="005B36F6"/>
    <w:rsid w:val="005C2ECF"/>
    <w:rsid w:val="005C5D41"/>
    <w:rsid w:val="005C7982"/>
    <w:rsid w:val="005D1F34"/>
    <w:rsid w:val="005D383D"/>
    <w:rsid w:val="005D4ED1"/>
    <w:rsid w:val="005E596F"/>
    <w:rsid w:val="005F3906"/>
    <w:rsid w:val="005F391B"/>
    <w:rsid w:val="005F5A3F"/>
    <w:rsid w:val="00616F88"/>
    <w:rsid w:val="00622508"/>
    <w:rsid w:val="0063009F"/>
    <w:rsid w:val="006356C5"/>
    <w:rsid w:val="00636349"/>
    <w:rsid w:val="00643DB4"/>
    <w:rsid w:val="00644B30"/>
    <w:rsid w:val="00650E26"/>
    <w:rsid w:val="00654793"/>
    <w:rsid w:val="00655BF2"/>
    <w:rsid w:val="00661915"/>
    <w:rsid w:val="00664316"/>
    <w:rsid w:val="00675EED"/>
    <w:rsid w:val="00691E8A"/>
    <w:rsid w:val="00692ECB"/>
    <w:rsid w:val="00696AB3"/>
    <w:rsid w:val="006A6BB3"/>
    <w:rsid w:val="006B3DE1"/>
    <w:rsid w:val="006C0642"/>
    <w:rsid w:val="006D0407"/>
    <w:rsid w:val="006D5EE5"/>
    <w:rsid w:val="006E02B4"/>
    <w:rsid w:val="006E616B"/>
    <w:rsid w:val="006E6D3B"/>
    <w:rsid w:val="006F5F01"/>
    <w:rsid w:val="00714FF5"/>
    <w:rsid w:val="00730BD2"/>
    <w:rsid w:val="00733E75"/>
    <w:rsid w:val="0074040F"/>
    <w:rsid w:val="007540BF"/>
    <w:rsid w:val="0075445D"/>
    <w:rsid w:val="00762FAD"/>
    <w:rsid w:val="007637A8"/>
    <w:rsid w:val="00765B58"/>
    <w:rsid w:val="00770DCB"/>
    <w:rsid w:val="00775485"/>
    <w:rsid w:val="00776856"/>
    <w:rsid w:val="00783532"/>
    <w:rsid w:val="007846B5"/>
    <w:rsid w:val="0079549A"/>
    <w:rsid w:val="007B06EA"/>
    <w:rsid w:val="007B17AB"/>
    <w:rsid w:val="007B444D"/>
    <w:rsid w:val="007C5CF6"/>
    <w:rsid w:val="007D2F00"/>
    <w:rsid w:val="007E5B88"/>
    <w:rsid w:val="007F0D0B"/>
    <w:rsid w:val="008007A8"/>
    <w:rsid w:val="008042D9"/>
    <w:rsid w:val="00814FC0"/>
    <w:rsid w:val="00817C73"/>
    <w:rsid w:val="00823005"/>
    <w:rsid w:val="00826B0B"/>
    <w:rsid w:val="00840587"/>
    <w:rsid w:val="008449B9"/>
    <w:rsid w:val="00847191"/>
    <w:rsid w:val="0086254F"/>
    <w:rsid w:val="00870908"/>
    <w:rsid w:val="008724DE"/>
    <w:rsid w:val="008758D9"/>
    <w:rsid w:val="00876A7E"/>
    <w:rsid w:val="00882B0A"/>
    <w:rsid w:val="008A3D57"/>
    <w:rsid w:val="008A4D2D"/>
    <w:rsid w:val="008A7305"/>
    <w:rsid w:val="008A7EFF"/>
    <w:rsid w:val="008B23BC"/>
    <w:rsid w:val="008B3899"/>
    <w:rsid w:val="008D17DA"/>
    <w:rsid w:val="008E328C"/>
    <w:rsid w:val="008E3D60"/>
    <w:rsid w:val="008E3F4C"/>
    <w:rsid w:val="008E674C"/>
    <w:rsid w:val="008E78F0"/>
    <w:rsid w:val="008F062E"/>
    <w:rsid w:val="0090165F"/>
    <w:rsid w:val="00901B82"/>
    <w:rsid w:val="00902EC3"/>
    <w:rsid w:val="009079CD"/>
    <w:rsid w:val="00912B09"/>
    <w:rsid w:val="00914CB8"/>
    <w:rsid w:val="0091791D"/>
    <w:rsid w:val="00924A7C"/>
    <w:rsid w:val="00934E5F"/>
    <w:rsid w:val="00937B8F"/>
    <w:rsid w:val="009432CF"/>
    <w:rsid w:val="00961135"/>
    <w:rsid w:val="00966C2F"/>
    <w:rsid w:val="0096742A"/>
    <w:rsid w:val="0097512B"/>
    <w:rsid w:val="00982404"/>
    <w:rsid w:val="00983F3D"/>
    <w:rsid w:val="00987959"/>
    <w:rsid w:val="00990B81"/>
    <w:rsid w:val="009A1259"/>
    <w:rsid w:val="009A225A"/>
    <w:rsid w:val="009A50EC"/>
    <w:rsid w:val="009B1CCE"/>
    <w:rsid w:val="009B627D"/>
    <w:rsid w:val="009D2D3E"/>
    <w:rsid w:val="009D46E9"/>
    <w:rsid w:val="009D4F31"/>
    <w:rsid w:val="009D634E"/>
    <w:rsid w:val="009D67F6"/>
    <w:rsid w:val="009E08D1"/>
    <w:rsid w:val="009E0FE1"/>
    <w:rsid w:val="009E4BD0"/>
    <w:rsid w:val="009F00BC"/>
    <w:rsid w:val="009F1738"/>
    <w:rsid w:val="009F2764"/>
    <w:rsid w:val="00A0406E"/>
    <w:rsid w:val="00A10406"/>
    <w:rsid w:val="00A11307"/>
    <w:rsid w:val="00A13AF3"/>
    <w:rsid w:val="00A21388"/>
    <w:rsid w:val="00A27791"/>
    <w:rsid w:val="00A27ABE"/>
    <w:rsid w:val="00A355F9"/>
    <w:rsid w:val="00A372B3"/>
    <w:rsid w:val="00A41355"/>
    <w:rsid w:val="00A437B6"/>
    <w:rsid w:val="00A43B92"/>
    <w:rsid w:val="00A47BCC"/>
    <w:rsid w:val="00A51C1D"/>
    <w:rsid w:val="00A54251"/>
    <w:rsid w:val="00A6179E"/>
    <w:rsid w:val="00A64316"/>
    <w:rsid w:val="00A804D9"/>
    <w:rsid w:val="00A832D5"/>
    <w:rsid w:val="00A8573B"/>
    <w:rsid w:val="00A92915"/>
    <w:rsid w:val="00A92D96"/>
    <w:rsid w:val="00A92F92"/>
    <w:rsid w:val="00A96892"/>
    <w:rsid w:val="00AA2051"/>
    <w:rsid w:val="00AA4D44"/>
    <w:rsid w:val="00AA70C4"/>
    <w:rsid w:val="00AB750B"/>
    <w:rsid w:val="00AB7C8F"/>
    <w:rsid w:val="00AC2192"/>
    <w:rsid w:val="00AC636D"/>
    <w:rsid w:val="00AD28CA"/>
    <w:rsid w:val="00B00F61"/>
    <w:rsid w:val="00B237FB"/>
    <w:rsid w:val="00B24B1D"/>
    <w:rsid w:val="00B26C33"/>
    <w:rsid w:val="00B277E0"/>
    <w:rsid w:val="00B313D8"/>
    <w:rsid w:val="00B34946"/>
    <w:rsid w:val="00B519FD"/>
    <w:rsid w:val="00B520BC"/>
    <w:rsid w:val="00B5287A"/>
    <w:rsid w:val="00B539CC"/>
    <w:rsid w:val="00B63D24"/>
    <w:rsid w:val="00B822C5"/>
    <w:rsid w:val="00B82C35"/>
    <w:rsid w:val="00B924E6"/>
    <w:rsid w:val="00B93F2A"/>
    <w:rsid w:val="00B97E15"/>
    <w:rsid w:val="00BA23E3"/>
    <w:rsid w:val="00BA262D"/>
    <w:rsid w:val="00BA5698"/>
    <w:rsid w:val="00BA6A86"/>
    <w:rsid w:val="00BB3A8E"/>
    <w:rsid w:val="00BC5309"/>
    <w:rsid w:val="00BC79EB"/>
    <w:rsid w:val="00BD7FCF"/>
    <w:rsid w:val="00BF1AB8"/>
    <w:rsid w:val="00BF6406"/>
    <w:rsid w:val="00C064DC"/>
    <w:rsid w:val="00C132CA"/>
    <w:rsid w:val="00C149BD"/>
    <w:rsid w:val="00C25BDA"/>
    <w:rsid w:val="00C33104"/>
    <w:rsid w:val="00C332D4"/>
    <w:rsid w:val="00C44AE3"/>
    <w:rsid w:val="00C471D1"/>
    <w:rsid w:val="00C51011"/>
    <w:rsid w:val="00C541A9"/>
    <w:rsid w:val="00C560AC"/>
    <w:rsid w:val="00C5781C"/>
    <w:rsid w:val="00C60036"/>
    <w:rsid w:val="00C60343"/>
    <w:rsid w:val="00C7387B"/>
    <w:rsid w:val="00C76675"/>
    <w:rsid w:val="00C854D4"/>
    <w:rsid w:val="00C90556"/>
    <w:rsid w:val="00CA0D78"/>
    <w:rsid w:val="00CA4855"/>
    <w:rsid w:val="00CA5D90"/>
    <w:rsid w:val="00CB24FE"/>
    <w:rsid w:val="00CB3592"/>
    <w:rsid w:val="00CC2AA0"/>
    <w:rsid w:val="00CC6A54"/>
    <w:rsid w:val="00CD58FD"/>
    <w:rsid w:val="00CE4078"/>
    <w:rsid w:val="00CF52CF"/>
    <w:rsid w:val="00CF66B5"/>
    <w:rsid w:val="00D03307"/>
    <w:rsid w:val="00D16774"/>
    <w:rsid w:val="00D23F1C"/>
    <w:rsid w:val="00D343FA"/>
    <w:rsid w:val="00D345F7"/>
    <w:rsid w:val="00D418FF"/>
    <w:rsid w:val="00D65C76"/>
    <w:rsid w:val="00D734C7"/>
    <w:rsid w:val="00D7542B"/>
    <w:rsid w:val="00D812BC"/>
    <w:rsid w:val="00D8351F"/>
    <w:rsid w:val="00DA1D32"/>
    <w:rsid w:val="00DA2F73"/>
    <w:rsid w:val="00DA7A55"/>
    <w:rsid w:val="00DC307B"/>
    <w:rsid w:val="00DC343B"/>
    <w:rsid w:val="00DC462F"/>
    <w:rsid w:val="00DC499A"/>
    <w:rsid w:val="00DD49A7"/>
    <w:rsid w:val="00DD604A"/>
    <w:rsid w:val="00DD6A21"/>
    <w:rsid w:val="00DE18A7"/>
    <w:rsid w:val="00DE2297"/>
    <w:rsid w:val="00DE2EFB"/>
    <w:rsid w:val="00DE60CA"/>
    <w:rsid w:val="00DF01B6"/>
    <w:rsid w:val="00DF28F1"/>
    <w:rsid w:val="00E02517"/>
    <w:rsid w:val="00E1290D"/>
    <w:rsid w:val="00E14833"/>
    <w:rsid w:val="00E1675F"/>
    <w:rsid w:val="00E16DDD"/>
    <w:rsid w:val="00E23C19"/>
    <w:rsid w:val="00E23DB3"/>
    <w:rsid w:val="00E24FA3"/>
    <w:rsid w:val="00E26B28"/>
    <w:rsid w:val="00E31465"/>
    <w:rsid w:val="00E328CD"/>
    <w:rsid w:val="00E3489E"/>
    <w:rsid w:val="00E3546C"/>
    <w:rsid w:val="00E35D14"/>
    <w:rsid w:val="00E362F0"/>
    <w:rsid w:val="00E36B95"/>
    <w:rsid w:val="00E4003F"/>
    <w:rsid w:val="00E44115"/>
    <w:rsid w:val="00E44E38"/>
    <w:rsid w:val="00E458F6"/>
    <w:rsid w:val="00E45954"/>
    <w:rsid w:val="00E46704"/>
    <w:rsid w:val="00E53546"/>
    <w:rsid w:val="00E55F24"/>
    <w:rsid w:val="00E60C48"/>
    <w:rsid w:val="00E72E0C"/>
    <w:rsid w:val="00E74601"/>
    <w:rsid w:val="00E8743F"/>
    <w:rsid w:val="00E916DE"/>
    <w:rsid w:val="00EA3F24"/>
    <w:rsid w:val="00EA44D9"/>
    <w:rsid w:val="00EA79C6"/>
    <w:rsid w:val="00EB6A76"/>
    <w:rsid w:val="00EC639A"/>
    <w:rsid w:val="00ED6EDE"/>
    <w:rsid w:val="00EE6ED3"/>
    <w:rsid w:val="00EF155E"/>
    <w:rsid w:val="00EF6193"/>
    <w:rsid w:val="00F0799D"/>
    <w:rsid w:val="00F107A0"/>
    <w:rsid w:val="00F127A8"/>
    <w:rsid w:val="00F14C6D"/>
    <w:rsid w:val="00F220A5"/>
    <w:rsid w:val="00F34362"/>
    <w:rsid w:val="00F34BC9"/>
    <w:rsid w:val="00F41D32"/>
    <w:rsid w:val="00F50DDF"/>
    <w:rsid w:val="00F513AE"/>
    <w:rsid w:val="00F51ECD"/>
    <w:rsid w:val="00F62A1C"/>
    <w:rsid w:val="00F81458"/>
    <w:rsid w:val="00F8302E"/>
    <w:rsid w:val="00F86DAB"/>
    <w:rsid w:val="00FA22A8"/>
    <w:rsid w:val="00FA4916"/>
    <w:rsid w:val="00FA7E5C"/>
    <w:rsid w:val="00FB11A7"/>
    <w:rsid w:val="00FB193D"/>
    <w:rsid w:val="00FB239D"/>
    <w:rsid w:val="00FB3422"/>
    <w:rsid w:val="00FC7AA2"/>
    <w:rsid w:val="00FD01B5"/>
    <w:rsid w:val="00FD34F6"/>
    <w:rsid w:val="00FD5BF0"/>
    <w:rsid w:val="00FD6475"/>
    <w:rsid w:val="00FF1846"/>
    <w:rsid w:val="00FF3156"/>
    <w:rsid w:val="24F9178B"/>
    <w:rsid w:val="26D2E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AB8D5"/>
  <w15:chartTrackingRefBased/>
  <w15:docId w15:val="{8B1164BB-B040-4D46-9922-4A399B25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table" w:styleId="GridTable1Light">
    <w:name w:val="Grid Table 1 Light"/>
    <w:basedOn w:val="TableNormal"/>
    <w:uiPriority w:val="46"/>
    <w:locked/>
    <w:rsid w:val="00762F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locked/>
    <w:rsid w:val="00762FAD"/>
    <w:pPr>
      <w:spacing w:before="0" w:after="0"/>
    </w:pPr>
    <w:rPr>
      <w:sz w:val="20"/>
      <w:szCs w:val="20"/>
    </w:rPr>
  </w:style>
  <w:style w:type="character" w:customStyle="1" w:styleId="FootnoteTextChar">
    <w:name w:val="Footnote Text Char"/>
    <w:basedOn w:val="DefaultParagraphFont"/>
    <w:link w:val="FootnoteText"/>
    <w:rsid w:val="00762FAD"/>
    <w:rPr>
      <w:rFonts w:ascii="Open Sans" w:eastAsia="MS Mincho" w:hAnsi="Open Sans"/>
    </w:rPr>
  </w:style>
  <w:style w:type="character" w:styleId="FootnoteReference">
    <w:name w:val="footnote reference"/>
    <w:basedOn w:val="DefaultParagraphFont"/>
    <w:locked/>
    <w:rsid w:val="00762FAD"/>
    <w:rPr>
      <w:vertAlign w:val="superscript"/>
    </w:rPr>
  </w:style>
  <w:style w:type="paragraph" w:styleId="Revision">
    <w:name w:val="Revision"/>
    <w:hidden/>
    <w:uiPriority w:val="99"/>
    <w:semiHidden/>
    <w:rsid w:val="00311321"/>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ombudsman.gov.au/__data/assets/pdf_file/0022/30298/December-2013-Suicide-and-self-harm-in-the-Immigration-Detention-Network.pdf" TargetMode="External"/><Relationship Id="rId2" Type="http://schemas.openxmlformats.org/officeDocument/2006/relationships/hyperlink" Target="http://www.un.org/documents/ga/res/43/a43r173.htm" TargetMode="External"/><Relationship Id="rId1" Type="http://schemas.openxmlformats.org/officeDocument/2006/relationships/hyperlink" Target="http://www.ohchr.org/EN/ProfessionalInterest/Pages/TreatmentOfPrison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d43b1c146c8770040619003af98f77ad">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7db26b79a9e708a1d24ca521f147448b"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DGE6U7RJ2EFV-5382029-10917</_dlc_DocId>
    <_dlc_DocIdUrl xmlns="6500fe01-343b-4fb9-a1b0-68ac19d62e01">
      <Url>https://australianhrc.sharepoint.com/sites/LegalServicesWorkspace/_layouts/15/DocIdRedir.aspx?ID=DGE6U7RJ2EFV-5382029-10917</Url>
      <Description>DGE6U7RJ2EFV-5382029-10917</Description>
    </_dlc_DocIdUrl>
    <Divider xmlns="6500fe01-343b-4fb9-a1b0-68ac19d62e01">Draft Report</Divider>
    <Reportstatus xmlns="0544bb73-b9b2-4315-b463-f353efb89b0b" xsi:nil="true"/>
    <Report_x0020_No_x002e_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2.xml><?xml version="1.0" encoding="utf-8"?>
<ds:datastoreItem xmlns:ds="http://schemas.openxmlformats.org/officeDocument/2006/customXml" ds:itemID="{0DC7696B-5D2D-4CD8-89C9-C4BA8EB9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4.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5.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6.xml><?xml version="1.0" encoding="utf-8"?>
<ds:datastoreItem xmlns:ds="http://schemas.openxmlformats.org/officeDocument/2006/customXml" ds:itemID="{DE2ACD7C-2BA9-47F9-8579-76DB6345E23F}">
  <ds:schemaRefs>
    <ds:schemaRef ds:uri="http://schemas.microsoft.com/office/infopath/2007/PartnerControls"/>
    <ds:schemaRef ds:uri="http://schemas.microsoft.com/office/2006/documentManagement/types"/>
    <ds:schemaRef ds:uri="http://purl.org/dc/terms/"/>
    <ds:schemaRef ds:uri="0544bb73-b9b2-4315-b463-f353efb89b0b"/>
    <ds:schemaRef ds:uri="http://schemas.openxmlformats.org/package/2006/metadata/core-properties"/>
    <ds:schemaRef ds:uri="ccf9782b-c747-4be8-886f-341168625564"/>
    <ds:schemaRef ds:uri="57f1fb52-79b9-4278-9d54-1e5db41bfcda"/>
    <ds:schemaRef ds:uri="http://purl.org/dc/elements/1.1/"/>
    <ds:schemaRef ds:uri="6500fe01-343b-4fb9-a1b0-68ac19d62e0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5039</Words>
  <Characters>25488</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30467</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Sara Evison-Rose</dc:creator>
  <cp:keywords/>
  <cp:lastModifiedBy>Sara Evison-Rose</cp:lastModifiedBy>
  <cp:revision>5</cp:revision>
  <cp:lastPrinted>1900-12-31T13:00:00Z</cp:lastPrinted>
  <dcterms:created xsi:type="dcterms:W3CDTF">2022-05-11T06:49:00Z</dcterms:created>
  <dcterms:modified xsi:type="dcterms:W3CDTF">2022-05-11T06:54:00Z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c0020806-d3da-4567-8d04-06063b61c4ae</vt:lpwstr>
  </property>
  <property fmtid="{D5CDD505-2E9C-101B-9397-08002B2CF9AE}" pid="4" name="TaxKeyword">
    <vt:lpwstr/>
  </property>
</Properties>
</file>