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91951" w:rsidRPr="00654793" w:rsidRDefault="000368F9"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0B769BB2" wp14:editId="603FBA74">
                <wp:simplePos x="0" y="0"/>
                <wp:positionH relativeFrom="column">
                  <wp:posOffset>1411234</wp:posOffset>
                </wp:positionH>
                <wp:positionV relativeFrom="paragraph">
                  <wp:posOffset>80106</wp:posOffset>
                </wp:positionV>
                <wp:extent cx="4368728" cy="1589201"/>
                <wp:effectExtent l="0" t="0" r="0"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728" cy="1589201"/>
                        </a:xfrm>
                        <a:prstGeom prst="rect">
                          <a:avLst/>
                        </a:prstGeom>
                        <a:noFill/>
                        <a:ln w="6350">
                          <a:noFill/>
                        </a:ln>
                        <a:effectLst/>
                      </wps:spPr>
                      <wps:txbx>
                        <w:txbxContent>
                          <w:p w:rsidR="00B85C21" w:rsidRPr="00E412A9" w:rsidRDefault="00B85C21" w:rsidP="00E412A9">
                            <w:pPr>
                              <w:pStyle w:val="MainTitle"/>
                              <w:spacing w:line="480" w:lineRule="auto"/>
                              <w:rPr>
                                <w:sz w:val="36"/>
                              </w:rPr>
                            </w:pPr>
                            <w:r w:rsidRPr="00E412A9">
                              <w:rPr>
                                <w:rFonts w:cs="Arial"/>
                                <w:sz w:val="36"/>
                              </w:rPr>
                              <w:t xml:space="preserve">National Inquiry into Employment Discrimination Against Older Australians and Australians with Disability </w:t>
                            </w:r>
                          </w:p>
                          <w:p w:rsidR="00B85C21" w:rsidRPr="00E412A9" w:rsidRDefault="00B85C21" w:rsidP="000368F9">
                            <w:pPr>
                              <w:pStyle w:val="MainTitle"/>
                              <w:spacing w:line="36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69BB2" id="_x0000_t202" coordsize="21600,21600" o:spt="202" path="m,l,21600r21600,l21600,xe">
                <v:stroke joinstyle="miter"/>
                <v:path gradientshapeok="t" o:connecttype="rect"/>
              </v:shapetype>
              <v:shape id="Text Box 1" o:spid="_x0000_s1026" type="#_x0000_t202" style="position:absolute;margin-left:111.1pt;margin-top:6.3pt;width:344pt;height:12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" filled="f" stroked="f" strokeweight=".5pt">
                <v:path arrowok="t"/>
                <v:textbox>
                  <w:txbxContent>
                    <w:p w:rsidR="00B85C21" w:rsidRPr="00E412A9" w:rsidRDefault="00B85C21" w:rsidP="00E412A9">
                      <w:pPr>
                        <w:pStyle w:val="MainTitle"/>
                        <w:spacing w:line="480" w:lineRule="auto"/>
                        <w:rPr>
                          <w:sz w:val="36"/>
                        </w:rPr>
                      </w:pPr>
                      <w:r w:rsidRPr="00E412A9">
                        <w:rPr>
                          <w:rFonts w:cs="Arial"/>
                          <w:sz w:val="36"/>
                        </w:rPr>
                        <w:t xml:space="preserve">National Inquiry into Employment Discrimination Against Older Australians and Australians with Disability </w:t>
                      </w:r>
                    </w:p>
                    <w:p w:rsidR="00B85C21" w:rsidRPr="00E412A9" w:rsidRDefault="00B85C21" w:rsidP="000368F9">
                      <w:pPr>
                        <w:pStyle w:val="MainTitle"/>
                        <w:spacing w:line="360" w:lineRule="auto"/>
                        <w:rPr>
                          <w:sz w:val="24"/>
                        </w:rPr>
                      </w:pPr>
                    </w:p>
                  </w:txbxContent>
                </v:textbox>
              </v:shape>
            </w:pict>
          </mc:Fallback>
        </mc:AlternateContent>
      </w:r>
      <w:r w:rsidR="00953BA3">
        <w:rPr>
          <w:noProof/>
        </w:rPr>
        <mc:AlternateContent>
          <mc:Choice Requires="wps">
            <w:drawing>
              <wp:anchor distT="0" distB="0" distL="114300" distR="114300" simplePos="0" relativeHeight="251657728" behindDoc="0" locked="0" layoutInCell="1" allowOverlap="1" wp14:anchorId="4B59BB22" wp14:editId="4C6CD880">
                <wp:simplePos x="0" y="0"/>
                <wp:positionH relativeFrom="column">
                  <wp:posOffset>3603996</wp:posOffset>
                </wp:positionH>
                <wp:positionV relativeFrom="paragraph">
                  <wp:posOffset>1643380</wp:posOffset>
                </wp:positionV>
                <wp:extent cx="2156460" cy="504825"/>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6460" cy="504825"/>
                        </a:xfrm>
                        <a:prstGeom prst="rect">
                          <a:avLst/>
                        </a:prstGeom>
                        <a:noFill/>
                        <a:ln w="6350">
                          <a:noFill/>
                        </a:ln>
                        <a:effectLst/>
                      </wps:spPr>
                      <wps:txbx>
                        <w:txbxContent>
                          <w:p w:rsidR="00B85C21" w:rsidRPr="00AB0EA1" w:rsidRDefault="00B85C21" w:rsidP="00A11307">
                            <w:pPr>
                              <w:pStyle w:val="Subtitle"/>
                              <w:rPr>
                                <w:sz w:val="24"/>
                              </w:rPr>
                            </w:pPr>
                            <w:r w:rsidRPr="00AB0EA1">
                              <w:rPr>
                                <w:sz w:val="24"/>
                              </w:rPr>
                              <w:t>Healthy Ageing Paper</w:t>
                            </w:r>
                          </w:p>
                          <w:p w:rsidR="00B85C21" w:rsidRDefault="00B85C21"/>
                          <w:p w:rsidR="00B85C21" w:rsidRPr="00AB0EA1" w:rsidRDefault="00B85C21" w:rsidP="00A11307">
                            <w:pPr>
                              <w:pStyle w:val="Subtitle"/>
                              <w:rPr>
                                <w:sz w:val="24"/>
                              </w:rPr>
                            </w:pPr>
                            <w:r w:rsidRPr="00AB0EA1">
                              <w:rPr>
                                <w:sz w:val="24"/>
                              </w:rPr>
                              <w:t>Healthy Ageing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BB22" id="Text Box 3" o:spid="_x0000_s1027" type="#_x0000_t202" style="position:absolute;margin-left:283.8pt;margin-top:129.4pt;width:16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" filled="f" stroked="f" strokeweight=".5pt">
                <v:path arrowok="t"/>
                <v:textbox>
                  <w:txbxContent>
                    <w:p w:rsidR="00B85C21" w:rsidRPr="00AB0EA1" w:rsidRDefault="00B85C21" w:rsidP="00A11307">
                      <w:pPr>
                        <w:pStyle w:val="Subtitle"/>
                        <w:rPr>
                          <w:sz w:val="24"/>
                        </w:rPr>
                      </w:pPr>
                      <w:r w:rsidRPr="00AB0EA1">
                        <w:rPr>
                          <w:sz w:val="24"/>
                        </w:rPr>
                        <w:t>Healthy Ageing Paper</w:t>
                      </w:r>
                    </w:p>
                    <w:p w:rsidR="00B85C21" w:rsidRDefault="00B85C21"/>
                    <w:p w:rsidR="00B85C21" w:rsidRPr="00AB0EA1" w:rsidRDefault="00B85C21" w:rsidP="00A11307">
                      <w:pPr>
                        <w:pStyle w:val="Subtitle"/>
                        <w:rPr>
                          <w:sz w:val="24"/>
                        </w:rPr>
                      </w:pPr>
                      <w:r w:rsidRPr="00AB0EA1">
                        <w:rPr>
                          <w:sz w:val="24"/>
                        </w:rPr>
                        <w:t>Healthy Ageing Paper</w:t>
                      </w:r>
                    </w:p>
                  </w:txbxContent>
                </v:textbox>
              </v:shape>
            </w:pict>
          </mc:Fallback>
        </mc:AlternateContent>
      </w:r>
      <w:r w:rsidR="004B03D0">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1975485</wp:posOffset>
                </wp:positionV>
                <wp:extent cx="3775075" cy="36131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B85C21" w:rsidRPr="00B74219" w:rsidRDefault="00B85C21" w:rsidP="002863D7">
                            <w:pPr>
                              <w:pStyle w:val="Date"/>
                            </w:pPr>
                            <w:r>
                              <w:t>May 2016</w:t>
                            </w:r>
                          </w:p>
                          <w:p w:rsidR="00B85C21" w:rsidRDefault="00B85C21"/>
                          <w:p w:rsidR="00B85C21" w:rsidRPr="00B74219" w:rsidRDefault="00B85C21" w:rsidP="002863D7">
                            <w:pPr>
                              <w:pStyle w:val="Date"/>
                            </w:pPr>
                            <w:r>
                              <w:t>May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" filled="f" stroked="f" strokeweight=".5pt">
                <v:path arrowok="t"/>
                <v:textbox>
                  <w:txbxContent>
                    <w:p w:rsidR="00B85C21" w:rsidRPr="00B74219" w:rsidRDefault="00B85C21" w:rsidP="002863D7">
                      <w:pPr>
                        <w:pStyle w:val="Date"/>
                      </w:pPr>
                      <w:r>
                        <w:t>May 2016</w:t>
                      </w:r>
                    </w:p>
                    <w:p w:rsidR="00B85C21" w:rsidRDefault="00B85C21"/>
                    <w:p w:rsidR="00B85C21" w:rsidRPr="00B74219" w:rsidRDefault="00B85C21" w:rsidP="002863D7">
                      <w:pPr>
                        <w:pStyle w:val="Date"/>
                      </w:pPr>
                      <w:r>
                        <w:t>May 2016</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7"/>
          <w:headerReference w:type="default" r:id="rId8"/>
          <w:footerReference w:type="default" r:id="rId9"/>
          <w:headerReference w:type="first" r:id="rId10"/>
          <w:footerReference w:type="first" r:id="rId11"/>
          <w:type w:val="continuous"/>
          <w:pgSz w:w="11906" w:h="16838" w:code="9"/>
          <w:pgMar w:top="228" w:right="1700" w:bottom="1134" w:left="1418" w:header="277" w:footer="415" w:gutter="0"/>
          <w:cols w:space="708"/>
          <w:titlePg/>
          <w:docGrid w:linePitch="360"/>
        </w:sectPr>
      </w:pPr>
      <w:bookmarkStart w:id="1" w:name="_Toc209316062"/>
      <w:bookmarkEnd w:id="1"/>
    </w:p>
    <w:p w:rsidR="00AB0151" w:rsidRPr="00AB0151" w:rsidRDefault="00B63D24" w:rsidP="00AB0151">
      <w:pPr>
        <w:spacing w:before="120" w:after="120"/>
        <w:rPr>
          <w:b/>
          <w:noProof/>
          <w:sz w:val="28"/>
          <w:szCs w:val="28"/>
        </w:rPr>
      </w:pPr>
      <w:bookmarkStart w:id="2" w:name="_Toc207761829"/>
      <w:r w:rsidRPr="00907336">
        <w:rPr>
          <w:b/>
          <w:sz w:val="28"/>
          <w:szCs w:val="28"/>
        </w:rPr>
        <w:lastRenderedPageBreak/>
        <w:t>Table of Contents</w:t>
      </w:r>
      <w:bookmarkEnd w:id="2"/>
      <w:r>
        <w:fldChar w:fldCharType="begin"/>
      </w:r>
      <w:r>
        <w:instrText xml:space="preserve"> TOC \o "1-4" \h \z \u </w:instrText>
      </w:r>
      <w:r>
        <w:fldChar w:fldCharType="separate"/>
      </w:r>
    </w:p>
    <w:p w:rsidR="00AB0151" w:rsidRPr="00AB0151" w:rsidRDefault="0079114B" w:rsidP="00AB0151">
      <w:pPr>
        <w:pStyle w:val="TOC1"/>
        <w:spacing w:before="120" w:after="120"/>
        <w:rPr>
          <w:rFonts w:asciiTheme="minorHAnsi" w:eastAsiaTheme="minorEastAsia" w:hAnsiTheme="minorHAnsi" w:cstheme="minorBidi"/>
          <w:b w:val="0"/>
          <w:szCs w:val="22"/>
        </w:rPr>
      </w:pPr>
      <w:hyperlink w:anchor="_Toc451945613" w:history="1">
        <w:r w:rsidR="00AB0151" w:rsidRPr="00AB0151">
          <w:rPr>
            <w:rStyle w:val="Hyperlink"/>
            <w:szCs w:val="22"/>
          </w:rPr>
          <w:t>1</w:t>
        </w:r>
        <w:r w:rsidR="00AB0151" w:rsidRPr="00AB0151">
          <w:rPr>
            <w:rFonts w:asciiTheme="minorHAnsi" w:eastAsiaTheme="minorEastAsia" w:hAnsiTheme="minorHAnsi" w:cstheme="minorBidi"/>
            <w:b w:val="0"/>
            <w:szCs w:val="22"/>
          </w:rPr>
          <w:tab/>
        </w:r>
        <w:r w:rsidR="00AB0151" w:rsidRPr="00AB0151">
          <w:rPr>
            <w:rStyle w:val="Hyperlink"/>
            <w:szCs w:val="22"/>
          </w:rPr>
          <w:t>Introduction</w:t>
        </w:r>
        <w:r w:rsidR="00AB0151" w:rsidRPr="00AB0151">
          <w:rPr>
            <w:webHidden/>
            <w:szCs w:val="22"/>
          </w:rPr>
          <w:tab/>
        </w:r>
        <w:r w:rsidR="00AB0151" w:rsidRPr="00AB0151">
          <w:rPr>
            <w:webHidden/>
            <w:szCs w:val="22"/>
          </w:rPr>
          <w:fldChar w:fldCharType="begin"/>
        </w:r>
        <w:r w:rsidR="00AB0151" w:rsidRPr="00AB0151">
          <w:rPr>
            <w:webHidden/>
            <w:szCs w:val="22"/>
          </w:rPr>
          <w:instrText xml:space="preserve"> PAGEREF _Toc451945613 \h </w:instrText>
        </w:r>
        <w:r w:rsidR="00AB0151" w:rsidRPr="00AB0151">
          <w:rPr>
            <w:webHidden/>
            <w:szCs w:val="22"/>
          </w:rPr>
        </w:r>
        <w:r w:rsidR="00AB0151" w:rsidRPr="00AB0151">
          <w:rPr>
            <w:webHidden/>
            <w:szCs w:val="22"/>
          </w:rPr>
          <w:fldChar w:fldCharType="separate"/>
        </w:r>
        <w:r>
          <w:rPr>
            <w:webHidden/>
            <w:szCs w:val="22"/>
          </w:rPr>
          <w:t>3</w:t>
        </w:r>
        <w:r w:rsidR="00AB0151" w:rsidRPr="00AB0151">
          <w:rPr>
            <w:webHidden/>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14" w:history="1">
        <w:r w:rsidR="00AB0151" w:rsidRPr="00AB0151">
          <w:rPr>
            <w:rStyle w:val="Hyperlink"/>
            <w:sz w:val="22"/>
            <w:szCs w:val="22"/>
          </w:rPr>
          <w:t>1.1</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Recommendations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_Toc451945614 \h </w:instrText>
        </w:r>
        <w:r w:rsidR="00AB0151" w:rsidRPr="00AB0151">
          <w:rPr>
            <w:webHidden/>
            <w:sz w:val="22"/>
            <w:szCs w:val="22"/>
          </w:rPr>
        </w:r>
        <w:r w:rsidR="00AB0151" w:rsidRPr="00AB0151">
          <w:rPr>
            <w:webHidden/>
            <w:sz w:val="22"/>
            <w:szCs w:val="22"/>
          </w:rPr>
          <w:fldChar w:fldCharType="separate"/>
        </w:r>
        <w:r>
          <w:rPr>
            <w:webHidden/>
            <w:sz w:val="22"/>
            <w:szCs w:val="22"/>
          </w:rPr>
          <w:t>3</w:t>
        </w:r>
        <w:r w:rsidR="00AB0151" w:rsidRPr="00AB0151">
          <w:rPr>
            <w:webHidden/>
            <w:sz w:val="22"/>
            <w:szCs w:val="22"/>
          </w:rPr>
          <w:fldChar w:fldCharType="end"/>
        </w:r>
      </w:hyperlink>
    </w:p>
    <w:p w:rsidR="00AB0151" w:rsidRPr="00AB0151" w:rsidRDefault="0079114B" w:rsidP="00AB0151">
      <w:pPr>
        <w:pStyle w:val="TOC1"/>
        <w:spacing w:before="120" w:after="120"/>
        <w:rPr>
          <w:rFonts w:asciiTheme="minorHAnsi" w:eastAsiaTheme="minorEastAsia" w:hAnsiTheme="minorHAnsi" w:cstheme="minorBidi"/>
          <w:b w:val="0"/>
          <w:szCs w:val="22"/>
        </w:rPr>
      </w:pPr>
      <w:hyperlink w:anchor="_Toc451945615" w:history="1">
        <w:r w:rsidR="00AB0151" w:rsidRPr="00AB0151">
          <w:rPr>
            <w:rStyle w:val="Hyperlink"/>
            <w:i/>
            <w:szCs w:val="22"/>
          </w:rPr>
          <w:t>2</w:t>
        </w:r>
        <w:r w:rsidR="00AB0151" w:rsidRPr="00AB0151">
          <w:rPr>
            <w:rFonts w:asciiTheme="minorHAnsi" w:eastAsiaTheme="minorEastAsia" w:hAnsiTheme="minorHAnsi" w:cstheme="minorBidi"/>
            <w:b w:val="0"/>
            <w:szCs w:val="22"/>
          </w:rPr>
          <w:tab/>
        </w:r>
        <w:r w:rsidR="00AB0151" w:rsidRPr="00AB0151">
          <w:rPr>
            <w:rStyle w:val="Hyperlink"/>
            <w:szCs w:val="22"/>
          </w:rPr>
          <w:t>Health and workforce participation of older workers</w:t>
        </w:r>
        <w:r w:rsidR="00AB0151" w:rsidRPr="00AB0151">
          <w:rPr>
            <w:webHidden/>
            <w:szCs w:val="22"/>
          </w:rPr>
          <w:tab/>
        </w:r>
        <w:r w:rsidR="00AB0151" w:rsidRPr="00AB0151">
          <w:rPr>
            <w:webHidden/>
            <w:szCs w:val="22"/>
          </w:rPr>
          <w:fldChar w:fldCharType="begin"/>
        </w:r>
        <w:r w:rsidR="00AB0151" w:rsidRPr="00AB0151">
          <w:rPr>
            <w:webHidden/>
            <w:szCs w:val="22"/>
          </w:rPr>
          <w:instrText xml:space="preserve"> PAGEREF _Toc451945615 \h </w:instrText>
        </w:r>
        <w:r w:rsidR="00AB0151" w:rsidRPr="00AB0151">
          <w:rPr>
            <w:webHidden/>
            <w:szCs w:val="22"/>
          </w:rPr>
        </w:r>
        <w:r w:rsidR="00AB0151" w:rsidRPr="00AB0151">
          <w:rPr>
            <w:webHidden/>
            <w:szCs w:val="22"/>
          </w:rPr>
          <w:fldChar w:fldCharType="separate"/>
        </w:r>
        <w:r>
          <w:rPr>
            <w:webHidden/>
            <w:szCs w:val="22"/>
          </w:rPr>
          <w:t>4</w:t>
        </w:r>
        <w:r w:rsidR="00AB0151" w:rsidRPr="00AB0151">
          <w:rPr>
            <w:webHidden/>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16" w:history="1">
        <w:r w:rsidR="00AB0151" w:rsidRPr="00AB0151">
          <w:rPr>
            <w:rStyle w:val="Hyperlink"/>
            <w:sz w:val="22"/>
            <w:szCs w:val="22"/>
          </w:rPr>
          <w:t>2.1</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The impact of chronic conditions on workforce participation</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_Toc451945616 \h </w:instrText>
        </w:r>
        <w:r w:rsidR="00AB0151" w:rsidRPr="00AB0151">
          <w:rPr>
            <w:webHidden/>
            <w:sz w:val="22"/>
            <w:szCs w:val="22"/>
          </w:rPr>
        </w:r>
        <w:r w:rsidR="00AB0151" w:rsidRPr="00AB0151">
          <w:rPr>
            <w:webHidden/>
            <w:sz w:val="22"/>
            <w:szCs w:val="22"/>
          </w:rPr>
          <w:fldChar w:fldCharType="separate"/>
        </w:r>
        <w:r>
          <w:rPr>
            <w:webHidden/>
            <w:sz w:val="22"/>
            <w:szCs w:val="22"/>
          </w:rPr>
          <w:t>5</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17" w:history="1">
        <w:r w:rsidR="00AB0151" w:rsidRPr="00AB0151">
          <w:rPr>
            <w:rStyle w:val="Hyperlink"/>
            <w:sz w:val="22"/>
            <w:szCs w:val="22"/>
          </w:rPr>
          <w:t>2.2</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Trends and projections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_Toc451945617 \h </w:instrText>
        </w:r>
        <w:r w:rsidR="00AB0151" w:rsidRPr="00AB0151">
          <w:rPr>
            <w:webHidden/>
            <w:sz w:val="22"/>
            <w:szCs w:val="22"/>
          </w:rPr>
        </w:r>
        <w:r w:rsidR="00AB0151" w:rsidRPr="00AB0151">
          <w:rPr>
            <w:webHidden/>
            <w:sz w:val="22"/>
            <w:szCs w:val="22"/>
          </w:rPr>
          <w:fldChar w:fldCharType="separate"/>
        </w:r>
        <w:r>
          <w:rPr>
            <w:webHidden/>
            <w:sz w:val="22"/>
            <w:szCs w:val="22"/>
          </w:rPr>
          <w:t>7</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18" w:history="1">
        <w:r w:rsidR="00AB0151" w:rsidRPr="00AB0151">
          <w:rPr>
            <w:rStyle w:val="Hyperlink"/>
            <w:sz w:val="22"/>
            <w:szCs w:val="22"/>
          </w:rPr>
          <w:t>2.3</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The impact of ageism and negative assumptions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_Toc451945618 \h </w:instrText>
        </w:r>
        <w:r w:rsidR="00AB0151" w:rsidRPr="00AB0151">
          <w:rPr>
            <w:webHidden/>
            <w:sz w:val="22"/>
            <w:szCs w:val="22"/>
          </w:rPr>
        </w:r>
        <w:r w:rsidR="00AB0151" w:rsidRPr="00AB0151">
          <w:rPr>
            <w:webHidden/>
            <w:sz w:val="22"/>
            <w:szCs w:val="22"/>
          </w:rPr>
          <w:fldChar w:fldCharType="separate"/>
        </w:r>
        <w:r>
          <w:rPr>
            <w:webHidden/>
            <w:sz w:val="22"/>
            <w:szCs w:val="22"/>
          </w:rPr>
          <w:t>8</w:t>
        </w:r>
        <w:r w:rsidR="00AB0151" w:rsidRPr="00AB0151">
          <w:rPr>
            <w:webHidden/>
            <w:sz w:val="22"/>
            <w:szCs w:val="22"/>
          </w:rPr>
          <w:fldChar w:fldCharType="end"/>
        </w:r>
      </w:hyperlink>
    </w:p>
    <w:p w:rsidR="00AB0151" w:rsidRPr="00AB0151" w:rsidRDefault="0079114B" w:rsidP="00AB0151">
      <w:pPr>
        <w:pStyle w:val="TOC1"/>
        <w:spacing w:before="120" w:after="120"/>
        <w:rPr>
          <w:rFonts w:asciiTheme="minorHAnsi" w:eastAsiaTheme="minorEastAsia" w:hAnsiTheme="minorHAnsi" w:cstheme="minorBidi"/>
          <w:b w:val="0"/>
          <w:szCs w:val="22"/>
        </w:rPr>
      </w:pPr>
      <w:hyperlink w:anchor="_Toc451945619" w:history="1">
        <w:r w:rsidR="00AB0151" w:rsidRPr="00AB0151">
          <w:rPr>
            <w:rStyle w:val="Hyperlink"/>
            <w:szCs w:val="22"/>
          </w:rPr>
          <w:t>3</w:t>
        </w:r>
        <w:r w:rsidR="00AB0151" w:rsidRPr="00AB0151">
          <w:rPr>
            <w:rFonts w:asciiTheme="minorHAnsi" w:eastAsiaTheme="minorEastAsia" w:hAnsiTheme="minorHAnsi" w:cstheme="minorBidi"/>
            <w:b w:val="0"/>
            <w:szCs w:val="22"/>
          </w:rPr>
          <w:tab/>
        </w:r>
        <w:r w:rsidR="00AB0151" w:rsidRPr="00AB0151">
          <w:rPr>
            <w:rStyle w:val="Hyperlink"/>
            <w:szCs w:val="22"/>
          </w:rPr>
          <w:t>The case for wellbeing and longer working lives</w:t>
        </w:r>
        <w:r w:rsidR="00AB0151" w:rsidRPr="00AB0151">
          <w:rPr>
            <w:webHidden/>
            <w:szCs w:val="22"/>
          </w:rPr>
          <w:tab/>
        </w:r>
        <w:r w:rsidR="00AB0151" w:rsidRPr="00AB0151">
          <w:rPr>
            <w:webHidden/>
            <w:szCs w:val="22"/>
          </w:rPr>
          <w:fldChar w:fldCharType="begin"/>
        </w:r>
        <w:r w:rsidR="00AB0151" w:rsidRPr="00AB0151">
          <w:rPr>
            <w:webHidden/>
            <w:szCs w:val="22"/>
          </w:rPr>
          <w:instrText xml:space="preserve"> PAGEREF _Toc451945619 \h </w:instrText>
        </w:r>
        <w:r w:rsidR="00AB0151" w:rsidRPr="00AB0151">
          <w:rPr>
            <w:webHidden/>
            <w:szCs w:val="22"/>
          </w:rPr>
        </w:r>
        <w:r w:rsidR="00AB0151" w:rsidRPr="00AB0151">
          <w:rPr>
            <w:webHidden/>
            <w:szCs w:val="22"/>
          </w:rPr>
          <w:fldChar w:fldCharType="separate"/>
        </w:r>
        <w:r>
          <w:rPr>
            <w:webHidden/>
            <w:szCs w:val="22"/>
          </w:rPr>
          <w:t>9</w:t>
        </w:r>
        <w:r w:rsidR="00AB0151" w:rsidRPr="00AB0151">
          <w:rPr>
            <w:webHidden/>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0" w:history="1">
        <w:r w:rsidR="00AB0151" w:rsidRPr="00AB0151">
          <w:rPr>
            <w:rStyle w:val="Hyperlink"/>
            <w:sz w:val="22"/>
            <w:szCs w:val="22"/>
          </w:rPr>
          <w:t>3.1</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Government</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_Toc451945620 \h </w:instrText>
        </w:r>
        <w:r w:rsidR="00AB0151" w:rsidRPr="00AB0151">
          <w:rPr>
            <w:webHidden/>
            <w:sz w:val="22"/>
            <w:szCs w:val="22"/>
          </w:rPr>
        </w:r>
        <w:r w:rsidR="00AB0151" w:rsidRPr="00AB0151">
          <w:rPr>
            <w:webHidden/>
            <w:sz w:val="22"/>
            <w:szCs w:val="22"/>
          </w:rPr>
          <w:fldChar w:fldCharType="separate"/>
        </w:r>
        <w:r>
          <w:rPr>
            <w:webHidden/>
            <w:sz w:val="22"/>
            <w:szCs w:val="22"/>
          </w:rPr>
          <w:t>9</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1" w:history="1">
        <w:r w:rsidR="00AB0151" w:rsidRPr="00AB0151">
          <w:rPr>
            <w:rStyle w:val="Hyperlink"/>
            <w:sz w:val="22"/>
            <w:szCs w:val="22"/>
          </w:rPr>
          <w:t>3.2</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Business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_Toc451945621 \h </w:instrText>
        </w:r>
        <w:r w:rsidR="00AB0151" w:rsidRPr="00AB0151">
          <w:rPr>
            <w:webHidden/>
            <w:sz w:val="22"/>
            <w:szCs w:val="22"/>
          </w:rPr>
        </w:r>
        <w:r w:rsidR="00AB0151" w:rsidRPr="00AB0151">
          <w:rPr>
            <w:webHidden/>
            <w:sz w:val="22"/>
            <w:szCs w:val="22"/>
          </w:rPr>
          <w:fldChar w:fldCharType="separate"/>
        </w:r>
        <w:r>
          <w:rPr>
            <w:webHidden/>
            <w:sz w:val="22"/>
            <w:szCs w:val="22"/>
          </w:rPr>
          <w:t>11</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2" w:history="1">
        <w:r w:rsidR="00AB0151" w:rsidRPr="00AB0151">
          <w:rPr>
            <w:rStyle w:val="Hyperlink"/>
            <w:sz w:val="22"/>
            <w:szCs w:val="22"/>
          </w:rPr>
          <w:t>3.3</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Individuals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_Toc451945622 \h </w:instrText>
        </w:r>
        <w:r w:rsidR="00AB0151" w:rsidRPr="00AB0151">
          <w:rPr>
            <w:webHidden/>
            <w:sz w:val="22"/>
            <w:szCs w:val="22"/>
          </w:rPr>
        </w:r>
        <w:r w:rsidR="00AB0151" w:rsidRPr="00AB0151">
          <w:rPr>
            <w:webHidden/>
            <w:sz w:val="22"/>
            <w:szCs w:val="22"/>
          </w:rPr>
          <w:fldChar w:fldCharType="separate"/>
        </w:r>
        <w:r>
          <w:rPr>
            <w:webHidden/>
            <w:sz w:val="22"/>
            <w:szCs w:val="22"/>
          </w:rPr>
          <w:t>12</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3" w:history="1">
        <w:r w:rsidR="00AB0151" w:rsidRPr="00AB0151">
          <w:rPr>
            <w:rStyle w:val="Hyperlink"/>
            <w:sz w:val="22"/>
            <w:szCs w:val="22"/>
          </w:rPr>
          <w:t>3.4</w:t>
        </w:r>
        <w:r w:rsidR="00AB0151" w:rsidRPr="00AB0151">
          <w:rPr>
            <w:rFonts w:asciiTheme="minorHAnsi" w:eastAsiaTheme="minorEastAsia" w:hAnsiTheme="minorHAnsi" w:cstheme="minorBidi"/>
            <w:b w:val="0"/>
            <w:i w:val="0"/>
            <w:sz w:val="22"/>
            <w:szCs w:val="22"/>
          </w:rPr>
          <w:tab/>
        </w:r>
        <w:r w:rsidR="000D33FE">
          <w:rPr>
            <w:rStyle w:val="Hyperlink"/>
            <w:sz w:val="22"/>
            <w:szCs w:val="22"/>
          </w:rPr>
          <w:t>International e</w:t>
        </w:r>
        <w:r w:rsidR="00AB0151" w:rsidRPr="00AB0151">
          <w:rPr>
            <w:rStyle w:val="Hyperlink"/>
            <w:sz w:val="22"/>
            <w:szCs w:val="22"/>
          </w:rPr>
          <w:t>xamples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_Toc451945623 \h </w:instrText>
        </w:r>
        <w:r w:rsidR="00AB0151" w:rsidRPr="00AB0151">
          <w:rPr>
            <w:webHidden/>
            <w:sz w:val="22"/>
            <w:szCs w:val="22"/>
          </w:rPr>
        </w:r>
        <w:r w:rsidR="00AB0151" w:rsidRPr="00AB0151">
          <w:rPr>
            <w:webHidden/>
            <w:sz w:val="22"/>
            <w:szCs w:val="22"/>
          </w:rPr>
          <w:fldChar w:fldCharType="separate"/>
        </w:r>
        <w:r>
          <w:rPr>
            <w:webHidden/>
            <w:sz w:val="22"/>
            <w:szCs w:val="22"/>
          </w:rPr>
          <w:t>15</w:t>
        </w:r>
        <w:r w:rsidR="00AB0151" w:rsidRPr="00AB0151">
          <w:rPr>
            <w:webHidden/>
            <w:sz w:val="22"/>
            <w:szCs w:val="22"/>
          </w:rPr>
          <w:fldChar w:fldCharType="end"/>
        </w:r>
      </w:hyperlink>
    </w:p>
    <w:p w:rsidR="00AB0151" w:rsidRPr="00AB0151" w:rsidRDefault="0079114B" w:rsidP="00AB0151">
      <w:pPr>
        <w:pStyle w:val="TOC1"/>
        <w:spacing w:before="120" w:after="120"/>
        <w:rPr>
          <w:rFonts w:asciiTheme="minorHAnsi" w:eastAsiaTheme="minorEastAsia" w:hAnsiTheme="minorHAnsi" w:cstheme="minorBidi"/>
          <w:b w:val="0"/>
          <w:szCs w:val="22"/>
        </w:rPr>
      </w:pPr>
      <w:hyperlink w:anchor="_Toc451945624" w:history="1">
        <w:r w:rsidR="00AB0151" w:rsidRPr="00AB0151">
          <w:rPr>
            <w:rStyle w:val="Hyperlink"/>
            <w:szCs w:val="22"/>
          </w:rPr>
          <w:t>4</w:t>
        </w:r>
        <w:r w:rsidR="00AB0151" w:rsidRPr="00AB0151">
          <w:rPr>
            <w:rFonts w:asciiTheme="minorHAnsi" w:eastAsiaTheme="minorEastAsia" w:hAnsiTheme="minorHAnsi" w:cstheme="minorBidi"/>
            <w:b w:val="0"/>
            <w:szCs w:val="22"/>
          </w:rPr>
          <w:tab/>
        </w:r>
        <w:r w:rsidR="00AB0151" w:rsidRPr="00AB0151">
          <w:rPr>
            <w:rStyle w:val="Hyperlink"/>
            <w:szCs w:val="22"/>
          </w:rPr>
          <w:t>What can be done to facilitate longer, healthier working lives?</w:t>
        </w:r>
        <w:r w:rsidR="00AB0151" w:rsidRPr="00AB0151">
          <w:rPr>
            <w:webHidden/>
            <w:szCs w:val="22"/>
          </w:rPr>
          <w:tab/>
        </w:r>
        <w:r w:rsidR="00AB0151" w:rsidRPr="00AB0151">
          <w:rPr>
            <w:webHidden/>
            <w:szCs w:val="22"/>
          </w:rPr>
          <w:fldChar w:fldCharType="begin"/>
        </w:r>
        <w:r w:rsidR="00AB0151" w:rsidRPr="00AB0151">
          <w:rPr>
            <w:webHidden/>
            <w:szCs w:val="22"/>
          </w:rPr>
          <w:instrText xml:space="preserve"> PAGEREF _Toc451945624 \h </w:instrText>
        </w:r>
        <w:r w:rsidR="00AB0151" w:rsidRPr="00AB0151">
          <w:rPr>
            <w:webHidden/>
            <w:szCs w:val="22"/>
          </w:rPr>
        </w:r>
        <w:r w:rsidR="00AB0151" w:rsidRPr="00AB0151">
          <w:rPr>
            <w:webHidden/>
            <w:szCs w:val="22"/>
          </w:rPr>
          <w:fldChar w:fldCharType="separate"/>
        </w:r>
        <w:r>
          <w:rPr>
            <w:webHidden/>
            <w:szCs w:val="22"/>
          </w:rPr>
          <w:t>16</w:t>
        </w:r>
        <w:r w:rsidR="00AB0151" w:rsidRPr="00AB0151">
          <w:rPr>
            <w:webHidden/>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5" w:history="1">
        <w:r w:rsidR="00AB0151" w:rsidRPr="00AB0151">
          <w:rPr>
            <w:rStyle w:val="Hyperlink"/>
            <w:sz w:val="22"/>
            <w:szCs w:val="22"/>
          </w:rPr>
          <w:t>4.1</w:t>
        </w:r>
        <w:r w:rsidR="00AB0151" w:rsidRPr="00AB0151">
          <w:rPr>
            <w:rFonts w:asciiTheme="minorHAnsi" w:eastAsiaTheme="minorEastAsia" w:hAnsiTheme="minorHAnsi" w:cstheme="minorBidi"/>
            <w:b w:val="0"/>
            <w:i w:val="0"/>
            <w:sz w:val="22"/>
            <w:szCs w:val="22"/>
          </w:rPr>
          <w:tab/>
        </w:r>
        <w:r w:rsidR="00F67ACC">
          <w:rPr>
            <w:rStyle w:val="Hyperlink"/>
            <w:sz w:val="22"/>
            <w:szCs w:val="22"/>
          </w:rPr>
          <w:t>Public education campaign - r</w:t>
        </w:r>
        <w:r w:rsidR="00AB0151" w:rsidRPr="00AB0151">
          <w:rPr>
            <w:rStyle w:val="Hyperlink"/>
            <w:sz w:val="22"/>
            <w:szCs w:val="22"/>
          </w:rPr>
          <w:t>einforcing the importance of healthy ageing</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_Toc451945625 \h </w:instrText>
        </w:r>
        <w:r w:rsidR="00AB0151" w:rsidRPr="00AB0151">
          <w:rPr>
            <w:webHidden/>
            <w:sz w:val="22"/>
            <w:szCs w:val="22"/>
          </w:rPr>
        </w:r>
        <w:r w:rsidR="00AB0151" w:rsidRPr="00AB0151">
          <w:rPr>
            <w:webHidden/>
            <w:sz w:val="22"/>
            <w:szCs w:val="22"/>
          </w:rPr>
          <w:fldChar w:fldCharType="separate"/>
        </w:r>
        <w:r>
          <w:rPr>
            <w:webHidden/>
            <w:sz w:val="22"/>
            <w:szCs w:val="22"/>
          </w:rPr>
          <w:t>16</w:t>
        </w:r>
        <w:r w:rsidR="00AB0151" w:rsidRPr="00AB0151">
          <w:rPr>
            <w:webHidden/>
            <w:sz w:val="22"/>
            <w:szCs w:val="22"/>
          </w:rPr>
          <w:fldChar w:fldCharType="end"/>
        </w:r>
      </w:hyperlink>
    </w:p>
    <w:p w:rsidR="00AB0151" w:rsidRPr="00AB0151" w:rsidRDefault="0079114B" w:rsidP="00AB0151">
      <w:pPr>
        <w:pStyle w:val="TOC2"/>
        <w:spacing w:before="120" w:after="120"/>
        <w:rPr>
          <w:rFonts w:asciiTheme="minorHAnsi" w:eastAsiaTheme="minorEastAsia" w:hAnsiTheme="minorHAnsi" w:cstheme="minorBidi"/>
          <w:b w:val="0"/>
          <w:i w:val="0"/>
          <w:sz w:val="22"/>
          <w:szCs w:val="22"/>
        </w:rPr>
      </w:pPr>
      <w:hyperlink w:anchor="_Toc451945626" w:history="1">
        <w:r w:rsidR="00AB0151" w:rsidRPr="00AB0151">
          <w:rPr>
            <w:rStyle w:val="Hyperlink"/>
            <w:sz w:val="22"/>
            <w:szCs w:val="22"/>
          </w:rPr>
          <w:t>4.2</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Facilitating good health in the workplace</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_Toc451945626 \h </w:instrText>
        </w:r>
        <w:r w:rsidR="00AB0151" w:rsidRPr="00AB0151">
          <w:rPr>
            <w:webHidden/>
            <w:sz w:val="22"/>
            <w:szCs w:val="22"/>
          </w:rPr>
        </w:r>
        <w:r w:rsidR="00AB0151" w:rsidRPr="00AB0151">
          <w:rPr>
            <w:webHidden/>
            <w:sz w:val="22"/>
            <w:szCs w:val="22"/>
          </w:rPr>
          <w:fldChar w:fldCharType="separate"/>
        </w:r>
        <w:r>
          <w:rPr>
            <w:webHidden/>
            <w:sz w:val="22"/>
            <w:szCs w:val="22"/>
          </w:rPr>
          <w:t>17</w:t>
        </w:r>
        <w:r w:rsidR="00AB0151" w:rsidRPr="00AB0151">
          <w:rPr>
            <w:webHidden/>
            <w:sz w:val="22"/>
            <w:szCs w:val="22"/>
          </w:rPr>
          <w:fldChar w:fldCharType="end"/>
        </w:r>
      </w:hyperlink>
    </w:p>
    <w:p w:rsidR="00AB0151" w:rsidRPr="00AB0151" w:rsidRDefault="0079114B">
      <w:pPr>
        <w:pStyle w:val="TOC2"/>
        <w:rPr>
          <w:rFonts w:asciiTheme="minorHAnsi" w:eastAsiaTheme="minorEastAsia" w:hAnsiTheme="minorHAnsi" w:cstheme="minorBidi"/>
          <w:b w:val="0"/>
          <w:i w:val="0"/>
          <w:sz w:val="22"/>
          <w:szCs w:val="22"/>
        </w:rPr>
      </w:pPr>
      <w:hyperlink w:anchor="_Toc451945627" w:history="1">
        <w:r w:rsidR="00AB0151" w:rsidRPr="00AB0151">
          <w:rPr>
            <w:rStyle w:val="Hyperlink"/>
            <w:sz w:val="22"/>
            <w:szCs w:val="22"/>
          </w:rPr>
          <w:t>4.3</w:t>
        </w:r>
        <w:r w:rsidR="00AB0151" w:rsidRPr="00AB0151">
          <w:rPr>
            <w:rFonts w:asciiTheme="minorHAnsi" w:eastAsiaTheme="minorEastAsia" w:hAnsiTheme="minorHAnsi" w:cstheme="minorBidi"/>
            <w:b w:val="0"/>
            <w:i w:val="0"/>
            <w:sz w:val="22"/>
            <w:szCs w:val="22"/>
          </w:rPr>
          <w:tab/>
        </w:r>
        <w:r w:rsidR="00AB0151" w:rsidRPr="00AB0151">
          <w:rPr>
            <w:rStyle w:val="Hyperlink"/>
            <w:sz w:val="22"/>
            <w:szCs w:val="22"/>
          </w:rPr>
          <w:t>Organisational support and workplace adjustments</w:t>
        </w:r>
        <w:r w:rsidR="00AB0151" w:rsidRPr="00AB0151">
          <w:rPr>
            <w:webHidden/>
            <w:sz w:val="22"/>
            <w:szCs w:val="22"/>
          </w:rPr>
          <w:tab/>
        </w:r>
        <w:r w:rsidR="00AB0151" w:rsidRPr="00AB0151">
          <w:rPr>
            <w:webHidden/>
            <w:sz w:val="22"/>
            <w:szCs w:val="22"/>
          </w:rPr>
          <w:fldChar w:fldCharType="begin"/>
        </w:r>
        <w:r w:rsidR="00AB0151" w:rsidRPr="00AB0151">
          <w:rPr>
            <w:webHidden/>
            <w:sz w:val="22"/>
            <w:szCs w:val="22"/>
          </w:rPr>
          <w:instrText xml:space="preserve"> PAGEREF _Toc451945627 \h </w:instrText>
        </w:r>
        <w:r w:rsidR="00AB0151" w:rsidRPr="00AB0151">
          <w:rPr>
            <w:webHidden/>
            <w:sz w:val="22"/>
            <w:szCs w:val="22"/>
          </w:rPr>
        </w:r>
        <w:r w:rsidR="00AB0151" w:rsidRPr="00AB0151">
          <w:rPr>
            <w:webHidden/>
            <w:sz w:val="22"/>
            <w:szCs w:val="22"/>
          </w:rPr>
          <w:fldChar w:fldCharType="separate"/>
        </w:r>
        <w:r>
          <w:rPr>
            <w:webHidden/>
            <w:sz w:val="22"/>
            <w:szCs w:val="22"/>
          </w:rPr>
          <w:t>18</w:t>
        </w:r>
        <w:r w:rsidR="00AB0151" w:rsidRPr="00AB0151">
          <w:rPr>
            <w:webHidden/>
            <w:sz w:val="22"/>
            <w:szCs w:val="22"/>
          </w:rPr>
          <w:fldChar w:fldCharType="end"/>
        </w:r>
      </w:hyperlink>
    </w:p>
    <w:p w:rsidR="00AB0151" w:rsidRDefault="00B63D24" w:rsidP="00AB0151">
      <w:r>
        <w:fldChar w:fldCharType="end"/>
      </w:r>
    </w:p>
    <w:p w:rsidR="00B34946" w:rsidRDefault="00B34946"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9B171D" w:rsidRDefault="009B171D" w:rsidP="00AB0151"/>
    <w:p w:rsidR="00AB0151" w:rsidRPr="0091122F" w:rsidRDefault="00AB0151" w:rsidP="00AB0151">
      <w:pPr>
        <w:pStyle w:val="Heading1"/>
        <w:numPr>
          <w:ilvl w:val="0"/>
          <w:numId w:val="38"/>
        </w:numPr>
        <w:rPr>
          <w:sz w:val="24"/>
        </w:rPr>
      </w:pPr>
      <w:bookmarkStart w:id="3" w:name="_Toc451945613"/>
      <w:r w:rsidRPr="0091122F">
        <w:rPr>
          <w:sz w:val="24"/>
        </w:rPr>
        <w:lastRenderedPageBreak/>
        <w:t>Introduction</w:t>
      </w:r>
      <w:bookmarkEnd w:id="3"/>
    </w:p>
    <w:p w:rsidR="00AB0151" w:rsidRDefault="00AB0151" w:rsidP="00AB0151">
      <w:pPr>
        <w:spacing w:before="0" w:after="0"/>
        <w:rPr>
          <w:sz w:val="22"/>
          <w:szCs w:val="22"/>
        </w:rPr>
      </w:pPr>
      <w:r>
        <w:rPr>
          <w:sz w:val="22"/>
          <w:szCs w:val="22"/>
        </w:rPr>
        <w:t xml:space="preserve">This </w:t>
      </w:r>
      <w:r w:rsidRPr="00AF73D2">
        <w:rPr>
          <w:sz w:val="22"/>
          <w:szCs w:val="22"/>
        </w:rPr>
        <w:t xml:space="preserve">paper </w:t>
      </w:r>
      <w:r>
        <w:rPr>
          <w:sz w:val="22"/>
          <w:szCs w:val="22"/>
        </w:rPr>
        <w:t xml:space="preserve">expands on the evidence presented in the </w:t>
      </w:r>
      <w:r>
        <w:rPr>
          <w:i/>
          <w:sz w:val="22"/>
          <w:szCs w:val="22"/>
        </w:rPr>
        <w:t>Willing to Work Inquiry</w:t>
      </w:r>
      <w:r>
        <w:rPr>
          <w:sz w:val="22"/>
          <w:szCs w:val="22"/>
        </w:rPr>
        <w:t xml:space="preserve"> regarding the link between health and workforce participation. </w:t>
      </w:r>
      <w:r w:rsidRPr="00AF73D2">
        <w:rPr>
          <w:sz w:val="22"/>
          <w:szCs w:val="22"/>
        </w:rPr>
        <w:t xml:space="preserve">As a critical factor of ongoing workforce participation it is important to analyse how improvements in health and related workplace practices can facilitate and enhance policies aimed at increasing </w:t>
      </w:r>
      <w:r>
        <w:rPr>
          <w:sz w:val="22"/>
          <w:szCs w:val="22"/>
        </w:rPr>
        <w:t xml:space="preserve">the </w:t>
      </w:r>
      <w:r w:rsidRPr="00AF73D2">
        <w:rPr>
          <w:sz w:val="22"/>
          <w:szCs w:val="22"/>
        </w:rPr>
        <w:t>workforce participation</w:t>
      </w:r>
      <w:r>
        <w:rPr>
          <w:sz w:val="22"/>
          <w:szCs w:val="22"/>
        </w:rPr>
        <w:t xml:space="preserve"> of older people.</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 Significantly, current evidence shows that:</w:t>
      </w:r>
    </w:p>
    <w:p w:rsidR="00AB0151" w:rsidRPr="00671AE5" w:rsidRDefault="00AB0151" w:rsidP="00AB0151">
      <w:pPr>
        <w:pStyle w:val="ListParagraph"/>
        <w:numPr>
          <w:ilvl w:val="0"/>
          <w:numId w:val="39"/>
        </w:numPr>
        <w:spacing w:before="0" w:after="0"/>
        <w:rPr>
          <w:sz w:val="22"/>
          <w:szCs w:val="22"/>
        </w:rPr>
      </w:pPr>
      <w:r>
        <w:rPr>
          <w:sz w:val="22"/>
          <w:szCs w:val="22"/>
        </w:rPr>
        <w:t>People with ‘fair’ or ‘poor’ health status are less likely to be employed. This effect is felt more acutely by older workers and those with multiple chronic health conditions.</w:t>
      </w:r>
    </w:p>
    <w:p w:rsidR="00AB0151" w:rsidRPr="00671AE5" w:rsidRDefault="00AB0151" w:rsidP="00AB0151">
      <w:pPr>
        <w:pStyle w:val="ListParagraph"/>
        <w:numPr>
          <w:ilvl w:val="0"/>
          <w:numId w:val="39"/>
        </w:numPr>
        <w:spacing w:before="0" w:after="0"/>
        <w:rPr>
          <w:sz w:val="22"/>
          <w:szCs w:val="22"/>
        </w:rPr>
      </w:pPr>
      <w:r>
        <w:rPr>
          <w:sz w:val="22"/>
          <w:szCs w:val="22"/>
        </w:rPr>
        <w:t>Those who retire for health reasons, retire on average earlier than those retiring for any other reason.</w:t>
      </w:r>
    </w:p>
    <w:p w:rsidR="00AB0151" w:rsidRPr="001361A0" w:rsidRDefault="00AB0151" w:rsidP="00AB0151">
      <w:pPr>
        <w:pStyle w:val="ListParagraph"/>
        <w:numPr>
          <w:ilvl w:val="0"/>
          <w:numId w:val="39"/>
        </w:numPr>
        <w:spacing w:before="0" w:after="0"/>
        <w:rPr>
          <w:sz w:val="22"/>
          <w:szCs w:val="22"/>
        </w:rPr>
      </w:pPr>
      <w:r>
        <w:rPr>
          <w:sz w:val="22"/>
          <w:szCs w:val="22"/>
        </w:rPr>
        <w:t>There is a significant cost to government, business and individuals, as a result of this reduced workforce participation.</w:t>
      </w:r>
    </w:p>
    <w:p w:rsidR="00AB0151"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 xml:space="preserve">The </w:t>
      </w:r>
      <w:r w:rsidRPr="00AF73D2">
        <w:rPr>
          <w:i/>
          <w:sz w:val="22"/>
          <w:szCs w:val="22"/>
        </w:rPr>
        <w:t>National prevalence survey of age discrimination in the workplace</w:t>
      </w:r>
      <w:r>
        <w:rPr>
          <w:sz w:val="22"/>
          <w:szCs w:val="22"/>
        </w:rPr>
        <w:t xml:space="preserve"> </w:t>
      </w:r>
      <w:r w:rsidRPr="003349CF">
        <w:rPr>
          <w:sz w:val="22"/>
          <w:szCs w:val="22"/>
        </w:rPr>
        <w:t>asked Australians</w:t>
      </w:r>
      <w:r>
        <w:rPr>
          <w:sz w:val="22"/>
          <w:szCs w:val="22"/>
        </w:rPr>
        <w:t xml:space="preserve"> aged</w:t>
      </w:r>
      <w:r w:rsidRPr="003349CF">
        <w:rPr>
          <w:sz w:val="22"/>
          <w:szCs w:val="22"/>
        </w:rPr>
        <w:t xml:space="preserve"> 50 years and older who did not participate in the workforce in the previous two years, but would have liked to, to provide their reasons for not working. The most common reason reported related to health (44%)</w:t>
      </w:r>
      <w:r>
        <w:rPr>
          <w:sz w:val="22"/>
          <w:szCs w:val="22"/>
        </w:rPr>
        <w:t>.</w:t>
      </w:r>
      <w:r w:rsidRPr="00AF73D2">
        <w:rPr>
          <w:rStyle w:val="EndnoteReference"/>
          <w:sz w:val="22"/>
          <w:szCs w:val="22"/>
        </w:rPr>
        <w:endnoteReference w:id="1"/>
      </w:r>
      <w:r>
        <w:rPr>
          <w:sz w:val="22"/>
          <w:szCs w:val="22"/>
        </w:rPr>
        <w:t xml:space="preserve"> </w:t>
      </w:r>
    </w:p>
    <w:p w:rsidR="00AB0151" w:rsidRDefault="00AB0151" w:rsidP="00AB0151">
      <w:pPr>
        <w:spacing w:before="0" w:after="0"/>
        <w:rPr>
          <w:sz w:val="22"/>
          <w:szCs w:val="22"/>
        </w:rPr>
      </w:pPr>
    </w:p>
    <w:p w:rsidR="00AB0151" w:rsidRDefault="00AB0151" w:rsidP="00AB0151">
      <w:pPr>
        <w:shd w:val="clear" w:color="auto" w:fill="FFFFFF"/>
        <w:spacing w:before="0" w:after="0"/>
        <w:rPr>
          <w:sz w:val="22"/>
          <w:szCs w:val="22"/>
        </w:rPr>
      </w:pPr>
      <w:r>
        <w:rPr>
          <w:sz w:val="22"/>
          <w:szCs w:val="22"/>
        </w:rPr>
        <w:t xml:space="preserve">The Report of the </w:t>
      </w:r>
      <w:r>
        <w:rPr>
          <w:i/>
          <w:sz w:val="22"/>
          <w:szCs w:val="22"/>
        </w:rPr>
        <w:t>Willing to Work Inquiry</w:t>
      </w:r>
      <w:r>
        <w:rPr>
          <w:sz w:val="22"/>
          <w:szCs w:val="22"/>
        </w:rPr>
        <w:t xml:space="preserve">, in keeping with its terms of reference, made 56 recommendations aimed at reducing the prevalence of age and disability discrimination in employment and overcoming barriers to work currently experienced by older Australians and Australians with disability. </w:t>
      </w:r>
      <w:r w:rsidR="001C7AAC">
        <w:rPr>
          <w:sz w:val="22"/>
          <w:szCs w:val="22"/>
        </w:rPr>
        <w:t xml:space="preserve">The full report is available at </w:t>
      </w:r>
      <w:hyperlink r:id="rId12" w:history="1">
        <w:r w:rsidR="001C7AAC" w:rsidRPr="00453443">
          <w:rPr>
            <w:rStyle w:val="Hyperlink"/>
            <w:sz w:val="22"/>
            <w:szCs w:val="22"/>
          </w:rPr>
          <w:t>www.humanrights.gov.au/news/stories/willing-work-national-report-released</w:t>
        </w:r>
      </w:hyperlink>
    </w:p>
    <w:p w:rsidR="00AB0151" w:rsidRDefault="00AB0151" w:rsidP="00AB0151">
      <w:pPr>
        <w:shd w:val="clear" w:color="auto" w:fill="FFFFFF"/>
        <w:spacing w:before="0" w:after="0"/>
        <w:rPr>
          <w:sz w:val="22"/>
          <w:szCs w:val="22"/>
        </w:rPr>
      </w:pPr>
    </w:p>
    <w:p w:rsidR="00AB0151" w:rsidRDefault="00AB0151" w:rsidP="00AB0151">
      <w:pPr>
        <w:shd w:val="clear" w:color="auto" w:fill="FFFFFF"/>
        <w:spacing w:before="0" w:after="0"/>
        <w:rPr>
          <w:sz w:val="22"/>
          <w:szCs w:val="22"/>
        </w:rPr>
      </w:pPr>
      <w:r>
        <w:rPr>
          <w:sz w:val="22"/>
          <w:szCs w:val="22"/>
        </w:rPr>
        <w:t xml:space="preserve">The Report includes five recommendations specifically related to healthy ageing. These are listed below numbered as they appear in the </w:t>
      </w:r>
      <w:r w:rsidRPr="00017A7A">
        <w:rPr>
          <w:i/>
          <w:sz w:val="22"/>
          <w:szCs w:val="22"/>
        </w:rPr>
        <w:t>Willing to Work Report</w:t>
      </w:r>
      <w:r>
        <w:rPr>
          <w:sz w:val="22"/>
          <w:szCs w:val="22"/>
        </w:rPr>
        <w:t>. Taken together the aim of these recommendations is to reduce the prevalence of chronic health conditions and facilitate better support for people with chronic health conditions so that they can remain in the workforce for longer.</w:t>
      </w:r>
    </w:p>
    <w:p w:rsidR="00AB0151" w:rsidRPr="00AB0151" w:rsidRDefault="00AB0151" w:rsidP="00AB0151">
      <w:pPr>
        <w:pStyle w:val="Heading2"/>
        <w:numPr>
          <w:ilvl w:val="1"/>
          <w:numId w:val="38"/>
        </w:numPr>
        <w:spacing w:before="240"/>
        <w:rPr>
          <w:sz w:val="22"/>
        </w:rPr>
      </w:pPr>
      <w:bookmarkStart w:id="4" w:name="_Toc451945614"/>
      <w:r w:rsidRPr="00AB0151">
        <w:rPr>
          <w:sz w:val="22"/>
        </w:rPr>
        <w:t>Recommendations</w:t>
      </w:r>
      <w:bookmarkEnd w:id="4"/>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13:</w:t>
            </w:r>
            <w:r w:rsidRPr="006C7D03">
              <w:rPr>
                <w:sz w:val="22"/>
              </w:rPr>
              <w:t xml:space="preserve"> That the Australian Government develop and implement a national healthy ageing strategy to promote evidence-based preventative health practice particularly in the employment context, and improve access to workplace adjustments. This strategy is to be supported and overseen by an expert advisory panel. As part of this strategy the government will actively engage industry groups, peak bodies and trade unions.</w:t>
            </w:r>
          </w:p>
        </w:tc>
      </w:tr>
    </w:tbl>
    <w:p w:rsidR="00AB0151" w:rsidRDefault="00AB0151" w:rsidP="00AB0151">
      <w:pPr>
        <w:spacing w:before="0" w:after="0"/>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14:</w:t>
            </w:r>
            <w:r w:rsidRPr="006C7D03">
              <w:rPr>
                <w:sz w:val="22"/>
              </w:rPr>
              <w:t xml:space="preserve"> That the Australian Government develop a national public education campaign that reinforces the importance of healthy ageing, and in particular, emphasises the relationship between health and work.</w:t>
            </w:r>
          </w:p>
        </w:tc>
      </w:tr>
    </w:tbl>
    <w:p w:rsidR="00AB0151" w:rsidRDefault="00AB0151" w:rsidP="00AB0151">
      <w:pPr>
        <w:shd w:val="clear" w:color="auto" w:fill="FFFFFF"/>
        <w:spacing w:before="0" w:after="0"/>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15:</w:t>
            </w:r>
            <w:r w:rsidRPr="006C7D03">
              <w:rPr>
                <w:sz w:val="22"/>
              </w:rPr>
              <w:t xml:space="preserve"> That the Australian Government investigate the provision of tax or other financial incentives to encourage business and employers to adopt health and wellbeing initiatives e.g. extend the fringe benefits tax exemption to off-site fitness services, and broaden the Medicare benefits scheme to exercise programs for people with chronic conditions.</w:t>
            </w:r>
          </w:p>
        </w:tc>
      </w:tr>
    </w:tbl>
    <w:p w:rsidR="00AB0151" w:rsidRDefault="00AB0151" w:rsidP="00AB0151">
      <w:pPr>
        <w:shd w:val="clear" w:color="auto" w:fill="FFFFFF"/>
        <w:spacing w:before="0" w:after="0"/>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rPr>
                <w:sz w:val="22"/>
                <w:szCs w:val="22"/>
              </w:rPr>
            </w:pPr>
            <w:r w:rsidRPr="006C7D03">
              <w:rPr>
                <w:b/>
                <w:sz w:val="22"/>
                <w:szCs w:val="22"/>
              </w:rPr>
              <w:lastRenderedPageBreak/>
              <w:t>Recommendation 16:</w:t>
            </w:r>
            <w:r w:rsidRPr="006C7D03">
              <w:rPr>
                <w:sz w:val="22"/>
                <w:szCs w:val="22"/>
              </w:rPr>
              <w:t xml:space="preserve"> That the Australian Government establish and fund a healthy and productive workers initiative, to be administered jointly by government departments including the Department of Health and Department of Employment to actively promote evidence-based workplace health programs, disseminate information and showcase good practice.</w:t>
            </w:r>
          </w:p>
        </w:tc>
      </w:tr>
    </w:tbl>
    <w:p w:rsidR="00AB0151" w:rsidRDefault="00AB0151" w:rsidP="00AB0151">
      <w:pPr>
        <w:shd w:val="clear" w:color="auto" w:fill="FFFFFF"/>
        <w:spacing w:before="0" w:after="0"/>
        <w:rPr>
          <w:sz w:val="22"/>
          <w:szCs w:val="22"/>
        </w:rPr>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Pr="00BF1A8E" w:rsidRDefault="00AB0151" w:rsidP="00AB0151">
            <w:pPr>
              <w:spacing w:before="120" w:after="120"/>
              <w:rPr>
                <w:sz w:val="22"/>
                <w:szCs w:val="22"/>
              </w:rPr>
            </w:pPr>
            <w:r w:rsidRPr="00BF1A8E">
              <w:rPr>
                <w:b/>
                <w:sz w:val="22"/>
                <w:szCs w:val="22"/>
              </w:rPr>
              <w:t>Recommendation 17:</w:t>
            </w:r>
            <w:r w:rsidRPr="00BF1A8E">
              <w:rPr>
                <w:sz w:val="22"/>
                <w:szCs w:val="22"/>
              </w:rPr>
              <w:t xml:space="preserve"> That to support continuing workforce participation and to improve access to workplace adjustments for people with chronic health conditions, the Australian Government:</w:t>
            </w:r>
          </w:p>
          <w:p w:rsidR="00AB0151" w:rsidRPr="00BF1A8E" w:rsidRDefault="00AB0151" w:rsidP="00AB0151">
            <w:pPr>
              <w:pStyle w:val="ListParagraph"/>
              <w:numPr>
                <w:ilvl w:val="0"/>
                <w:numId w:val="41"/>
              </w:numPr>
              <w:spacing w:before="120" w:after="120"/>
              <w:rPr>
                <w:sz w:val="22"/>
                <w:szCs w:val="22"/>
              </w:rPr>
            </w:pPr>
            <w:r w:rsidRPr="00BF1A8E">
              <w:rPr>
                <w:sz w:val="22"/>
                <w:szCs w:val="22"/>
              </w:rPr>
              <w:t>expand the Employment Assistance Fund to include training for managers and co-workers about employees with chronic health conditions</w:t>
            </w:r>
          </w:p>
          <w:p w:rsidR="00AB0151" w:rsidRPr="00BF1A8E" w:rsidRDefault="00AB0151" w:rsidP="00AB0151">
            <w:pPr>
              <w:pStyle w:val="ListParagraph"/>
              <w:numPr>
                <w:ilvl w:val="0"/>
                <w:numId w:val="41"/>
              </w:numPr>
              <w:spacing w:before="120" w:after="120"/>
              <w:rPr>
                <w:sz w:val="22"/>
                <w:szCs w:val="22"/>
              </w:rPr>
            </w:pPr>
            <w:r w:rsidRPr="00BF1A8E">
              <w:rPr>
                <w:sz w:val="22"/>
                <w:szCs w:val="22"/>
              </w:rPr>
              <w:t>develop information and resources provided by JobAccess that specifically address workplace adjustments for employees with chronic health conditions</w:t>
            </w:r>
          </w:p>
          <w:p w:rsidR="00AB0151" w:rsidRPr="00BF1A8E" w:rsidRDefault="00AB0151" w:rsidP="00AB0151">
            <w:pPr>
              <w:pStyle w:val="ListParagraph"/>
              <w:numPr>
                <w:ilvl w:val="0"/>
                <w:numId w:val="41"/>
              </w:numPr>
              <w:spacing w:before="120" w:after="120"/>
              <w:rPr>
                <w:sz w:val="22"/>
                <w:szCs w:val="22"/>
              </w:rPr>
            </w:pPr>
            <w:r w:rsidRPr="00BF1A8E">
              <w:rPr>
                <w:sz w:val="22"/>
                <w:szCs w:val="22"/>
              </w:rPr>
              <w:t>review the current EAF guidelines to ensure they do not exclude people with chronic health conditions from accessing workplace adjustments.</w:t>
            </w:r>
          </w:p>
        </w:tc>
      </w:tr>
    </w:tbl>
    <w:p w:rsidR="00AB0151" w:rsidRDefault="00AB0151" w:rsidP="00AB0151">
      <w:pPr>
        <w:shd w:val="clear" w:color="auto" w:fill="FFFFFF"/>
        <w:spacing w:before="0" w:after="0"/>
        <w:rPr>
          <w:sz w:val="22"/>
          <w:szCs w:val="22"/>
        </w:rPr>
      </w:pPr>
    </w:p>
    <w:p w:rsidR="00AB0151" w:rsidRPr="008F5C62" w:rsidRDefault="00AB0151" w:rsidP="00AB0151">
      <w:pPr>
        <w:spacing w:before="0" w:after="0"/>
        <w:rPr>
          <w:sz w:val="22"/>
          <w:szCs w:val="22"/>
        </w:rPr>
      </w:pPr>
      <w:r>
        <w:rPr>
          <w:sz w:val="22"/>
          <w:szCs w:val="22"/>
        </w:rPr>
        <w:t>The first two sections of this paper provide an overview of the impact of health on workforce participation and highlight the case for wellbeing from individual, business and government perspectives.</w:t>
      </w:r>
      <w:r w:rsidRPr="00004B9C">
        <w:rPr>
          <w:sz w:val="22"/>
          <w:szCs w:val="22"/>
        </w:rPr>
        <w:t xml:space="preserve"> </w:t>
      </w:r>
      <w:r>
        <w:rPr>
          <w:sz w:val="22"/>
          <w:szCs w:val="22"/>
        </w:rPr>
        <w:t xml:space="preserve">The final section of this paper presents potential ways to facilitate longer and healthier working lives. </w:t>
      </w:r>
    </w:p>
    <w:p w:rsidR="00AB0151" w:rsidRPr="0091122F" w:rsidRDefault="00AB0151" w:rsidP="00AB0151">
      <w:pPr>
        <w:pStyle w:val="Heading1"/>
        <w:numPr>
          <w:ilvl w:val="0"/>
          <w:numId w:val="38"/>
        </w:numPr>
        <w:rPr>
          <w:i/>
          <w:sz w:val="24"/>
        </w:rPr>
      </w:pPr>
      <w:bookmarkStart w:id="5" w:name="_Toc451945615"/>
      <w:r w:rsidRPr="0091122F">
        <w:rPr>
          <w:sz w:val="24"/>
        </w:rPr>
        <w:t>Health and workforce participation of older workers</w:t>
      </w:r>
      <w:bookmarkEnd w:id="5"/>
    </w:p>
    <w:p w:rsidR="00AB0151" w:rsidRPr="00AF73D2" w:rsidRDefault="00AB0151" w:rsidP="00AB0151">
      <w:pPr>
        <w:spacing w:before="0" w:after="0"/>
        <w:rPr>
          <w:sz w:val="22"/>
          <w:szCs w:val="22"/>
        </w:rPr>
      </w:pPr>
      <w:r w:rsidRPr="00AF73D2">
        <w:rPr>
          <w:sz w:val="22"/>
          <w:szCs w:val="22"/>
        </w:rPr>
        <w:t xml:space="preserve">Poor health is a leading cause of premature </w:t>
      </w:r>
      <w:r>
        <w:rPr>
          <w:sz w:val="22"/>
          <w:szCs w:val="22"/>
        </w:rPr>
        <w:t xml:space="preserve">and involuntary </w:t>
      </w:r>
      <w:r w:rsidRPr="00AF73D2">
        <w:rPr>
          <w:sz w:val="22"/>
          <w:szCs w:val="22"/>
        </w:rPr>
        <w:t xml:space="preserve">exit from the </w:t>
      </w:r>
      <w:r>
        <w:rPr>
          <w:sz w:val="22"/>
          <w:szCs w:val="22"/>
        </w:rPr>
        <w:t>work</w:t>
      </w:r>
      <w:r w:rsidRPr="00AF73D2">
        <w:rPr>
          <w:sz w:val="22"/>
          <w:szCs w:val="22"/>
        </w:rPr>
        <w:t>force. It has been reported that 50% of men and 20% of women who retire from full-time work before the age of 55 years do so because of ill health</w:t>
      </w:r>
      <w:r>
        <w:rPr>
          <w:sz w:val="22"/>
          <w:szCs w:val="22"/>
        </w:rPr>
        <w:t>.</w:t>
      </w:r>
      <w:r w:rsidRPr="00AF73D2">
        <w:rPr>
          <w:rStyle w:val="EndnoteReference"/>
          <w:sz w:val="22"/>
          <w:szCs w:val="22"/>
        </w:rPr>
        <w:endnoteReference w:id="2"/>
      </w:r>
      <w:r w:rsidRPr="00AF73D2">
        <w:rPr>
          <w:sz w:val="22"/>
          <w:szCs w:val="22"/>
        </w:rPr>
        <w:t xml:space="preserve"> </w:t>
      </w:r>
    </w:p>
    <w:p w:rsidR="00AB0151" w:rsidRPr="00AF73D2" w:rsidRDefault="00AB0151" w:rsidP="00AB0151">
      <w:pPr>
        <w:spacing w:before="0" w:after="0"/>
        <w:rPr>
          <w:sz w:val="22"/>
          <w:szCs w:val="22"/>
        </w:rPr>
      </w:pPr>
    </w:p>
    <w:p w:rsidR="00AB0151" w:rsidRPr="00AF73D2" w:rsidRDefault="00AB0151" w:rsidP="00C76517">
      <w:pPr>
        <w:spacing w:before="0" w:after="0"/>
        <w:rPr>
          <w:sz w:val="22"/>
          <w:szCs w:val="22"/>
        </w:rPr>
      </w:pPr>
      <w:r w:rsidRPr="00AF73D2">
        <w:rPr>
          <w:sz w:val="22"/>
          <w:szCs w:val="22"/>
        </w:rPr>
        <w:t xml:space="preserve">Recent research by AMP and the National Centre for Social and Economic Modelling (AMP.NATSEM) has shown that older Australians with a self-rated health status of </w:t>
      </w:r>
      <w:r>
        <w:rPr>
          <w:sz w:val="22"/>
          <w:szCs w:val="22"/>
        </w:rPr>
        <w:t>‘</w:t>
      </w:r>
      <w:r w:rsidRPr="00AF73D2">
        <w:rPr>
          <w:sz w:val="22"/>
          <w:szCs w:val="22"/>
        </w:rPr>
        <w:t>fair</w:t>
      </w:r>
      <w:r>
        <w:rPr>
          <w:sz w:val="22"/>
          <w:szCs w:val="22"/>
        </w:rPr>
        <w:t>’</w:t>
      </w:r>
      <w:r w:rsidRPr="00AF73D2">
        <w:rPr>
          <w:sz w:val="22"/>
          <w:szCs w:val="22"/>
        </w:rPr>
        <w:t xml:space="preserve"> or </w:t>
      </w:r>
      <w:r>
        <w:rPr>
          <w:sz w:val="22"/>
          <w:szCs w:val="22"/>
        </w:rPr>
        <w:t>‘</w:t>
      </w:r>
      <w:r w:rsidRPr="00AF73D2">
        <w:rPr>
          <w:sz w:val="22"/>
          <w:szCs w:val="22"/>
        </w:rPr>
        <w:t>poor</w:t>
      </w:r>
      <w:r>
        <w:rPr>
          <w:sz w:val="22"/>
          <w:szCs w:val="22"/>
        </w:rPr>
        <w:t>’</w:t>
      </w:r>
      <w:r w:rsidRPr="00AF73D2">
        <w:rPr>
          <w:sz w:val="22"/>
          <w:szCs w:val="22"/>
        </w:rPr>
        <w:t xml:space="preserve"> are significantly less likely to remain in the workforce </w:t>
      </w:r>
      <w:r>
        <w:rPr>
          <w:sz w:val="22"/>
          <w:szCs w:val="22"/>
        </w:rPr>
        <w:t>compared</w:t>
      </w:r>
      <w:r w:rsidRPr="00AF73D2">
        <w:rPr>
          <w:sz w:val="22"/>
          <w:szCs w:val="22"/>
        </w:rPr>
        <w:t xml:space="preserve"> to </w:t>
      </w:r>
      <w:r>
        <w:rPr>
          <w:sz w:val="22"/>
          <w:szCs w:val="22"/>
        </w:rPr>
        <w:t>those</w:t>
      </w:r>
      <w:r w:rsidRPr="00AF73D2">
        <w:rPr>
          <w:sz w:val="22"/>
          <w:szCs w:val="22"/>
        </w:rPr>
        <w:t xml:space="preserve"> who rate their health as </w:t>
      </w:r>
      <w:r>
        <w:rPr>
          <w:sz w:val="22"/>
          <w:szCs w:val="22"/>
        </w:rPr>
        <w:t>‘</w:t>
      </w:r>
      <w:r w:rsidRPr="00AF73D2">
        <w:rPr>
          <w:sz w:val="22"/>
          <w:szCs w:val="22"/>
        </w:rPr>
        <w:t>good</w:t>
      </w:r>
      <w:r>
        <w:rPr>
          <w:sz w:val="22"/>
          <w:szCs w:val="22"/>
        </w:rPr>
        <w:t>’</w:t>
      </w:r>
      <w:r w:rsidRPr="00AF73D2">
        <w:rPr>
          <w:sz w:val="22"/>
          <w:szCs w:val="22"/>
        </w:rPr>
        <w:t xml:space="preserve"> or </w:t>
      </w:r>
      <w:r>
        <w:rPr>
          <w:sz w:val="22"/>
          <w:szCs w:val="22"/>
        </w:rPr>
        <w:t>‘</w:t>
      </w:r>
      <w:r w:rsidRPr="00AF73D2">
        <w:rPr>
          <w:sz w:val="22"/>
          <w:szCs w:val="22"/>
        </w:rPr>
        <w:t>excellent</w:t>
      </w:r>
      <w:r>
        <w:rPr>
          <w:sz w:val="22"/>
          <w:szCs w:val="22"/>
        </w:rPr>
        <w:t>’.</w:t>
      </w:r>
      <w:r w:rsidRPr="00AF73D2">
        <w:rPr>
          <w:rStyle w:val="EndnoteReference"/>
          <w:sz w:val="22"/>
          <w:szCs w:val="22"/>
        </w:rPr>
        <w:endnoteReference w:id="3"/>
      </w:r>
      <w:r w:rsidRPr="00AF73D2">
        <w:rPr>
          <w:sz w:val="22"/>
          <w:szCs w:val="22"/>
        </w:rPr>
        <w:t xml:space="preserve"> The decrease in workforce participation with worsening health status is shown in Fi</w:t>
      </w:r>
      <w:r w:rsidR="00C76517">
        <w:rPr>
          <w:sz w:val="22"/>
          <w:szCs w:val="22"/>
        </w:rPr>
        <w:t>gure 1.</w:t>
      </w: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0F8AE1C4" wp14:editId="5E03D3A6">
            <wp:extent cx="5788025" cy="3071004"/>
            <wp:effectExtent l="0" t="0" r="3175" b="0"/>
            <wp:docPr id="2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B0151" w:rsidRPr="008E4F5D">
        <w:rPr>
          <w:sz w:val="20"/>
          <w:szCs w:val="22"/>
        </w:rPr>
        <w:t>Source: AMP.NATSEM</w:t>
      </w:r>
      <w:r w:rsidR="00AB0151" w:rsidRPr="00AF73D2">
        <w:rPr>
          <w:rStyle w:val="EndnoteReference"/>
          <w:sz w:val="22"/>
          <w:szCs w:val="22"/>
        </w:rPr>
        <w:endnoteReference w:id="4"/>
      </w:r>
    </w:p>
    <w:p w:rsidR="00AB0151" w:rsidRPr="00AF73D2" w:rsidRDefault="00AB0151" w:rsidP="00AB0151">
      <w:pPr>
        <w:spacing w:before="0" w:after="0"/>
        <w:jc w:val="both"/>
        <w:rPr>
          <w:sz w:val="22"/>
          <w:szCs w:val="22"/>
        </w:rPr>
      </w:pPr>
    </w:p>
    <w:p w:rsidR="00AB0151" w:rsidRPr="00AF73D2" w:rsidRDefault="00AB0151" w:rsidP="00AB0151">
      <w:pPr>
        <w:autoSpaceDE w:val="0"/>
        <w:autoSpaceDN w:val="0"/>
        <w:adjustRightInd w:val="0"/>
        <w:spacing w:before="0" w:after="0"/>
        <w:rPr>
          <w:sz w:val="22"/>
          <w:szCs w:val="22"/>
        </w:rPr>
      </w:pPr>
      <w:r w:rsidRPr="00AF73D2">
        <w:rPr>
          <w:sz w:val="22"/>
          <w:szCs w:val="22"/>
        </w:rPr>
        <w:t>The relationship between health and workforce participation is</w:t>
      </w:r>
      <w:r>
        <w:rPr>
          <w:sz w:val="22"/>
          <w:szCs w:val="22"/>
        </w:rPr>
        <w:t xml:space="preserve"> complex, and</w:t>
      </w:r>
      <w:r w:rsidRPr="00AF73D2">
        <w:rPr>
          <w:sz w:val="22"/>
          <w:szCs w:val="22"/>
        </w:rPr>
        <w:t xml:space="preserve"> influenced by other factors such as </w:t>
      </w:r>
      <w:r>
        <w:rPr>
          <w:sz w:val="22"/>
          <w:szCs w:val="22"/>
        </w:rPr>
        <w:t xml:space="preserve">job design, </w:t>
      </w:r>
      <w:r w:rsidRPr="00AF73D2">
        <w:rPr>
          <w:sz w:val="22"/>
          <w:szCs w:val="22"/>
        </w:rPr>
        <w:t>level of education, marital status, physical activity and body mass index</w:t>
      </w:r>
      <w:r>
        <w:rPr>
          <w:sz w:val="22"/>
          <w:szCs w:val="22"/>
        </w:rPr>
        <w:t>.</w:t>
      </w:r>
      <w:r w:rsidRPr="00AF73D2">
        <w:rPr>
          <w:rStyle w:val="EndnoteReference"/>
          <w:sz w:val="22"/>
          <w:szCs w:val="22"/>
        </w:rPr>
        <w:endnoteReference w:id="5"/>
      </w:r>
      <w:r w:rsidRPr="00AF73D2">
        <w:rPr>
          <w:sz w:val="22"/>
          <w:szCs w:val="22"/>
        </w:rPr>
        <w:t xml:space="preserve"> </w:t>
      </w:r>
      <w:r>
        <w:rPr>
          <w:sz w:val="22"/>
          <w:szCs w:val="22"/>
        </w:rPr>
        <w:t>For example i</w:t>
      </w:r>
      <w:r w:rsidRPr="00AF73D2">
        <w:rPr>
          <w:sz w:val="22"/>
          <w:szCs w:val="22"/>
        </w:rPr>
        <w:t>n terms of the influence of geographic location, a study in 2013 concluded that men and women living outside major cities were more likely to be retired for health reasons</w:t>
      </w:r>
      <w:r>
        <w:rPr>
          <w:sz w:val="22"/>
          <w:szCs w:val="22"/>
        </w:rPr>
        <w:t>.</w:t>
      </w:r>
      <w:r w:rsidRPr="00AF73D2">
        <w:rPr>
          <w:rStyle w:val="EndnoteReference"/>
          <w:sz w:val="22"/>
          <w:szCs w:val="22"/>
        </w:rPr>
        <w:endnoteReference w:id="6"/>
      </w:r>
    </w:p>
    <w:p w:rsidR="00AB0151" w:rsidRPr="005C58D5" w:rsidRDefault="00AB0151" w:rsidP="00AB0151">
      <w:pPr>
        <w:pStyle w:val="Heading2"/>
        <w:numPr>
          <w:ilvl w:val="1"/>
          <w:numId w:val="38"/>
        </w:numPr>
        <w:rPr>
          <w:sz w:val="22"/>
        </w:rPr>
      </w:pPr>
      <w:bookmarkStart w:id="6" w:name="_Toc451945616"/>
      <w:r w:rsidRPr="005C58D5">
        <w:rPr>
          <w:sz w:val="22"/>
        </w:rPr>
        <w:t>The impact of chronic conditions on workforce participation</w:t>
      </w:r>
      <w:bookmarkEnd w:id="6"/>
    </w:p>
    <w:p w:rsidR="00AB0151" w:rsidRPr="00791150" w:rsidRDefault="00AB0151" w:rsidP="00AB0151">
      <w:pPr>
        <w:spacing w:before="0" w:after="0"/>
        <w:rPr>
          <w:rFonts w:cs="Arial"/>
          <w:sz w:val="22"/>
          <w:szCs w:val="22"/>
        </w:rPr>
      </w:pPr>
      <w:r w:rsidRPr="00AF73D2">
        <w:rPr>
          <w:sz w:val="22"/>
          <w:szCs w:val="22"/>
        </w:rPr>
        <w:t>The number of reported chronic health conditions tends to increase with age. The Australian Institute of Health and Welfare estimates that 54% of 55-64 year olds have one or more chronic health conditions, compared to 21% of people aged 25-34 years</w:t>
      </w:r>
      <w:r>
        <w:rPr>
          <w:sz w:val="22"/>
          <w:szCs w:val="22"/>
        </w:rPr>
        <w:t>.</w:t>
      </w:r>
      <w:r w:rsidRPr="00AF73D2">
        <w:rPr>
          <w:rStyle w:val="EndnoteReference"/>
          <w:rFonts w:cs="Arial"/>
          <w:sz w:val="22"/>
          <w:szCs w:val="22"/>
        </w:rPr>
        <w:endnoteReference w:id="7"/>
      </w:r>
      <w:r>
        <w:rPr>
          <w:rFonts w:cs="Arial"/>
          <w:sz w:val="22"/>
          <w:szCs w:val="22"/>
        </w:rPr>
        <w:t xml:space="preserve"> This is significant because </w:t>
      </w:r>
      <w:r>
        <w:rPr>
          <w:sz w:val="22"/>
          <w:szCs w:val="22"/>
        </w:rPr>
        <w:t>c</w:t>
      </w:r>
      <w:r w:rsidRPr="00AF73D2">
        <w:rPr>
          <w:sz w:val="22"/>
          <w:szCs w:val="22"/>
        </w:rPr>
        <w:t xml:space="preserve">hronic health conditions are particularly implicated in reduced workforce participation and premature retirement. </w:t>
      </w:r>
    </w:p>
    <w:p w:rsidR="00AB0151" w:rsidRPr="00AF73D2" w:rsidRDefault="00AB0151" w:rsidP="00AB0151">
      <w:pPr>
        <w:spacing w:before="0" w:after="0"/>
        <w:rPr>
          <w:rFonts w:cs="Arial"/>
          <w:sz w:val="22"/>
          <w:szCs w:val="22"/>
        </w:rPr>
      </w:pPr>
    </w:p>
    <w:p w:rsidR="00AB0151" w:rsidRPr="00AF73D2" w:rsidRDefault="00AB0151" w:rsidP="00AB0151">
      <w:pPr>
        <w:spacing w:before="0" w:after="0"/>
        <w:rPr>
          <w:sz w:val="22"/>
          <w:szCs w:val="22"/>
        </w:rPr>
      </w:pPr>
      <w:r w:rsidRPr="00AF73D2">
        <w:rPr>
          <w:sz w:val="22"/>
          <w:szCs w:val="22"/>
        </w:rPr>
        <w:t xml:space="preserve">As shown in Figure 2, people with </w:t>
      </w:r>
      <w:r>
        <w:rPr>
          <w:sz w:val="22"/>
          <w:szCs w:val="22"/>
        </w:rPr>
        <w:t xml:space="preserve">a </w:t>
      </w:r>
      <w:r w:rsidRPr="00AF73D2">
        <w:rPr>
          <w:sz w:val="22"/>
          <w:szCs w:val="22"/>
        </w:rPr>
        <w:t xml:space="preserve">chronic </w:t>
      </w:r>
      <w:r>
        <w:rPr>
          <w:sz w:val="22"/>
          <w:szCs w:val="22"/>
        </w:rPr>
        <w:t>condition</w:t>
      </w:r>
      <w:r w:rsidRPr="00AF73D2">
        <w:rPr>
          <w:sz w:val="22"/>
          <w:szCs w:val="22"/>
        </w:rPr>
        <w:t xml:space="preserve"> across all age groups are less likely to be in employment and more likely to be not in the labour force (NILF), than those without a chronic </w:t>
      </w:r>
      <w:r>
        <w:rPr>
          <w:sz w:val="22"/>
          <w:szCs w:val="22"/>
        </w:rPr>
        <w:t>condition</w:t>
      </w:r>
      <w:r w:rsidRPr="00AF73D2">
        <w:rPr>
          <w:sz w:val="22"/>
          <w:szCs w:val="22"/>
        </w:rPr>
        <w:t xml:space="preserve">. </w:t>
      </w: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53DB7107" wp14:editId="248BFEB3">
            <wp:extent cx="5762625" cy="3709358"/>
            <wp:effectExtent l="0" t="0" r="0" b="5715"/>
            <wp:docPr id="27"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0151" w:rsidRPr="00AF73D2" w:rsidRDefault="00AB0151" w:rsidP="00AB0151">
      <w:pPr>
        <w:spacing w:before="0" w:after="0"/>
        <w:jc w:val="both"/>
        <w:rPr>
          <w:sz w:val="22"/>
          <w:szCs w:val="22"/>
        </w:rPr>
      </w:pPr>
      <w:r w:rsidRPr="00D71B07">
        <w:rPr>
          <w:sz w:val="20"/>
          <w:szCs w:val="22"/>
        </w:rPr>
        <w:t>Source: Australian Institute of Health and Welfare</w:t>
      </w:r>
      <w:r w:rsidRPr="00AF73D2">
        <w:rPr>
          <w:rStyle w:val="EndnoteReference"/>
          <w:sz w:val="22"/>
          <w:szCs w:val="22"/>
        </w:rPr>
        <w:endnoteReference w:id="8"/>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Pr>
          <w:sz w:val="22"/>
          <w:szCs w:val="22"/>
        </w:rPr>
        <w:t>The difference in work</w:t>
      </w:r>
      <w:r w:rsidRPr="00AF73D2">
        <w:rPr>
          <w:sz w:val="22"/>
          <w:szCs w:val="22"/>
        </w:rPr>
        <w:t xml:space="preserve">force participation between persons with and without a chronic condition </w:t>
      </w:r>
      <w:r>
        <w:rPr>
          <w:sz w:val="22"/>
          <w:szCs w:val="22"/>
        </w:rPr>
        <w:t xml:space="preserve">increases with age, becoming </w:t>
      </w:r>
      <w:r w:rsidRPr="00AF73D2">
        <w:rPr>
          <w:sz w:val="22"/>
          <w:szCs w:val="22"/>
        </w:rPr>
        <w:t xml:space="preserve">most pronounced for people aged 55-64 years. </w:t>
      </w:r>
      <w:r>
        <w:rPr>
          <w:sz w:val="22"/>
          <w:szCs w:val="22"/>
        </w:rPr>
        <w:t>This means that not only does the prevalence of chronic conditions increase with age, the negative impact on workforce participation is also more acutely felt by older people.</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 xml:space="preserve">For example, the difference between those employed without and with a chronic condition </w:t>
      </w:r>
      <w:r>
        <w:rPr>
          <w:sz w:val="22"/>
          <w:szCs w:val="22"/>
        </w:rPr>
        <w:t>between the ages of 25-34 is 5.6</w:t>
      </w:r>
      <w:r w:rsidRPr="00AF73D2">
        <w:rPr>
          <w:sz w:val="22"/>
          <w:szCs w:val="22"/>
        </w:rPr>
        <w:t xml:space="preserve"> percentage points</w:t>
      </w:r>
      <w:r>
        <w:rPr>
          <w:sz w:val="22"/>
          <w:szCs w:val="22"/>
        </w:rPr>
        <w:t xml:space="preserve"> (83.3% compared to 77.7</w:t>
      </w:r>
      <w:r w:rsidRPr="00AF73D2">
        <w:rPr>
          <w:sz w:val="22"/>
          <w:szCs w:val="22"/>
        </w:rPr>
        <w:t>%), while the difference for those aged 55-64 years is</w:t>
      </w:r>
      <w:r>
        <w:rPr>
          <w:sz w:val="22"/>
          <w:szCs w:val="22"/>
        </w:rPr>
        <w:t xml:space="preserve"> 17.6</w:t>
      </w:r>
      <w:r w:rsidRPr="00AF73D2">
        <w:rPr>
          <w:sz w:val="22"/>
          <w:szCs w:val="22"/>
        </w:rPr>
        <w:t xml:space="preserve"> percentage points</w:t>
      </w:r>
      <w:r>
        <w:rPr>
          <w:sz w:val="22"/>
          <w:szCs w:val="22"/>
        </w:rPr>
        <w:t xml:space="preserve"> (64.1% compared to 46.5</w:t>
      </w:r>
      <w:r w:rsidRPr="00AF73D2">
        <w:rPr>
          <w:sz w:val="22"/>
          <w:szCs w:val="22"/>
        </w:rPr>
        <w:t xml:space="preserve">%). </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Similarly, there is a 3.9 percentage point difference (17.2% compared to 13.3%) for those aged 25-34 years with and without a chronic condition not in the labour force, compared to a difference of 18.5 percentage points for those aged 55-64 years (52.8% compared to 34.3%).</w:t>
      </w:r>
    </w:p>
    <w:p w:rsidR="00AB0151" w:rsidRPr="00AF73D2" w:rsidRDefault="00AB0151" w:rsidP="00AB0151">
      <w:pPr>
        <w:spacing w:before="0" w:after="0"/>
        <w:jc w:val="both"/>
        <w:rPr>
          <w:sz w:val="22"/>
          <w:szCs w:val="22"/>
        </w:rPr>
      </w:pPr>
    </w:p>
    <w:p w:rsidR="00AB0151" w:rsidRPr="00AF73D2" w:rsidRDefault="004B03D0" w:rsidP="00AB0151">
      <w:pPr>
        <w:autoSpaceDE w:val="0"/>
        <w:autoSpaceDN w:val="0"/>
        <w:adjustRightInd w:val="0"/>
        <w:spacing w:before="0" w:after="0"/>
        <w:rPr>
          <w:rFonts w:cs="Arial"/>
          <w:sz w:val="22"/>
          <w:szCs w:val="22"/>
        </w:rPr>
      </w:pPr>
      <w:r>
        <w:rPr>
          <w:noProof/>
        </w:rPr>
        <w:drawing>
          <wp:anchor distT="0" distB="0" distL="114300" distR="114300" simplePos="0" relativeHeight="251660800" behindDoc="0" locked="0" layoutInCell="1" allowOverlap="1" wp14:anchorId="29B6D4BF" wp14:editId="660C744F">
            <wp:simplePos x="0" y="0"/>
            <wp:positionH relativeFrom="margin">
              <wp:posOffset>-1270</wp:posOffset>
            </wp:positionH>
            <wp:positionV relativeFrom="paragraph">
              <wp:posOffset>685752</wp:posOffset>
            </wp:positionV>
            <wp:extent cx="5760720" cy="3200400"/>
            <wp:effectExtent l="3810" t="635" r="0" b="0"/>
            <wp:wrapSquare wrapText="bothSides"/>
            <wp:docPr id="29"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page">
              <wp14:pctHeight>0</wp14:pctHeight>
            </wp14:sizeRelV>
          </wp:anchor>
        </w:drawing>
      </w:r>
      <w:r w:rsidR="00AB0151" w:rsidRPr="00AF73D2">
        <w:rPr>
          <w:sz w:val="22"/>
          <w:szCs w:val="22"/>
        </w:rPr>
        <w:t>Co-morbidity of chronic conditions is a strong predictor of workforce participation, with</w:t>
      </w:r>
      <w:r w:rsidR="00AB0151">
        <w:rPr>
          <w:sz w:val="22"/>
          <w:szCs w:val="22"/>
        </w:rPr>
        <w:t xml:space="preserve"> the</w:t>
      </w:r>
      <w:r w:rsidR="00AB0151" w:rsidRPr="00AF73D2">
        <w:rPr>
          <w:sz w:val="22"/>
          <w:szCs w:val="22"/>
        </w:rPr>
        <w:t xml:space="preserve"> likelihood of workforce participation decreasing as the number of co-morbidities increases; this is shown in Figure 3</w:t>
      </w:r>
      <w:r w:rsidR="00AB0151" w:rsidRPr="00AF73D2">
        <w:rPr>
          <w:rFonts w:cs="Arial"/>
          <w:sz w:val="22"/>
          <w:szCs w:val="22"/>
        </w:rPr>
        <w:t xml:space="preserve">. </w:t>
      </w:r>
      <w:r w:rsidR="00AB0151" w:rsidRPr="00AF73D2">
        <w:rPr>
          <w:sz w:val="22"/>
          <w:szCs w:val="22"/>
        </w:rPr>
        <w:t>This is important to note because of older people with a chronic health condition, the majority tend to have more than one condition</w:t>
      </w:r>
      <w:r w:rsidR="00AB0151">
        <w:rPr>
          <w:sz w:val="22"/>
          <w:szCs w:val="22"/>
        </w:rPr>
        <w:t>.</w:t>
      </w:r>
      <w:r w:rsidR="00AB0151" w:rsidRPr="00AF73D2">
        <w:rPr>
          <w:rStyle w:val="EndnoteReference"/>
          <w:sz w:val="22"/>
          <w:szCs w:val="22"/>
        </w:rPr>
        <w:endnoteReference w:id="9"/>
      </w:r>
      <w:r w:rsidR="00AB0151" w:rsidRPr="00AF73D2">
        <w:rPr>
          <w:sz w:val="22"/>
          <w:szCs w:val="22"/>
        </w:rPr>
        <w:t xml:space="preserve"> </w:t>
      </w:r>
    </w:p>
    <w:p w:rsidR="00AB0151" w:rsidRPr="00AF73D2" w:rsidRDefault="00AB0151" w:rsidP="00AB0151">
      <w:pPr>
        <w:autoSpaceDE w:val="0"/>
        <w:autoSpaceDN w:val="0"/>
        <w:adjustRightInd w:val="0"/>
        <w:spacing w:before="0" w:after="0"/>
        <w:rPr>
          <w:rFonts w:cs="Arial"/>
          <w:b/>
          <w:sz w:val="22"/>
          <w:szCs w:val="22"/>
        </w:rPr>
      </w:pPr>
      <w:r w:rsidRPr="00ED29C8">
        <w:rPr>
          <w:rFonts w:cs="Arial"/>
          <w:sz w:val="20"/>
          <w:szCs w:val="22"/>
        </w:rPr>
        <w:t>Source: Schofield</w:t>
      </w:r>
      <w:r w:rsidRPr="00AF73D2">
        <w:rPr>
          <w:rStyle w:val="EndnoteReference"/>
          <w:sz w:val="22"/>
          <w:szCs w:val="22"/>
        </w:rPr>
        <w:endnoteReference w:id="10"/>
      </w:r>
    </w:p>
    <w:p w:rsidR="00AB0151" w:rsidRPr="00AF73D2" w:rsidRDefault="00AB0151" w:rsidP="00AB0151">
      <w:pPr>
        <w:autoSpaceDE w:val="0"/>
        <w:autoSpaceDN w:val="0"/>
        <w:adjustRightInd w:val="0"/>
        <w:spacing w:before="0" w:after="0"/>
        <w:rPr>
          <w:rFonts w:cs="Arial"/>
          <w:sz w:val="22"/>
          <w:szCs w:val="22"/>
        </w:rPr>
      </w:pPr>
    </w:p>
    <w:p w:rsidR="00AB0151" w:rsidRPr="00AF73D2" w:rsidRDefault="00AB0151" w:rsidP="00AB0151">
      <w:pPr>
        <w:spacing w:before="0" w:after="0"/>
        <w:rPr>
          <w:sz w:val="22"/>
          <w:szCs w:val="22"/>
        </w:rPr>
      </w:pPr>
      <w:r w:rsidRPr="00AF73D2">
        <w:rPr>
          <w:sz w:val="22"/>
          <w:szCs w:val="22"/>
        </w:rPr>
        <w:t>Schofield et al</w:t>
      </w:r>
      <w:r>
        <w:rPr>
          <w:sz w:val="22"/>
          <w:szCs w:val="22"/>
        </w:rPr>
        <w:t>.</w:t>
      </w:r>
      <w:r w:rsidRPr="00AF73D2">
        <w:rPr>
          <w:sz w:val="22"/>
          <w:szCs w:val="22"/>
        </w:rPr>
        <w:t xml:space="preserve"> </w:t>
      </w:r>
      <w:r>
        <w:rPr>
          <w:sz w:val="22"/>
          <w:szCs w:val="22"/>
        </w:rPr>
        <w:t>estimates 347,000</w:t>
      </w:r>
      <w:r w:rsidRPr="00AF73D2">
        <w:rPr>
          <w:sz w:val="22"/>
          <w:szCs w:val="22"/>
        </w:rPr>
        <w:t xml:space="preserve"> </w:t>
      </w:r>
      <w:r>
        <w:rPr>
          <w:sz w:val="22"/>
          <w:szCs w:val="22"/>
        </w:rPr>
        <w:t>people aged 45-64 years are</w:t>
      </w:r>
      <w:r w:rsidRPr="00AF73D2">
        <w:rPr>
          <w:sz w:val="22"/>
          <w:szCs w:val="22"/>
        </w:rPr>
        <w:t xml:space="preserve"> out of the workforce due to </w:t>
      </w:r>
      <w:r>
        <w:rPr>
          <w:sz w:val="22"/>
          <w:szCs w:val="22"/>
        </w:rPr>
        <w:t>a chronic condition.</w:t>
      </w:r>
      <w:r w:rsidRPr="00AF73D2">
        <w:rPr>
          <w:rStyle w:val="EndnoteReference"/>
          <w:sz w:val="22"/>
          <w:szCs w:val="22"/>
        </w:rPr>
        <w:endnoteReference w:id="11"/>
      </w:r>
      <w:r>
        <w:rPr>
          <w:sz w:val="22"/>
          <w:szCs w:val="22"/>
        </w:rPr>
        <w:t xml:space="preserve"> </w:t>
      </w:r>
      <w:r w:rsidRPr="00AF73D2">
        <w:rPr>
          <w:sz w:val="22"/>
          <w:szCs w:val="22"/>
        </w:rPr>
        <w:t xml:space="preserve">In this group the five most prevalent chronic conditions reported, being back problems, arthritis, mental and behavioural disorders, cardiovascular disease and depression, </w:t>
      </w:r>
      <w:r>
        <w:rPr>
          <w:sz w:val="22"/>
          <w:szCs w:val="22"/>
        </w:rPr>
        <w:t>account</w:t>
      </w:r>
      <w:r w:rsidRPr="00AF73D2">
        <w:rPr>
          <w:sz w:val="22"/>
          <w:szCs w:val="22"/>
        </w:rPr>
        <w:t xml:space="preserve"> for approximately 61% of those out of the workforce due to chronic conditions</w:t>
      </w:r>
      <w:r>
        <w:rPr>
          <w:sz w:val="22"/>
          <w:szCs w:val="22"/>
        </w:rPr>
        <w:t>.</w:t>
      </w:r>
      <w:r w:rsidRPr="00AF73D2">
        <w:rPr>
          <w:rStyle w:val="EndnoteReference"/>
          <w:sz w:val="22"/>
          <w:szCs w:val="22"/>
        </w:rPr>
        <w:endnoteReference w:id="12"/>
      </w:r>
    </w:p>
    <w:p w:rsidR="00AB0151" w:rsidRPr="00AF73D2" w:rsidRDefault="00AB0151" w:rsidP="00AB0151">
      <w:pPr>
        <w:autoSpaceDE w:val="0"/>
        <w:autoSpaceDN w:val="0"/>
        <w:adjustRightInd w:val="0"/>
        <w:spacing w:before="0" w:after="0"/>
        <w:rPr>
          <w:sz w:val="22"/>
          <w:szCs w:val="22"/>
        </w:rPr>
      </w:pPr>
    </w:p>
    <w:p w:rsidR="00AB0151" w:rsidRPr="00AF73D2" w:rsidRDefault="00AB0151" w:rsidP="00AB0151">
      <w:pPr>
        <w:autoSpaceDE w:val="0"/>
        <w:autoSpaceDN w:val="0"/>
        <w:adjustRightInd w:val="0"/>
        <w:spacing w:before="0" w:after="0"/>
        <w:rPr>
          <w:sz w:val="22"/>
          <w:szCs w:val="22"/>
        </w:rPr>
      </w:pPr>
      <w:r w:rsidRPr="00AF73D2">
        <w:rPr>
          <w:sz w:val="22"/>
          <w:szCs w:val="22"/>
        </w:rPr>
        <w:t>A number of common chronic conditions are also highly work limiting. Over 50% of those who report depression or mood affective disorders, heart disease</w:t>
      </w:r>
      <w:r>
        <w:rPr>
          <w:sz w:val="22"/>
          <w:szCs w:val="22"/>
        </w:rPr>
        <w:t>, or</w:t>
      </w:r>
      <w:r w:rsidRPr="00AF73D2">
        <w:rPr>
          <w:sz w:val="22"/>
          <w:szCs w:val="22"/>
        </w:rPr>
        <w:t xml:space="preserve"> mental and behavioural disorders, as their main condition are not in the </w:t>
      </w:r>
      <w:r>
        <w:rPr>
          <w:sz w:val="22"/>
          <w:szCs w:val="22"/>
        </w:rPr>
        <w:t>work</w:t>
      </w:r>
      <w:r w:rsidRPr="00AF73D2">
        <w:rPr>
          <w:sz w:val="22"/>
          <w:szCs w:val="22"/>
        </w:rPr>
        <w:t>force</w:t>
      </w:r>
      <w:r>
        <w:rPr>
          <w:sz w:val="22"/>
          <w:szCs w:val="22"/>
        </w:rPr>
        <w:t>.</w:t>
      </w:r>
      <w:r w:rsidRPr="00AF73D2">
        <w:rPr>
          <w:rStyle w:val="EndnoteReference"/>
          <w:sz w:val="22"/>
          <w:szCs w:val="22"/>
        </w:rPr>
        <w:endnoteReference w:id="13"/>
      </w:r>
      <w:r w:rsidRPr="00AF73D2">
        <w:rPr>
          <w:sz w:val="22"/>
          <w:szCs w:val="22"/>
        </w:rPr>
        <w:t xml:space="preserve"> The probability of being out of the </w:t>
      </w:r>
      <w:r>
        <w:rPr>
          <w:sz w:val="22"/>
          <w:szCs w:val="22"/>
        </w:rPr>
        <w:t>work</w:t>
      </w:r>
      <w:r w:rsidRPr="00AF73D2">
        <w:rPr>
          <w:sz w:val="22"/>
          <w:szCs w:val="22"/>
        </w:rPr>
        <w:t>force by main chronic condition is shown in Figure 4.</w:t>
      </w:r>
    </w:p>
    <w:p w:rsidR="00AB0151" w:rsidRPr="00AF73D2" w:rsidRDefault="004B03D0" w:rsidP="00AB0151">
      <w:pPr>
        <w:autoSpaceDE w:val="0"/>
        <w:autoSpaceDN w:val="0"/>
        <w:adjustRightInd w:val="0"/>
        <w:spacing w:before="0" w:after="0"/>
        <w:jc w:val="both"/>
        <w:rPr>
          <w:sz w:val="22"/>
          <w:szCs w:val="22"/>
        </w:rPr>
      </w:pPr>
      <w:r w:rsidRPr="00AB0151">
        <w:rPr>
          <w:noProof/>
          <w:sz w:val="22"/>
          <w:szCs w:val="22"/>
        </w:rPr>
        <w:lastRenderedPageBreak/>
        <w:drawing>
          <wp:inline distT="0" distB="0" distL="0" distR="0" wp14:anchorId="06D6DB23" wp14:editId="7BA1786C">
            <wp:extent cx="5770880" cy="3157268"/>
            <wp:effectExtent l="0" t="0" r="1270" b="5080"/>
            <wp:docPr id="2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0151" w:rsidRPr="00AF73D2" w:rsidRDefault="00AB0151" w:rsidP="00AB0151">
      <w:pPr>
        <w:spacing w:before="0" w:after="0"/>
        <w:jc w:val="both"/>
        <w:rPr>
          <w:sz w:val="22"/>
          <w:szCs w:val="22"/>
        </w:rPr>
      </w:pPr>
      <w:r w:rsidRPr="00F339F9">
        <w:rPr>
          <w:sz w:val="20"/>
          <w:szCs w:val="22"/>
        </w:rPr>
        <w:t>Source: Schofield</w:t>
      </w:r>
      <w:r w:rsidRPr="00AF73D2">
        <w:rPr>
          <w:rStyle w:val="EndnoteReference"/>
          <w:sz w:val="22"/>
          <w:szCs w:val="22"/>
        </w:rPr>
        <w:endnoteReference w:id="14"/>
      </w:r>
    </w:p>
    <w:p w:rsidR="00AB0151" w:rsidRDefault="00AB0151" w:rsidP="00AB0151">
      <w:pPr>
        <w:autoSpaceDE w:val="0"/>
        <w:autoSpaceDN w:val="0"/>
        <w:adjustRightInd w:val="0"/>
        <w:spacing w:before="0" w:after="0"/>
        <w:rPr>
          <w:rFonts w:cs="Arial"/>
          <w:sz w:val="22"/>
          <w:szCs w:val="22"/>
        </w:rPr>
      </w:pPr>
    </w:p>
    <w:p w:rsidR="00AB0151" w:rsidRPr="008B41AB" w:rsidRDefault="00AB0151" w:rsidP="00AB0151">
      <w:pPr>
        <w:autoSpaceDE w:val="0"/>
        <w:autoSpaceDN w:val="0"/>
        <w:adjustRightInd w:val="0"/>
        <w:spacing w:before="0" w:after="0"/>
        <w:rPr>
          <w:rFonts w:cs="Arial"/>
          <w:sz w:val="22"/>
          <w:szCs w:val="22"/>
        </w:rPr>
      </w:pPr>
      <w:r w:rsidRPr="00AF73D2">
        <w:rPr>
          <w:rFonts w:cs="Arial"/>
          <w:sz w:val="22"/>
          <w:szCs w:val="22"/>
        </w:rPr>
        <w:t>This association between chronic conditions and lower workforce participation is also apparent outside of Australia.</w:t>
      </w:r>
      <w:r>
        <w:rPr>
          <w:rStyle w:val="EndnoteReference"/>
          <w:rFonts w:cs="Arial"/>
          <w:szCs w:val="22"/>
        </w:rPr>
        <w:endnoteReference w:id="15"/>
      </w:r>
      <w:r w:rsidRPr="00AF73D2">
        <w:rPr>
          <w:rFonts w:cs="Arial"/>
          <w:sz w:val="22"/>
          <w:szCs w:val="22"/>
        </w:rPr>
        <w:t xml:space="preserve"> A cross-sectional analysis of 16 European countries concluded that poor health was associated with early retirement and unemployment, and that chronic conditions such as depression, diabetes, lung disease, back problem</w:t>
      </w:r>
      <w:r>
        <w:rPr>
          <w:rFonts w:cs="Arial"/>
          <w:sz w:val="22"/>
          <w:szCs w:val="22"/>
        </w:rPr>
        <w:t>s</w:t>
      </w:r>
      <w:r w:rsidRPr="00AF73D2">
        <w:rPr>
          <w:rFonts w:cs="Arial"/>
          <w:sz w:val="22"/>
          <w:szCs w:val="22"/>
        </w:rPr>
        <w:t xml:space="preserve"> or arthritis were more prevalent in unemployed and retired people</w:t>
      </w:r>
      <w:r>
        <w:rPr>
          <w:rFonts w:cs="Arial"/>
          <w:sz w:val="22"/>
          <w:szCs w:val="22"/>
        </w:rPr>
        <w:t>.</w:t>
      </w:r>
      <w:r w:rsidRPr="00AF73D2">
        <w:rPr>
          <w:rStyle w:val="EndnoteReference"/>
          <w:rFonts w:cs="Arial"/>
          <w:sz w:val="22"/>
          <w:szCs w:val="22"/>
        </w:rPr>
        <w:endnoteReference w:id="16"/>
      </w:r>
    </w:p>
    <w:p w:rsidR="00AB0151" w:rsidRPr="005C58D5" w:rsidRDefault="00AB0151" w:rsidP="00AB0151">
      <w:pPr>
        <w:pStyle w:val="Heading2"/>
        <w:numPr>
          <w:ilvl w:val="1"/>
          <w:numId w:val="38"/>
        </w:numPr>
        <w:rPr>
          <w:sz w:val="22"/>
        </w:rPr>
      </w:pPr>
      <w:bookmarkStart w:id="7" w:name="_Toc451945617"/>
      <w:r w:rsidRPr="005C58D5">
        <w:rPr>
          <w:sz w:val="22"/>
        </w:rPr>
        <w:t>Trends and projections</w:t>
      </w:r>
      <w:bookmarkEnd w:id="7"/>
    </w:p>
    <w:p w:rsidR="00AB0151" w:rsidRPr="00AF73D2" w:rsidRDefault="00AB0151" w:rsidP="00AB0151">
      <w:pPr>
        <w:spacing w:before="0" w:after="0"/>
        <w:rPr>
          <w:sz w:val="22"/>
          <w:szCs w:val="22"/>
        </w:rPr>
      </w:pPr>
      <w:r w:rsidRPr="00AF73D2">
        <w:rPr>
          <w:sz w:val="22"/>
          <w:szCs w:val="22"/>
        </w:rPr>
        <w:t>Trends and projections indicate that health will continue to be a critical determinant of workfor</w:t>
      </w:r>
      <w:r>
        <w:rPr>
          <w:sz w:val="22"/>
          <w:szCs w:val="22"/>
        </w:rPr>
        <w:t>ce participation. As a result, c</w:t>
      </w:r>
      <w:r w:rsidRPr="00AF73D2">
        <w:rPr>
          <w:sz w:val="22"/>
          <w:szCs w:val="22"/>
        </w:rPr>
        <w:t>hronic conditions are likely to place pressure on achieving the goal of longer working lives.</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Based on current health trends AMP.NATSEM modelling predicts that in 2035 one in four men and more than one in five women in their sixties will have a self-reported health status of fair or poor, w</w:t>
      </w:r>
      <w:r>
        <w:rPr>
          <w:sz w:val="22"/>
          <w:szCs w:val="22"/>
        </w:rPr>
        <w:t>ith the majority of this group — 65.1% of men and 72.1% of women,</w:t>
      </w:r>
      <w:r w:rsidRPr="00AF73D2">
        <w:rPr>
          <w:sz w:val="22"/>
          <w:szCs w:val="22"/>
        </w:rPr>
        <w:t xml:space="preserve"> likely to be unemployed</w:t>
      </w:r>
      <w:r>
        <w:rPr>
          <w:sz w:val="22"/>
          <w:szCs w:val="22"/>
        </w:rPr>
        <w:t>.</w:t>
      </w:r>
      <w:r w:rsidRPr="00AF73D2">
        <w:rPr>
          <w:rStyle w:val="EndnoteReference"/>
          <w:sz w:val="22"/>
          <w:szCs w:val="22"/>
        </w:rPr>
        <w:endnoteReference w:id="17"/>
      </w:r>
      <w:r w:rsidRPr="00AF73D2">
        <w:rPr>
          <w:sz w:val="22"/>
          <w:szCs w:val="22"/>
        </w:rPr>
        <w:t xml:space="preserve"> </w:t>
      </w:r>
    </w:p>
    <w:p w:rsidR="00AB0151" w:rsidRPr="00AF73D2"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 xml:space="preserve">Table 1 shows the projected increase in both the number of older people out of the workforce for health reasons, and in the number of older people employed with a chronic condition, with both </w:t>
      </w:r>
      <w:r>
        <w:rPr>
          <w:sz w:val="22"/>
          <w:szCs w:val="22"/>
        </w:rPr>
        <w:t xml:space="preserve">groups </w:t>
      </w:r>
      <w:r w:rsidRPr="00AF73D2">
        <w:rPr>
          <w:sz w:val="22"/>
          <w:szCs w:val="22"/>
        </w:rPr>
        <w:t>exceeding total population growth.</w:t>
      </w:r>
    </w:p>
    <w:p w:rsidR="00AB0151" w:rsidRPr="00AF73D2" w:rsidRDefault="00AB0151" w:rsidP="00AB0151">
      <w:pPr>
        <w:spacing w:before="0" w:after="0"/>
        <w:rPr>
          <w:sz w:val="22"/>
          <w:szCs w:val="22"/>
        </w:rPr>
      </w:pPr>
    </w:p>
    <w:tbl>
      <w:tblPr>
        <w:tblStyle w:val="TableGridLight1"/>
        <w:tblW w:w="0" w:type="auto"/>
        <w:tblLook w:val="04A0" w:firstRow="1" w:lastRow="0" w:firstColumn="1" w:lastColumn="0" w:noHBand="0" w:noVBand="1"/>
      </w:tblPr>
      <w:tblGrid>
        <w:gridCol w:w="2835"/>
        <w:gridCol w:w="2127"/>
        <w:gridCol w:w="2126"/>
        <w:gridCol w:w="1972"/>
      </w:tblGrid>
      <w:tr w:rsidR="00AB0151" w:rsidRPr="00AF73D2" w:rsidTr="00AB0151">
        <w:tc>
          <w:tcPr>
            <w:tcW w:w="9060" w:type="dxa"/>
            <w:gridSpan w:val="4"/>
            <w:tcBorders>
              <w:top w:val="nil"/>
              <w:left w:val="nil"/>
              <w:bottom w:val="single" w:sz="4" w:space="0" w:color="auto"/>
              <w:right w:val="nil"/>
            </w:tcBorders>
          </w:tcPr>
          <w:p w:rsidR="00AB0151" w:rsidRPr="00AF73D2" w:rsidRDefault="00AB0151" w:rsidP="00AB0151">
            <w:pPr>
              <w:spacing w:before="120" w:after="120"/>
              <w:jc w:val="both"/>
              <w:rPr>
                <w:b/>
                <w:sz w:val="22"/>
                <w:szCs w:val="22"/>
              </w:rPr>
            </w:pPr>
            <w:r w:rsidRPr="00AF73D2">
              <w:rPr>
                <w:b/>
                <w:sz w:val="22"/>
                <w:szCs w:val="22"/>
              </w:rPr>
              <w:t xml:space="preserve">Table 1: </w:t>
            </w:r>
            <w:r>
              <w:rPr>
                <w:b/>
                <w:sz w:val="22"/>
                <w:szCs w:val="22"/>
              </w:rPr>
              <w:t>Work</w:t>
            </w:r>
            <w:r w:rsidRPr="00AF73D2">
              <w:rPr>
                <w:b/>
                <w:sz w:val="22"/>
                <w:szCs w:val="22"/>
              </w:rPr>
              <w:t>force status of Australians aged 45-64 years projected to 2030</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shd w:val="clear" w:color="auto" w:fill="D5DCE4"/>
          </w:tcPr>
          <w:p w:rsidR="00AB0151" w:rsidRPr="00EF01C6" w:rsidRDefault="00AB0151" w:rsidP="00AB0151">
            <w:pPr>
              <w:spacing w:before="120" w:after="120"/>
              <w:rPr>
                <w:b/>
                <w:sz w:val="20"/>
                <w:szCs w:val="22"/>
              </w:rPr>
            </w:pPr>
            <w:r>
              <w:rPr>
                <w:b/>
                <w:sz w:val="20"/>
                <w:szCs w:val="22"/>
              </w:rPr>
              <w:t>Work</w:t>
            </w:r>
            <w:r w:rsidRPr="00EF01C6">
              <w:rPr>
                <w:b/>
                <w:sz w:val="20"/>
                <w:szCs w:val="22"/>
              </w:rPr>
              <w:t>force status</w:t>
            </w:r>
          </w:p>
        </w:tc>
        <w:tc>
          <w:tcPr>
            <w:tcW w:w="2127" w:type="dxa"/>
            <w:tcBorders>
              <w:top w:val="single" w:sz="4" w:space="0" w:color="auto"/>
              <w:left w:val="single" w:sz="4" w:space="0" w:color="auto"/>
              <w:bottom w:val="single" w:sz="4" w:space="0" w:color="auto"/>
              <w:right w:val="single" w:sz="4" w:space="0" w:color="auto"/>
            </w:tcBorders>
            <w:shd w:val="clear" w:color="auto" w:fill="D5DCE4"/>
          </w:tcPr>
          <w:p w:rsidR="00AB0151" w:rsidRPr="00EF01C6" w:rsidRDefault="00AB0151" w:rsidP="00AB0151">
            <w:pPr>
              <w:spacing w:before="120" w:after="120"/>
              <w:jc w:val="center"/>
              <w:rPr>
                <w:b/>
                <w:sz w:val="20"/>
                <w:szCs w:val="22"/>
              </w:rPr>
            </w:pPr>
            <w:r w:rsidRPr="00EF01C6">
              <w:rPr>
                <w:b/>
                <w:sz w:val="20"/>
                <w:szCs w:val="22"/>
              </w:rPr>
              <w:t>2010</w:t>
            </w:r>
          </w:p>
        </w:tc>
        <w:tc>
          <w:tcPr>
            <w:tcW w:w="2126" w:type="dxa"/>
            <w:tcBorders>
              <w:top w:val="single" w:sz="4" w:space="0" w:color="auto"/>
              <w:left w:val="single" w:sz="4" w:space="0" w:color="auto"/>
              <w:bottom w:val="single" w:sz="4" w:space="0" w:color="auto"/>
              <w:right w:val="single" w:sz="4" w:space="0" w:color="auto"/>
            </w:tcBorders>
            <w:shd w:val="clear" w:color="auto" w:fill="D5DCE4"/>
          </w:tcPr>
          <w:p w:rsidR="00AB0151" w:rsidRPr="00EF01C6" w:rsidRDefault="00AB0151" w:rsidP="00AB0151">
            <w:pPr>
              <w:spacing w:before="120" w:after="120"/>
              <w:jc w:val="center"/>
              <w:rPr>
                <w:b/>
                <w:sz w:val="20"/>
                <w:szCs w:val="22"/>
              </w:rPr>
            </w:pPr>
            <w:r w:rsidRPr="00EF01C6">
              <w:rPr>
                <w:b/>
                <w:sz w:val="20"/>
                <w:szCs w:val="22"/>
              </w:rPr>
              <w:t>2030</w:t>
            </w:r>
          </w:p>
        </w:tc>
        <w:tc>
          <w:tcPr>
            <w:tcW w:w="1972" w:type="dxa"/>
            <w:tcBorders>
              <w:top w:val="single" w:sz="4" w:space="0" w:color="auto"/>
              <w:left w:val="single" w:sz="4" w:space="0" w:color="auto"/>
              <w:bottom w:val="single" w:sz="4" w:space="0" w:color="auto"/>
              <w:right w:val="single" w:sz="4" w:space="0" w:color="auto"/>
            </w:tcBorders>
            <w:shd w:val="clear" w:color="auto" w:fill="D5DCE4"/>
          </w:tcPr>
          <w:p w:rsidR="00AB0151" w:rsidRPr="00EF01C6" w:rsidRDefault="00AB0151" w:rsidP="00AB0151">
            <w:pPr>
              <w:spacing w:before="120" w:after="120"/>
              <w:jc w:val="center"/>
              <w:rPr>
                <w:b/>
                <w:sz w:val="20"/>
                <w:szCs w:val="22"/>
              </w:rPr>
            </w:pPr>
            <w:r w:rsidRPr="00EF01C6">
              <w:rPr>
                <w:b/>
                <w:sz w:val="20"/>
                <w:szCs w:val="22"/>
              </w:rPr>
              <w:t>Growth (%)</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rPr>
                <w:b/>
                <w:sz w:val="20"/>
                <w:szCs w:val="22"/>
              </w:rPr>
            </w:pPr>
            <w:r w:rsidRPr="00EF01C6">
              <w:rPr>
                <w:b/>
                <w:sz w:val="20"/>
                <w:szCs w:val="22"/>
              </w:rPr>
              <w:t>Employed with a chronic condition</w:t>
            </w:r>
          </w:p>
        </w:tc>
        <w:tc>
          <w:tcPr>
            <w:tcW w:w="2127"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2,073,000</w:t>
            </w:r>
          </w:p>
        </w:tc>
        <w:tc>
          <w:tcPr>
            <w:tcW w:w="2126"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2,850,000</w:t>
            </w:r>
          </w:p>
        </w:tc>
        <w:tc>
          <w:tcPr>
            <w:tcW w:w="1972"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37.5%</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rPr>
                <w:sz w:val="20"/>
                <w:szCs w:val="22"/>
              </w:rPr>
            </w:pPr>
            <w:r w:rsidRPr="00EF01C6">
              <w:rPr>
                <w:sz w:val="20"/>
                <w:szCs w:val="22"/>
              </w:rPr>
              <w:t>Employed without a chronic condition</w:t>
            </w:r>
          </w:p>
        </w:tc>
        <w:tc>
          <w:tcPr>
            <w:tcW w:w="2127"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2,073,000</w:t>
            </w:r>
          </w:p>
        </w:tc>
        <w:tc>
          <w:tcPr>
            <w:tcW w:w="2126"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2,705,000</w:t>
            </w:r>
          </w:p>
        </w:tc>
        <w:tc>
          <w:tcPr>
            <w:tcW w:w="1972"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30.5%</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rPr>
                <w:b/>
                <w:sz w:val="20"/>
                <w:szCs w:val="22"/>
              </w:rPr>
            </w:pPr>
            <w:r>
              <w:rPr>
                <w:b/>
                <w:sz w:val="20"/>
                <w:szCs w:val="22"/>
              </w:rPr>
              <w:t>Out of the work</w:t>
            </w:r>
            <w:r w:rsidRPr="00EF01C6">
              <w:rPr>
                <w:b/>
                <w:sz w:val="20"/>
                <w:szCs w:val="22"/>
              </w:rPr>
              <w:t>force for health reasons</w:t>
            </w:r>
          </w:p>
        </w:tc>
        <w:tc>
          <w:tcPr>
            <w:tcW w:w="2127"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347,000</w:t>
            </w:r>
          </w:p>
        </w:tc>
        <w:tc>
          <w:tcPr>
            <w:tcW w:w="2126"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459,000</w:t>
            </w:r>
          </w:p>
        </w:tc>
        <w:tc>
          <w:tcPr>
            <w:tcW w:w="1972"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b/>
                <w:sz w:val="20"/>
                <w:szCs w:val="22"/>
              </w:rPr>
            </w:pPr>
            <w:r w:rsidRPr="00EF01C6">
              <w:rPr>
                <w:b/>
                <w:sz w:val="20"/>
                <w:szCs w:val="22"/>
              </w:rPr>
              <w:t>32.3%</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rPr>
                <w:sz w:val="20"/>
                <w:szCs w:val="22"/>
              </w:rPr>
            </w:pPr>
            <w:r w:rsidRPr="00EF01C6">
              <w:rPr>
                <w:sz w:val="20"/>
                <w:szCs w:val="22"/>
              </w:rPr>
              <w:lastRenderedPageBreak/>
              <w:t xml:space="preserve">Out of the </w:t>
            </w:r>
            <w:r>
              <w:rPr>
                <w:sz w:val="20"/>
                <w:szCs w:val="22"/>
              </w:rPr>
              <w:t>work</w:t>
            </w:r>
            <w:r w:rsidRPr="00EF01C6">
              <w:rPr>
                <w:sz w:val="20"/>
                <w:szCs w:val="22"/>
              </w:rPr>
              <w:t>force for other reasons</w:t>
            </w:r>
          </w:p>
        </w:tc>
        <w:tc>
          <w:tcPr>
            <w:tcW w:w="2127"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1,086,000</w:t>
            </w:r>
          </w:p>
        </w:tc>
        <w:tc>
          <w:tcPr>
            <w:tcW w:w="2126"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1,116,000</w:t>
            </w:r>
          </w:p>
        </w:tc>
        <w:tc>
          <w:tcPr>
            <w:tcW w:w="1972"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2.7%</w:t>
            </w:r>
          </w:p>
        </w:tc>
      </w:tr>
      <w:tr w:rsidR="00AB0151" w:rsidRPr="00AF73D2" w:rsidTr="00AB0151">
        <w:tc>
          <w:tcPr>
            <w:tcW w:w="2835"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rPr>
                <w:sz w:val="20"/>
                <w:szCs w:val="22"/>
              </w:rPr>
            </w:pPr>
            <w:r w:rsidRPr="00EF01C6">
              <w:rPr>
                <w:sz w:val="20"/>
                <w:szCs w:val="22"/>
              </w:rPr>
              <w:t>Total working population</w:t>
            </w:r>
          </w:p>
        </w:tc>
        <w:tc>
          <w:tcPr>
            <w:tcW w:w="2127"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5,580,000</w:t>
            </w:r>
          </w:p>
        </w:tc>
        <w:tc>
          <w:tcPr>
            <w:tcW w:w="2126"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7,130,000</w:t>
            </w:r>
          </w:p>
        </w:tc>
        <w:tc>
          <w:tcPr>
            <w:tcW w:w="1972" w:type="dxa"/>
            <w:tcBorders>
              <w:top w:val="single" w:sz="4" w:space="0" w:color="auto"/>
              <w:left w:val="single" w:sz="4" w:space="0" w:color="auto"/>
              <w:bottom w:val="single" w:sz="4" w:space="0" w:color="auto"/>
              <w:right w:val="single" w:sz="4" w:space="0" w:color="auto"/>
            </w:tcBorders>
          </w:tcPr>
          <w:p w:rsidR="00AB0151" w:rsidRPr="00EF01C6" w:rsidRDefault="00AB0151" w:rsidP="00AB0151">
            <w:pPr>
              <w:spacing w:before="120" w:after="120"/>
              <w:jc w:val="center"/>
              <w:rPr>
                <w:sz w:val="20"/>
                <w:szCs w:val="22"/>
              </w:rPr>
            </w:pPr>
            <w:r w:rsidRPr="00EF01C6">
              <w:rPr>
                <w:sz w:val="20"/>
                <w:szCs w:val="22"/>
              </w:rPr>
              <w:t>27.8%</w:t>
            </w:r>
          </w:p>
        </w:tc>
      </w:tr>
    </w:tbl>
    <w:p w:rsidR="00AB0151" w:rsidRPr="00AF73D2" w:rsidRDefault="00AB0151" w:rsidP="00AB0151">
      <w:pPr>
        <w:spacing w:before="120" w:after="0"/>
        <w:jc w:val="both"/>
        <w:rPr>
          <w:b/>
          <w:sz w:val="22"/>
          <w:szCs w:val="22"/>
        </w:rPr>
      </w:pPr>
      <w:r w:rsidRPr="00454027">
        <w:rPr>
          <w:sz w:val="20"/>
          <w:szCs w:val="22"/>
        </w:rPr>
        <w:t>Source:</w:t>
      </w:r>
      <w:r w:rsidRPr="00454027">
        <w:rPr>
          <w:b/>
          <w:sz w:val="20"/>
          <w:szCs w:val="22"/>
        </w:rPr>
        <w:t xml:space="preserve"> </w:t>
      </w:r>
      <w:r w:rsidRPr="00454027">
        <w:rPr>
          <w:sz w:val="20"/>
          <w:szCs w:val="22"/>
        </w:rPr>
        <w:t>Schofield</w:t>
      </w:r>
      <w:r>
        <w:rPr>
          <w:rStyle w:val="EndnoteReference"/>
          <w:szCs w:val="22"/>
        </w:rPr>
        <w:endnoteReference w:id="18"/>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sidRPr="00AF73D2">
        <w:rPr>
          <w:sz w:val="22"/>
          <w:szCs w:val="22"/>
        </w:rPr>
        <w:t>The main chronic conditions implicated in these projections are likely to remain similar to the current most prevalent conditions</w:t>
      </w:r>
      <w:r>
        <w:rPr>
          <w:sz w:val="22"/>
          <w:szCs w:val="22"/>
        </w:rPr>
        <w:t xml:space="preserve">, although </w:t>
      </w:r>
      <w:r w:rsidRPr="00AF73D2">
        <w:rPr>
          <w:sz w:val="22"/>
          <w:szCs w:val="22"/>
        </w:rPr>
        <w:t xml:space="preserve">there are notable increases in the rate of diabetes and chronic pulmonary obstructive disease. The projected prevalence of </w:t>
      </w:r>
      <w:r>
        <w:rPr>
          <w:sz w:val="22"/>
          <w:szCs w:val="22"/>
        </w:rPr>
        <w:t xml:space="preserve">chronic </w:t>
      </w:r>
      <w:r w:rsidRPr="00AF73D2">
        <w:rPr>
          <w:sz w:val="22"/>
          <w:szCs w:val="22"/>
        </w:rPr>
        <w:t>conditions in 2030 compared to</w:t>
      </w:r>
      <w:r>
        <w:rPr>
          <w:sz w:val="22"/>
          <w:szCs w:val="22"/>
        </w:rPr>
        <w:t xml:space="preserve"> 2010 is shown in Figure 5.</w:t>
      </w:r>
    </w:p>
    <w:p w:rsidR="00AB0151" w:rsidRPr="00AF73D2" w:rsidRDefault="00AB0151" w:rsidP="00AB0151">
      <w:pPr>
        <w:spacing w:before="0" w:after="0"/>
        <w:jc w:val="both"/>
        <w:rPr>
          <w:sz w:val="22"/>
          <w:szCs w:val="22"/>
        </w:rPr>
      </w:pP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7C95B59A" wp14:editId="1664C437">
            <wp:extent cx="5909310" cy="3761105"/>
            <wp:effectExtent l="0" t="0" r="0" b="0"/>
            <wp:docPr id="2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0151" w:rsidRPr="00621A42" w:rsidRDefault="00AB0151" w:rsidP="00AB0151">
      <w:pPr>
        <w:spacing w:before="0" w:after="0"/>
        <w:jc w:val="both"/>
        <w:rPr>
          <w:sz w:val="22"/>
          <w:szCs w:val="22"/>
        </w:rPr>
      </w:pPr>
      <w:r w:rsidRPr="005858DE">
        <w:rPr>
          <w:sz w:val="20"/>
          <w:szCs w:val="22"/>
        </w:rPr>
        <w:t>Source: Schofield</w:t>
      </w:r>
      <w:r>
        <w:rPr>
          <w:rStyle w:val="EndnoteReference"/>
          <w:szCs w:val="22"/>
        </w:rPr>
        <w:endnoteReference w:id="19"/>
      </w:r>
    </w:p>
    <w:p w:rsidR="00AB0151" w:rsidRPr="00AF73D2" w:rsidRDefault="00AB0151" w:rsidP="00AB0151">
      <w:pPr>
        <w:spacing w:before="0" w:after="0"/>
        <w:jc w:val="both"/>
        <w:rPr>
          <w:sz w:val="22"/>
          <w:szCs w:val="22"/>
        </w:rPr>
      </w:pPr>
    </w:p>
    <w:p w:rsidR="00AB0151" w:rsidRPr="008B41AB" w:rsidRDefault="00AB0151" w:rsidP="00AB0151">
      <w:pPr>
        <w:spacing w:before="0" w:after="0"/>
        <w:rPr>
          <w:color w:val="FF0000"/>
          <w:sz w:val="22"/>
          <w:szCs w:val="22"/>
        </w:rPr>
      </w:pPr>
      <w:r w:rsidRPr="00AF73D2">
        <w:rPr>
          <w:sz w:val="22"/>
          <w:szCs w:val="22"/>
        </w:rPr>
        <w:t xml:space="preserve">The projected growth in chronic disease prevalence is underpinned by adverse health and lifestyle trends such as physical inactivity and poor nutrition. Without prevention and intervention strategies by Government, business and individuals, these adverse health trends, coupled with population ageing, will lead to increasing numbers of people with chronic </w:t>
      </w:r>
      <w:r>
        <w:rPr>
          <w:sz w:val="22"/>
          <w:szCs w:val="22"/>
        </w:rPr>
        <w:t>conditions.</w:t>
      </w:r>
      <w:r w:rsidRPr="00AF73D2">
        <w:rPr>
          <w:rStyle w:val="EndnoteReference"/>
          <w:sz w:val="22"/>
          <w:szCs w:val="22"/>
        </w:rPr>
        <w:endnoteReference w:id="20"/>
      </w:r>
    </w:p>
    <w:p w:rsidR="00AB0151" w:rsidRPr="005C58D5" w:rsidRDefault="00AB0151" w:rsidP="00AB0151">
      <w:pPr>
        <w:pStyle w:val="Heading2"/>
        <w:numPr>
          <w:ilvl w:val="1"/>
          <w:numId w:val="38"/>
        </w:numPr>
        <w:rPr>
          <w:sz w:val="22"/>
        </w:rPr>
      </w:pPr>
      <w:bookmarkStart w:id="8" w:name="_Toc451945618"/>
      <w:r w:rsidRPr="005C58D5">
        <w:rPr>
          <w:sz w:val="22"/>
        </w:rPr>
        <w:t>The impact of ageism and negative assumptions</w:t>
      </w:r>
      <w:bookmarkEnd w:id="8"/>
    </w:p>
    <w:p w:rsidR="00AB0151" w:rsidRPr="00AF73D2" w:rsidRDefault="00AB0151" w:rsidP="00AB0151">
      <w:pPr>
        <w:spacing w:before="0" w:after="0"/>
        <w:rPr>
          <w:sz w:val="22"/>
          <w:szCs w:val="22"/>
        </w:rPr>
      </w:pPr>
      <w:r w:rsidRPr="00AF73D2">
        <w:rPr>
          <w:sz w:val="22"/>
          <w:szCs w:val="22"/>
        </w:rPr>
        <w:t>Motivation and capacity to stay in the workforce ar</w:t>
      </w:r>
      <w:r>
        <w:rPr>
          <w:sz w:val="22"/>
          <w:szCs w:val="22"/>
        </w:rPr>
        <w:t>e not simply products of age. E</w:t>
      </w:r>
      <w:r w:rsidRPr="00AF73D2">
        <w:rPr>
          <w:sz w:val="22"/>
          <w:szCs w:val="22"/>
        </w:rPr>
        <w:t xml:space="preserve">xternal factors such as organisational support and access to health care play an important role. In this way age discrimination, ageist assumptions and negative stereotypes can undermine the ability or desire of an older person to remain in the workforce. </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Age discrimination does occur in the workplace. The national prevalence survey showed that over a quarter of Australians aged 50 years and over reported experiencing some form of age discrimination in the last two years</w:t>
      </w:r>
      <w:r>
        <w:rPr>
          <w:sz w:val="22"/>
          <w:szCs w:val="22"/>
        </w:rPr>
        <w:t>.</w:t>
      </w:r>
      <w:r w:rsidRPr="00AF73D2">
        <w:rPr>
          <w:rStyle w:val="EndnoteReference"/>
          <w:sz w:val="22"/>
          <w:szCs w:val="22"/>
        </w:rPr>
        <w:endnoteReference w:id="21"/>
      </w:r>
      <w:r w:rsidRPr="00AF73D2">
        <w:rPr>
          <w:sz w:val="22"/>
          <w:szCs w:val="22"/>
        </w:rPr>
        <w:t xml:space="preserve"> </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lastRenderedPageBreak/>
        <w:t>Discrimination may be direct or indirect and can be related to negative stereotypes, misunderstanding of illness or disability, and/or of legal responsibilities.</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Negative stereotypes and ageist assumptions can inform the way colleagues and employers treat older people in the workplace. These assumptions can be that older people are frail, weak and in poor health, and that they are not willing to learn or motivated to stay in work.</w:t>
      </w:r>
    </w:p>
    <w:p w:rsidR="00AB0151" w:rsidRPr="00AF73D2" w:rsidRDefault="00AB0151" w:rsidP="00AB0151">
      <w:pPr>
        <w:spacing w:before="0" w:after="0"/>
        <w:rPr>
          <w:sz w:val="22"/>
          <w:szCs w:val="22"/>
        </w:rPr>
      </w:pPr>
    </w:p>
    <w:p w:rsidR="00AB0151" w:rsidRPr="00E86607" w:rsidRDefault="00AB0151" w:rsidP="00AB0151">
      <w:pPr>
        <w:spacing w:before="0" w:after="0"/>
        <w:rPr>
          <w:i/>
          <w:sz w:val="22"/>
          <w:szCs w:val="22"/>
        </w:rPr>
      </w:pPr>
      <w:r>
        <w:rPr>
          <w:sz w:val="22"/>
          <w:szCs w:val="22"/>
        </w:rPr>
        <w:t xml:space="preserve">The Commission’s </w:t>
      </w:r>
      <w:r>
        <w:rPr>
          <w:i/>
          <w:sz w:val="22"/>
          <w:szCs w:val="22"/>
        </w:rPr>
        <w:t>Fact or Fiction? Stereotypes of Older Australians Report</w:t>
      </w:r>
      <w:r>
        <w:rPr>
          <w:sz w:val="22"/>
          <w:szCs w:val="22"/>
        </w:rPr>
        <w:t xml:space="preserve"> confirmed that along with feelings of shame, sadness and anger, being subject to negative stereotypes directly impacts on personal perceptions of self-worth and the person’s own view of ageing.</w:t>
      </w:r>
      <w:r>
        <w:rPr>
          <w:rStyle w:val="EndnoteReference"/>
          <w:szCs w:val="22"/>
        </w:rPr>
        <w:endnoteReference w:id="22"/>
      </w:r>
      <w:r>
        <w:rPr>
          <w:i/>
          <w:sz w:val="22"/>
          <w:szCs w:val="22"/>
        </w:rPr>
        <w:t xml:space="preserve"> </w:t>
      </w:r>
      <w:r w:rsidRPr="00AF73D2">
        <w:rPr>
          <w:sz w:val="22"/>
          <w:szCs w:val="22"/>
        </w:rPr>
        <w:t xml:space="preserve">Such attitudes </w:t>
      </w:r>
      <w:r>
        <w:rPr>
          <w:sz w:val="22"/>
          <w:szCs w:val="22"/>
        </w:rPr>
        <w:t>also</w:t>
      </w:r>
      <w:r w:rsidRPr="00AF73D2">
        <w:rPr>
          <w:sz w:val="22"/>
          <w:szCs w:val="22"/>
        </w:rPr>
        <w:t xml:space="preserve"> negatively impact the way an older worker is supported within an organisation. In particular, it can manifest as an unwillingness to offer support and adequate workplace adjustments or an eagerness to remove an older person from the organisation. </w:t>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Pr>
          <w:sz w:val="22"/>
          <w:szCs w:val="22"/>
        </w:rPr>
        <w:t>Furthermore, a</w:t>
      </w:r>
      <w:r w:rsidRPr="00AF73D2">
        <w:rPr>
          <w:sz w:val="22"/>
          <w:szCs w:val="22"/>
        </w:rPr>
        <w:t>ge discrimination and ageist assumption</w:t>
      </w:r>
      <w:r>
        <w:rPr>
          <w:sz w:val="22"/>
          <w:szCs w:val="22"/>
        </w:rPr>
        <w:t>s</w:t>
      </w:r>
      <w:r w:rsidRPr="00AF73D2">
        <w:rPr>
          <w:sz w:val="22"/>
          <w:szCs w:val="22"/>
        </w:rPr>
        <w:t xml:space="preserve"> undermine the </w:t>
      </w:r>
      <w:r>
        <w:rPr>
          <w:sz w:val="22"/>
          <w:szCs w:val="22"/>
        </w:rPr>
        <w:t xml:space="preserve">crucial </w:t>
      </w:r>
      <w:r w:rsidRPr="00AF73D2">
        <w:rPr>
          <w:sz w:val="22"/>
          <w:szCs w:val="22"/>
        </w:rPr>
        <w:t xml:space="preserve">relationship between employer and employee. </w:t>
      </w:r>
      <w:r>
        <w:rPr>
          <w:sz w:val="22"/>
          <w:szCs w:val="22"/>
        </w:rPr>
        <w:t>Consequently, w</w:t>
      </w:r>
      <w:r w:rsidRPr="00AF73D2">
        <w:rPr>
          <w:sz w:val="22"/>
          <w:szCs w:val="22"/>
        </w:rPr>
        <w:t>here age discrimination occurs it can lead to an employee avoiding disclosure of a chronic condition, not accessing support or not wanting to stay in work.</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For example, Arthritis Victoria found that ‘disclosure avoidance was reported by participants who expected to be discriminated against because of their condition, or who perceived no advantages in disclosing’</w:t>
      </w:r>
      <w:r>
        <w:rPr>
          <w:sz w:val="22"/>
          <w:szCs w:val="22"/>
        </w:rPr>
        <w:t>.</w:t>
      </w:r>
      <w:r w:rsidRPr="00AF73D2">
        <w:rPr>
          <w:rStyle w:val="EndnoteReference"/>
          <w:sz w:val="22"/>
          <w:szCs w:val="22"/>
        </w:rPr>
        <w:endnoteReference w:id="23"/>
      </w:r>
      <w:r w:rsidRPr="00AF73D2">
        <w:rPr>
          <w:sz w:val="22"/>
          <w:szCs w:val="22"/>
        </w:rPr>
        <w:t xml:space="preserve"> Furthermore, ‘many participants were concerned that accessing workplace supports would single them out as being a liability to the work team or organisation’</w:t>
      </w:r>
      <w:r>
        <w:rPr>
          <w:sz w:val="22"/>
          <w:szCs w:val="22"/>
        </w:rPr>
        <w:t>.</w:t>
      </w:r>
      <w:r w:rsidRPr="00AF73D2">
        <w:rPr>
          <w:rStyle w:val="EndnoteReference"/>
          <w:sz w:val="22"/>
          <w:szCs w:val="22"/>
        </w:rPr>
        <w:endnoteReference w:id="24"/>
      </w:r>
    </w:p>
    <w:p w:rsidR="00AB0151" w:rsidRPr="00AF73D2" w:rsidRDefault="00AB0151" w:rsidP="00AB0151">
      <w:pPr>
        <w:spacing w:before="0" w:after="0"/>
        <w:rPr>
          <w:sz w:val="22"/>
          <w:szCs w:val="22"/>
        </w:rPr>
      </w:pPr>
    </w:p>
    <w:p w:rsidR="00AB0151" w:rsidRPr="008B41AB" w:rsidRDefault="00AB0151" w:rsidP="00AB0151">
      <w:pPr>
        <w:autoSpaceDE w:val="0"/>
        <w:autoSpaceDN w:val="0"/>
        <w:adjustRightInd w:val="0"/>
        <w:spacing w:before="0" w:after="0"/>
        <w:rPr>
          <w:rFonts w:cs="Arial"/>
          <w:sz w:val="22"/>
          <w:szCs w:val="22"/>
        </w:rPr>
      </w:pPr>
      <w:r w:rsidRPr="00AF73D2">
        <w:rPr>
          <w:sz w:val="22"/>
          <w:szCs w:val="22"/>
        </w:rPr>
        <w:t>A literature review by the Victorian Department of Health in 2012 also noted that ‘</w:t>
      </w:r>
      <w:r w:rsidRPr="00AF73D2">
        <w:rPr>
          <w:rFonts w:cs="Arial"/>
          <w:sz w:val="22"/>
          <w:szCs w:val="22"/>
        </w:rPr>
        <w:t>[ageism] can limit access to health care, due to beliefs that health problems are just a normal part of ageing’</w:t>
      </w:r>
      <w:r>
        <w:rPr>
          <w:rFonts w:cs="Arial"/>
          <w:sz w:val="22"/>
          <w:szCs w:val="22"/>
        </w:rPr>
        <w:t>.</w:t>
      </w:r>
      <w:r w:rsidRPr="00AF73D2">
        <w:rPr>
          <w:rStyle w:val="EndnoteReference"/>
          <w:rFonts w:cs="Arial"/>
          <w:sz w:val="22"/>
          <w:szCs w:val="22"/>
        </w:rPr>
        <w:endnoteReference w:id="25"/>
      </w:r>
      <w:r w:rsidRPr="00AF73D2">
        <w:rPr>
          <w:rFonts w:cs="Arial"/>
          <w:sz w:val="22"/>
          <w:szCs w:val="22"/>
        </w:rPr>
        <w:t xml:space="preserve"> Preventative health care and proper management of chronic conditions is crucial to supporting longer working lives and so where adequate health care is not accessed the probability of remaining in the workforce is reduced</w:t>
      </w:r>
      <w:r>
        <w:rPr>
          <w:rFonts w:cs="Arial"/>
          <w:sz w:val="22"/>
          <w:szCs w:val="22"/>
        </w:rPr>
        <w:t>.</w:t>
      </w:r>
      <w:r w:rsidRPr="00AF73D2">
        <w:rPr>
          <w:rStyle w:val="EndnoteReference"/>
          <w:rFonts w:cs="Arial"/>
          <w:sz w:val="22"/>
          <w:szCs w:val="22"/>
        </w:rPr>
        <w:endnoteReference w:id="26"/>
      </w:r>
      <w:r w:rsidRPr="00AF73D2">
        <w:rPr>
          <w:rFonts w:cs="Arial"/>
          <w:sz w:val="22"/>
          <w:szCs w:val="22"/>
        </w:rPr>
        <w:t xml:space="preserve"> </w:t>
      </w:r>
    </w:p>
    <w:p w:rsidR="00AB0151" w:rsidRPr="0091122F" w:rsidRDefault="00AB0151" w:rsidP="00AB0151">
      <w:pPr>
        <w:pStyle w:val="Heading1"/>
        <w:numPr>
          <w:ilvl w:val="0"/>
          <w:numId w:val="38"/>
        </w:numPr>
        <w:rPr>
          <w:sz w:val="24"/>
        </w:rPr>
      </w:pPr>
      <w:bookmarkStart w:id="9" w:name="_Toc451945619"/>
      <w:r w:rsidRPr="0091122F">
        <w:rPr>
          <w:sz w:val="24"/>
        </w:rPr>
        <w:t>The case for wellbeing and longer working lives</w:t>
      </w:r>
      <w:bookmarkEnd w:id="9"/>
    </w:p>
    <w:p w:rsidR="00AB0151" w:rsidRPr="005C58D5" w:rsidRDefault="00AB0151" w:rsidP="00AB0151">
      <w:pPr>
        <w:pStyle w:val="Heading2"/>
        <w:numPr>
          <w:ilvl w:val="1"/>
          <w:numId w:val="38"/>
        </w:numPr>
        <w:rPr>
          <w:sz w:val="22"/>
        </w:rPr>
      </w:pPr>
      <w:bookmarkStart w:id="10" w:name="_Toc451945620"/>
      <w:r w:rsidRPr="005C58D5">
        <w:rPr>
          <w:sz w:val="22"/>
        </w:rPr>
        <w:t>Government</w:t>
      </w:r>
      <w:bookmarkEnd w:id="10"/>
    </w:p>
    <w:p w:rsidR="00AB0151" w:rsidRDefault="00AB0151" w:rsidP="00AB0151">
      <w:pPr>
        <w:spacing w:before="0" w:after="0"/>
        <w:rPr>
          <w:sz w:val="22"/>
          <w:szCs w:val="22"/>
        </w:rPr>
      </w:pPr>
      <w:r w:rsidRPr="00AF73D2">
        <w:rPr>
          <w:sz w:val="22"/>
          <w:szCs w:val="22"/>
        </w:rPr>
        <w:t>Increasing workforce participation</w:t>
      </w:r>
      <w:r>
        <w:rPr>
          <w:sz w:val="22"/>
          <w:szCs w:val="22"/>
        </w:rPr>
        <w:t xml:space="preserve"> by older people</w:t>
      </w:r>
      <w:r w:rsidRPr="00AF73D2">
        <w:rPr>
          <w:sz w:val="22"/>
          <w:szCs w:val="22"/>
        </w:rPr>
        <w:t xml:space="preserve"> and achieving longer working lives is one way of meeting future challenges brought on by demographic changes. </w:t>
      </w:r>
    </w:p>
    <w:p w:rsidR="00AB0151"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As stated by the most recent intergenerational report: ‘to drive higher levels of prosperity through economic growth, we must increase productivity and participation. If we are to achieve these goals we need to encourage those currently not in the workforce, especially older Australians and women, to enter, re-enter and stay in work, where they choose to do so’</w:t>
      </w:r>
      <w:r>
        <w:rPr>
          <w:sz w:val="22"/>
          <w:szCs w:val="22"/>
        </w:rPr>
        <w:t>.</w:t>
      </w:r>
      <w:r w:rsidRPr="00AF73D2">
        <w:rPr>
          <w:rStyle w:val="EndnoteReference"/>
          <w:sz w:val="22"/>
          <w:szCs w:val="22"/>
        </w:rPr>
        <w:endnoteReference w:id="27"/>
      </w:r>
    </w:p>
    <w:p w:rsidR="00AB0151" w:rsidRDefault="00AB0151" w:rsidP="00AB0151">
      <w:pPr>
        <w:spacing w:before="0" w:after="0"/>
        <w:rPr>
          <w:sz w:val="22"/>
          <w:szCs w:val="22"/>
        </w:rPr>
      </w:pPr>
    </w:p>
    <w:p w:rsidR="00AB0151" w:rsidRPr="00AF73D2" w:rsidRDefault="00AB0151" w:rsidP="00AB0151">
      <w:pPr>
        <w:spacing w:before="0" w:after="0"/>
        <w:rPr>
          <w:sz w:val="22"/>
          <w:szCs w:val="22"/>
        </w:rPr>
      </w:pPr>
      <w:r w:rsidRPr="00AF73D2">
        <w:rPr>
          <w:sz w:val="22"/>
          <w:szCs w:val="22"/>
        </w:rPr>
        <w:t>Government policy specifically aimed at improving health and wellbeing as means of extending working lives is an important policy lever in terms of improving participation rates, increasing GDP and tax revenue and also reducing expenditure.</w:t>
      </w:r>
    </w:p>
    <w:p w:rsidR="00AB0151"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 xml:space="preserve">Without the capacity to work as a result of poorly managed health, financial incentives can be underutilised. </w:t>
      </w:r>
      <w:r>
        <w:rPr>
          <w:sz w:val="22"/>
          <w:szCs w:val="22"/>
        </w:rPr>
        <w:t>This is because ‘once an individual’s choice is removed…the classical life-cycle trade-off between an increase in future income and leisure as a determinant of retirement becomes irrelevant’.</w:t>
      </w:r>
      <w:r>
        <w:rPr>
          <w:rStyle w:val="EndnoteReference"/>
          <w:szCs w:val="22"/>
        </w:rPr>
        <w:endnoteReference w:id="28"/>
      </w:r>
      <w:r>
        <w:rPr>
          <w:sz w:val="22"/>
          <w:szCs w:val="22"/>
        </w:rPr>
        <w:t xml:space="preserve"> For people who retire involuntarily as a result of ill-health, changes in the age pension eligibility or other incentives for continued work ‘will have no impact on their effective retirement age but can have an impact on their wellbeing at retirement’.</w:t>
      </w:r>
      <w:r>
        <w:rPr>
          <w:rStyle w:val="EndnoteReference"/>
          <w:szCs w:val="22"/>
        </w:rPr>
        <w:endnoteReference w:id="29"/>
      </w:r>
    </w:p>
    <w:p w:rsidR="00AB0151" w:rsidRDefault="00AB0151" w:rsidP="00AB0151">
      <w:pPr>
        <w:spacing w:before="0" w:after="0"/>
        <w:rPr>
          <w:sz w:val="22"/>
          <w:szCs w:val="22"/>
        </w:rPr>
      </w:pPr>
    </w:p>
    <w:p w:rsidR="00AB0151" w:rsidRPr="00AF73D2" w:rsidRDefault="00AB0151" w:rsidP="00AB0151">
      <w:pPr>
        <w:spacing w:before="0" w:after="0"/>
        <w:rPr>
          <w:sz w:val="22"/>
          <w:szCs w:val="22"/>
        </w:rPr>
      </w:pPr>
      <w:r>
        <w:rPr>
          <w:sz w:val="22"/>
          <w:szCs w:val="22"/>
        </w:rPr>
        <w:t xml:space="preserve">Therefore, </w:t>
      </w:r>
      <w:r w:rsidRPr="00AF73D2">
        <w:rPr>
          <w:sz w:val="22"/>
          <w:szCs w:val="22"/>
        </w:rPr>
        <w:t>improving health and wellbeing can enhance the effectiveness of other policies aimed at increasing workforce participation</w:t>
      </w:r>
      <w:r>
        <w:rPr>
          <w:sz w:val="22"/>
          <w:szCs w:val="22"/>
        </w:rPr>
        <w:t xml:space="preserve"> by older people</w:t>
      </w:r>
      <w:r w:rsidRPr="00AF73D2">
        <w:rPr>
          <w:sz w:val="22"/>
          <w:szCs w:val="22"/>
        </w:rPr>
        <w:t xml:space="preserve">. </w:t>
      </w:r>
      <w:r>
        <w:rPr>
          <w:sz w:val="22"/>
          <w:szCs w:val="22"/>
        </w:rPr>
        <w:t xml:space="preserve">For example </w:t>
      </w:r>
      <w:r w:rsidRPr="00AF73D2">
        <w:rPr>
          <w:sz w:val="22"/>
          <w:szCs w:val="22"/>
        </w:rPr>
        <w:t xml:space="preserve">AMP.NATSEM suggests that a small improvement in population health could achieve a similar increase in </w:t>
      </w:r>
      <w:r>
        <w:rPr>
          <w:sz w:val="22"/>
          <w:szCs w:val="22"/>
        </w:rPr>
        <w:t xml:space="preserve">workforce </w:t>
      </w:r>
      <w:r w:rsidRPr="00AF73D2">
        <w:rPr>
          <w:sz w:val="22"/>
          <w:szCs w:val="22"/>
        </w:rPr>
        <w:t>participation as raising the age pension eligibility age, but in a short</w:t>
      </w:r>
      <w:r>
        <w:rPr>
          <w:sz w:val="22"/>
          <w:szCs w:val="22"/>
        </w:rPr>
        <w:t>er</w:t>
      </w:r>
      <w:r w:rsidRPr="00AF73D2">
        <w:rPr>
          <w:sz w:val="22"/>
          <w:szCs w:val="22"/>
        </w:rPr>
        <w:t xml:space="preserve"> period of</w:t>
      </w:r>
      <w:r w:rsidRPr="00AB0151">
        <w:rPr>
          <w:color w:val="FFFFFF"/>
          <w:sz w:val="22"/>
          <w:szCs w:val="22"/>
        </w:rPr>
        <w:t>-</w:t>
      </w:r>
      <w:r w:rsidRPr="00AF73D2">
        <w:rPr>
          <w:sz w:val="22"/>
          <w:szCs w:val="22"/>
        </w:rPr>
        <w:t>time</w:t>
      </w:r>
      <w:r>
        <w:rPr>
          <w:sz w:val="22"/>
          <w:szCs w:val="22"/>
        </w:rPr>
        <w:t>.</w:t>
      </w:r>
      <w:r w:rsidRPr="00AF73D2">
        <w:rPr>
          <w:rStyle w:val="EndnoteReference"/>
          <w:sz w:val="22"/>
          <w:szCs w:val="22"/>
        </w:rPr>
        <w:endnoteReference w:id="30"/>
      </w:r>
      <w:r w:rsidRPr="00AF73D2">
        <w:rPr>
          <w:sz w:val="22"/>
          <w:szCs w:val="22"/>
        </w:rPr>
        <w:br/>
      </w:r>
    </w:p>
    <w:p w:rsidR="00AB0151" w:rsidRPr="00AF73D2" w:rsidRDefault="00AB0151" w:rsidP="00AB0151">
      <w:pPr>
        <w:spacing w:before="0" w:after="0"/>
        <w:rPr>
          <w:sz w:val="22"/>
          <w:szCs w:val="22"/>
        </w:rPr>
      </w:pPr>
      <w:r w:rsidRPr="00AF73D2">
        <w:rPr>
          <w:sz w:val="22"/>
          <w:szCs w:val="22"/>
        </w:rPr>
        <w:t>Health, as shown in Figure 6, is a significant influence on retirement intentions. ABS data shows that health, as the main factor influencing the decision about when to retire is second only to financial security</w:t>
      </w:r>
      <w:r>
        <w:rPr>
          <w:sz w:val="22"/>
          <w:szCs w:val="22"/>
        </w:rPr>
        <w:t>, and is a more significant factor than reaching eligibility for age pension</w:t>
      </w:r>
      <w:r w:rsidRPr="00AF73D2">
        <w:rPr>
          <w:sz w:val="22"/>
          <w:szCs w:val="22"/>
        </w:rPr>
        <w:t xml:space="preserve">. This adds weight to the potential of health as a policy lever </w:t>
      </w:r>
      <w:r>
        <w:rPr>
          <w:sz w:val="22"/>
          <w:szCs w:val="22"/>
        </w:rPr>
        <w:t>to raise workforce participation</w:t>
      </w:r>
      <w:r w:rsidRPr="00AF73D2">
        <w:rPr>
          <w:sz w:val="22"/>
          <w:szCs w:val="22"/>
        </w:rPr>
        <w:t xml:space="preserve">. </w:t>
      </w:r>
    </w:p>
    <w:p w:rsidR="00AB0151" w:rsidRPr="00AF73D2" w:rsidRDefault="00AB0151" w:rsidP="00AB0151">
      <w:pPr>
        <w:spacing w:before="0" w:after="0"/>
        <w:jc w:val="both"/>
        <w:rPr>
          <w:sz w:val="22"/>
          <w:szCs w:val="22"/>
        </w:rPr>
      </w:pP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32C841C8" wp14:editId="47905A4A">
            <wp:extent cx="5891530" cy="3183255"/>
            <wp:effectExtent l="0" t="0" r="0" b="0"/>
            <wp:docPr id="2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0151" w:rsidRPr="006A3B1C" w:rsidRDefault="00AB0151" w:rsidP="00AB0151">
      <w:pPr>
        <w:spacing w:before="0" w:after="0"/>
        <w:jc w:val="both"/>
        <w:rPr>
          <w:sz w:val="22"/>
          <w:szCs w:val="22"/>
        </w:rPr>
      </w:pPr>
      <w:r w:rsidRPr="0049210E">
        <w:rPr>
          <w:sz w:val="20"/>
          <w:szCs w:val="22"/>
        </w:rPr>
        <w:t>Source: ABS</w:t>
      </w:r>
      <w:r>
        <w:rPr>
          <w:rStyle w:val="EndnoteReference"/>
          <w:szCs w:val="22"/>
        </w:rPr>
        <w:endnoteReference w:id="31"/>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sidRPr="00AF73D2">
        <w:rPr>
          <w:sz w:val="22"/>
          <w:szCs w:val="22"/>
        </w:rPr>
        <w:t xml:space="preserve">Improving health is also a means of improving economic sustainability. The national cost of chronic conditions </w:t>
      </w:r>
      <w:r>
        <w:rPr>
          <w:sz w:val="22"/>
          <w:szCs w:val="22"/>
        </w:rPr>
        <w:t>as a result of reduced work</w:t>
      </w:r>
      <w:r w:rsidRPr="00AF73D2">
        <w:rPr>
          <w:sz w:val="22"/>
          <w:szCs w:val="22"/>
        </w:rPr>
        <w:t>force participation</w:t>
      </w:r>
      <w:r>
        <w:rPr>
          <w:sz w:val="22"/>
          <w:szCs w:val="22"/>
        </w:rPr>
        <w:t>,</w:t>
      </w:r>
      <w:r w:rsidRPr="00AF73D2">
        <w:rPr>
          <w:sz w:val="22"/>
          <w:szCs w:val="22"/>
        </w:rPr>
        <w:t xml:space="preserve"> shown in Figure 7</w:t>
      </w:r>
      <w:r>
        <w:rPr>
          <w:sz w:val="22"/>
          <w:szCs w:val="22"/>
        </w:rPr>
        <w:t>,</w:t>
      </w:r>
      <w:r w:rsidRPr="00AF73D2">
        <w:rPr>
          <w:sz w:val="22"/>
          <w:szCs w:val="22"/>
        </w:rPr>
        <w:t xml:space="preserve"> is significant</w:t>
      </w:r>
      <w:r>
        <w:rPr>
          <w:sz w:val="22"/>
          <w:szCs w:val="22"/>
        </w:rPr>
        <w:t xml:space="preserve"> — </w:t>
      </w:r>
      <w:r w:rsidRPr="00AF73D2">
        <w:rPr>
          <w:sz w:val="22"/>
          <w:szCs w:val="22"/>
        </w:rPr>
        <w:t>this is both as a result of extra Government transfer payments and lost taxation revenue. For example, reduced workforce participation as a result of back problems in those a</w:t>
      </w:r>
      <w:r>
        <w:rPr>
          <w:sz w:val="22"/>
          <w:szCs w:val="22"/>
        </w:rPr>
        <w:t>ged 45–</w:t>
      </w:r>
      <w:r w:rsidRPr="00AF73D2">
        <w:rPr>
          <w:sz w:val="22"/>
          <w:szCs w:val="22"/>
        </w:rPr>
        <w:t>64 years incurs a</w:t>
      </w:r>
      <w:r>
        <w:rPr>
          <w:sz w:val="22"/>
          <w:szCs w:val="22"/>
        </w:rPr>
        <w:t>n estimated</w:t>
      </w:r>
      <w:r w:rsidRPr="00AF73D2">
        <w:rPr>
          <w:sz w:val="22"/>
          <w:szCs w:val="22"/>
        </w:rPr>
        <w:t xml:space="preserve"> loss of $497 million in taxation revenue and an extra $622 million in Government spending through transfer payments. </w:t>
      </w:r>
    </w:p>
    <w:p w:rsidR="00AB0151" w:rsidRPr="00AF73D2" w:rsidRDefault="004B03D0" w:rsidP="00AB0151">
      <w:pPr>
        <w:spacing w:before="0" w:after="0"/>
        <w:rPr>
          <w:sz w:val="22"/>
          <w:szCs w:val="22"/>
        </w:rPr>
      </w:pPr>
      <w:r w:rsidRPr="00AB0151">
        <w:rPr>
          <w:noProof/>
          <w:sz w:val="22"/>
          <w:szCs w:val="22"/>
        </w:rPr>
        <w:lastRenderedPageBreak/>
        <w:drawing>
          <wp:inline distT="0" distB="0" distL="0" distR="0" wp14:anchorId="07E4B169" wp14:editId="6B76CB87">
            <wp:extent cx="5891530" cy="2967487"/>
            <wp:effectExtent l="0" t="0" r="0" b="4445"/>
            <wp:docPr id="2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0151" w:rsidRPr="003627E9" w:rsidRDefault="00AB0151" w:rsidP="00AB0151">
      <w:pPr>
        <w:spacing w:before="0" w:after="0"/>
        <w:jc w:val="both"/>
        <w:rPr>
          <w:sz w:val="22"/>
          <w:szCs w:val="22"/>
        </w:rPr>
      </w:pPr>
      <w:r w:rsidRPr="00A06E12">
        <w:rPr>
          <w:sz w:val="20"/>
          <w:szCs w:val="22"/>
        </w:rPr>
        <w:t>Source: Schofield</w:t>
      </w:r>
      <w:r>
        <w:rPr>
          <w:rStyle w:val="EndnoteReference"/>
          <w:szCs w:val="22"/>
        </w:rPr>
        <w:endnoteReference w:id="32"/>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Pr>
          <w:sz w:val="22"/>
          <w:szCs w:val="22"/>
        </w:rPr>
        <w:t>As shown in Figure 8, p</w:t>
      </w:r>
      <w:r w:rsidRPr="00AF73D2">
        <w:rPr>
          <w:sz w:val="22"/>
          <w:szCs w:val="22"/>
        </w:rPr>
        <w:t xml:space="preserve">rojections indicate that the cost of lost </w:t>
      </w:r>
      <w:r>
        <w:rPr>
          <w:sz w:val="22"/>
          <w:szCs w:val="22"/>
        </w:rPr>
        <w:t>work</w:t>
      </w:r>
      <w:r w:rsidRPr="00AF73D2">
        <w:rPr>
          <w:sz w:val="22"/>
          <w:szCs w:val="22"/>
        </w:rPr>
        <w:t>force participation due to chronic conditions in people aged 45</w:t>
      </w:r>
      <w:r>
        <w:rPr>
          <w:sz w:val="22"/>
          <w:szCs w:val="22"/>
        </w:rPr>
        <w:t>–</w:t>
      </w:r>
      <w:r w:rsidRPr="00AF73D2">
        <w:rPr>
          <w:sz w:val="22"/>
          <w:szCs w:val="22"/>
        </w:rPr>
        <w:t xml:space="preserve">64 years will continue to be large, with lost GDP being over $60 billion by 2030. This is particularly critical in the context of a shrinking workforce and increasing pressure on economic sustainability. </w:t>
      </w:r>
    </w:p>
    <w:p w:rsidR="00AB0151" w:rsidRPr="00F440EB" w:rsidRDefault="004B03D0" w:rsidP="00AB0151">
      <w:pPr>
        <w:spacing w:before="0" w:after="0"/>
        <w:jc w:val="both"/>
        <w:rPr>
          <w:sz w:val="20"/>
          <w:szCs w:val="20"/>
        </w:rPr>
      </w:pPr>
      <w:r w:rsidRPr="00AB0151">
        <w:rPr>
          <w:noProof/>
          <w:sz w:val="22"/>
          <w:szCs w:val="22"/>
        </w:rPr>
        <w:drawing>
          <wp:inline distT="0" distB="0" distL="0" distR="0" wp14:anchorId="476AF7B3" wp14:editId="6DAD5907">
            <wp:extent cx="5779770" cy="2493034"/>
            <wp:effectExtent l="0" t="0" r="0" b="2540"/>
            <wp:docPr id="2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B0151" w:rsidRPr="00F440EB">
        <w:rPr>
          <w:sz w:val="20"/>
          <w:szCs w:val="20"/>
        </w:rPr>
        <w:t>Source:</w:t>
      </w:r>
      <w:r w:rsidR="00AB0151" w:rsidRPr="00F440EB">
        <w:rPr>
          <w:b/>
          <w:sz w:val="20"/>
          <w:szCs w:val="20"/>
        </w:rPr>
        <w:t xml:space="preserve"> </w:t>
      </w:r>
      <w:r w:rsidR="00AB0151" w:rsidRPr="00F440EB">
        <w:rPr>
          <w:sz w:val="20"/>
          <w:szCs w:val="20"/>
        </w:rPr>
        <w:t>Schofield</w:t>
      </w:r>
      <w:r w:rsidR="00AB0151" w:rsidRPr="00F440EB">
        <w:rPr>
          <w:rStyle w:val="EndnoteReference"/>
          <w:szCs w:val="20"/>
        </w:rPr>
        <w:endnoteReference w:id="33"/>
      </w:r>
    </w:p>
    <w:p w:rsidR="00AB0151" w:rsidRPr="00F440EB" w:rsidRDefault="00AB0151" w:rsidP="00AB0151">
      <w:pPr>
        <w:spacing w:before="0" w:after="0"/>
        <w:jc w:val="both"/>
        <w:rPr>
          <w:sz w:val="20"/>
          <w:szCs w:val="20"/>
        </w:rPr>
      </w:pPr>
    </w:p>
    <w:p w:rsidR="00AB0151" w:rsidRPr="008B41AB" w:rsidRDefault="00AB0151" w:rsidP="00AB0151">
      <w:pPr>
        <w:spacing w:before="0" w:after="0"/>
        <w:rPr>
          <w:sz w:val="22"/>
          <w:szCs w:val="22"/>
        </w:rPr>
      </w:pPr>
      <w:r w:rsidRPr="00AF73D2">
        <w:rPr>
          <w:sz w:val="22"/>
          <w:szCs w:val="22"/>
        </w:rPr>
        <w:t xml:space="preserve">The importance of health as an enabler of workforce participation, along with the large national cost of chronic </w:t>
      </w:r>
      <w:r>
        <w:rPr>
          <w:sz w:val="22"/>
          <w:szCs w:val="22"/>
        </w:rPr>
        <w:t>conditions</w:t>
      </w:r>
      <w:r w:rsidRPr="00AF73D2">
        <w:rPr>
          <w:sz w:val="22"/>
          <w:szCs w:val="22"/>
        </w:rPr>
        <w:t xml:space="preserve"> adds to the national impetus to reduce prevalence of chronic </w:t>
      </w:r>
      <w:r>
        <w:rPr>
          <w:sz w:val="22"/>
          <w:szCs w:val="22"/>
        </w:rPr>
        <w:t>conditions</w:t>
      </w:r>
      <w:r w:rsidRPr="00AF73D2">
        <w:rPr>
          <w:sz w:val="22"/>
          <w:szCs w:val="22"/>
        </w:rPr>
        <w:t xml:space="preserve"> and create more work-enabling environments</w:t>
      </w:r>
      <w:r>
        <w:rPr>
          <w:sz w:val="22"/>
          <w:szCs w:val="22"/>
        </w:rPr>
        <w:t>.</w:t>
      </w:r>
    </w:p>
    <w:p w:rsidR="00AB0151" w:rsidRPr="005C58D5" w:rsidRDefault="00AB0151" w:rsidP="00AB0151">
      <w:pPr>
        <w:pStyle w:val="Heading2"/>
        <w:numPr>
          <w:ilvl w:val="1"/>
          <w:numId w:val="38"/>
        </w:numPr>
        <w:rPr>
          <w:sz w:val="22"/>
        </w:rPr>
      </w:pPr>
      <w:bookmarkStart w:id="11" w:name="_Toc451945621"/>
      <w:r w:rsidRPr="005C58D5">
        <w:rPr>
          <w:sz w:val="22"/>
        </w:rPr>
        <w:t>Business</w:t>
      </w:r>
      <w:bookmarkEnd w:id="11"/>
      <w:r w:rsidRPr="005C58D5">
        <w:rPr>
          <w:sz w:val="22"/>
        </w:rPr>
        <w:t xml:space="preserve"> </w:t>
      </w:r>
    </w:p>
    <w:p w:rsidR="00AB0151" w:rsidRPr="00AB0151" w:rsidRDefault="00AB0151" w:rsidP="00AB0151">
      <w:pPr>
        <w:autoSpaceDE w:val="0"/>
        <w:autoSpaceDN w:val="0"/>
        <w:adjustRightInd w:val="0"/>
        <w:spacing w:before="0" w:after="0"/>
        <w:rPr>
          <w:rFonts w:cs="Arial"/>
          <w:sz w:val="22"/>
          <w:szCs w:val="22"/>
        </w:rPr>
      </w:pPr>
      <w:r w:rsidRPr="00AB0151">
        <w:rPr>
          <w:rFonts w:cs="Arial"/>
          <w:sz w:val="22"/>
          <w:szCs w:val="22"/>
        </w:rPr>
        <w:t xml:space="preserve">There is a strong case for business to promote the health and wellbeing of its employees. The workplace is therefore not only a key facilitator of healthy ageing, but is also a central beneficiary. </w:t>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autoSpaceDE w:val="0"/>
        <w:autoSpaceDN w:val="0"/>
        <w:adjustRightInd w:val="0"/>
        <w:spacing w:before="0" w:after="0"/>
        <w:rPr>
          <w:rFonts w:cs="Arial"/>
          <w:sz w:val="22"/>
          <w:szCs w:val="22"/>
        </w:rPr>
      </w:pPr>
      <w:r w:rsidRPr="00AB0151">
        <w:rPr>
          <w:rFonts w:cs="Arial"/>
          <w:sz w:val="22"/>
          <w:szCs w:val="22"/>
        </w:rPr>
        <w:t>Research has shown that workplaces with formal health and wellbeing programs have a competitive advantage, reporting tangible gains in productivity, employee satisfaction and engagement.</w:t>
      </w:r>
      <w:r w:rsidRPr="00AB0151">
        <w:rPr>
          <w:rStyle w:val="EndnoteReference"/>
          <w:rFonts w:cs="Arial"/>
          <w:szCs w:val="22"/>
        </w:rPr>
        <w:endnoteReference w:id="34"/>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autoSpaceDE w:val="0"/>
        <w:autoSpaceDN w:val="0"/>
        <w:adjustRightInd w:val="0"/>
        <w:spacing w:before="0" w:after="0"/>
        <w:rPr>
          <w:rFonts w:cs="Arial"/>
          <w:sz w:val="22"/>
          <w:szCs w:val="22"/>
        </w:rPr>
      </w:pPr>
      <w:r w:rsidRPr="00AB0151">
        <w:rPr>
          <w:rFonts w:cs="Arial"/>
          <w:sz w:val="22"/>
          <w:szCs w:val="22"/>
        </w:rPr>
        <w:lastRenderedPageBreak/>
        <w:t>Furthermore, the cost of employees in poor health is significant. Employers bear the cost of poor health through increases in both absenteeism and ‘presenteeism’ (not fully functioning at work as a result of a medical condition). The AIHW reports that those with chronic conditions have 0.48 days off per fortnight due to sickness compared to 0.25 days for people without a chronic condition.</w:t>
      </w:r>
      <w:r w:rsidRPr="00AB0151">
        <w:rPr>
          <w:rStyle w:val="EndnoteReference"/>
          <w:rFonts w:cs="Arial"/>
          <w:szCs w:val="22"/>
        </w:rPr>
        <w:endnoteReference w:id="35"/>
      </w:r>
      <w:r w:rsidRPr="00AB0151">
        <w:rPr>
          <w:rFonts w:cs="Arial"/>
          <w:sz w:val="22"/>
          <w:szCs w:val="22"/>
        </w:rPr>
        <w:t xml:space="preserve"> The estimated cost of absenteeism to the Australian economy is $7 billion, while the cost of presenteeism is nearly four times more.</w:t>
      </w:r>
      <w:r w:rsidRPr="00AB0151">
        <w:rPr>
          <w:rStyle w:val="EndnoteReference"/>
          <w:rFonts w:cs="Arial"/>
          <w:szCs w:val="22"/>
        </w:rPr>
        <w:endnoteReference w:id="36"/>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autoSpaceDE w:val="0"/>
        <w:autoSpaceDN w:val="0"/>
        <w:adjustRightInd w:val="0"/>
        <w:spacing w:before="0" w:after="0"/>
        <w:rPr>
          <w:rFonts w:cs="Arial"/>
          <w:sz w:val="22"/>
          <w:szCs w:val="22"/>
        </w:rPr>
      </w:pPr>
      <w:r w:rsidRPr="00AB0151">
        <w:rPr>
          <w:rFonts w:cs="Arial"/>
          <w:sz w:val="22"/>
          <w:szCs w:val="22"/>
        </w:rPr>
        <w:t>In 2008 a review of 55 organisations in the UK by PwC found that 45% of those with health and wellbeing interventions experienced reductions in absenteeism. The same review also found improvements in staff turnover, employee satisfaction and a decrease in accidents and injuries.</w:t>
      </w:r>
      <w:r w:rsidRPr="00AB0151">
        <w:rPr>
          <w:rStyle w:val="EndnoteReference"/>
          <w:rFonts w:cs="Arial"/>
          <w:szCs w:val="22"/>
        </w:rPr>
        <w:endnoteReference w:id="37"/>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autoSpaceDE w:val="0"/>
        <w:autoSpaceDN w:val="0"/>
        <w:adjustRightInd w:val="0"/>
        <w:spacing w:before="0" w:after="0"/>
        <w:rPr>
          <w:rFonts w:cs="Arial"/>
          <w:sz w:val="22"/>
          <w:szCs w:val="22"/>
        </w:rPr>
      </w:pPr>
      <w:r w:rsidRPr="00AB0151">
        <w:rPr>
          <w:rFonts w:cs="Arial"/>
          <w:sz w:val="22"/>
          <w:szCs w:val="22"/>
        </w:rPr>
        <w:t xml:space="preserve">Demographic changes and the desire to increase workforce participation of older people increases the imperative for business to support health and wellbeing. Supporting the health and wellbeing of employees is crucial in retaining older workers for two reasons: </w:t>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pStyle w:val="ListParagraph"/>
        <w:numPr>
          <w:ilvl w:val="0"/>
          <w:numId w:val="40"/>
        </w:numPr>
        <w:autoSpaceDE w:val="0"/>
        <w:autoSpaceDN w:val="0"/>
        <w:adjustRightInd w:val="0"/>
        <w:spacing w:before="0" w:after="0"/>
        <w:rPr>
          <w:rFonts w:cs="Arial"/>
          <w:sz w:val="22"/>
          <w:szCs w:val="22"/>
        </w:rPr>
      </w:pPr>
      <w:r w:rsidRPr="00AB0151">
        <w:rPr>
          <w:rFonts w:cs="Arial"/>
          <w:sz w:val="22"/>
          <w:szCs w:val="22"/>
        </w:rPr>
        <w:t xml:space="preserve">Firstly, because health is such a prevalent factor in retirement decisions and chronic conditions can so often be the cause of early workforce exit, promoting good health and preventing risk factors are crucial aspects of retaining experienced, highly skilled older employees. </w:t>
      </w:r>
    </w:p>
    <w:p w:rsidR="00AB0151" w:rsidRPr="00AB0151" w:rsidRDefault="00AB0151" w:rsidP="00AB0151">
      <w:pPr>
        <w:autoSpaceDE w:val="0"/>
        <w:autoSpaceDN w:val="0"/>
        <w:adjustRightInd w:val="0"/>
        <w:spacing w:before="0" w:after="0"/>
        <w:rPr>
          <w:rFonts w:cs="Arial"/>
          <w:sz w:val="22"/>
          <w:szCs w:val="22"/>
        </w:rPr>
      </w:pPr>
    </w:p>
    <w:p w:rsidR="00AB0151" w:rsidRPr="00AB0151" w:rsidRDefault="00AB0151" w:rsidP="00AB0151">
      <w:pPr>
        <w:pStyle w:val="ListParagraph"/>
        <w:numPr>
          <w:ilvl w:val="0"/>
          <w:numId w:val="40"/>
        </w:numPr>
        <w:autoSpaceDE w:val="0"/>
        <w:autoSpaceDN w:val="0"/>
        <w:adjustRightInd w:val="0"/>
        <w:spacing w:before="0" w:after="0"/>
        <w:rPr>
          <w:rFonts w:cs="Arial"/>
          <w:sz w:val="22"/>
          <w:szCs w:val="22"/>
        </w:rPr>
      </w:pPr>
      <w:r w:rsidRPr="00AB0151">
        <w:rPr>
          <w:rFonts w:cs="Arial"/>
          <w:sz w:val="22"/>
          <w:szCs w:val="22"/>
        </w:rPr>
        <w:t>Secondly, health and wellbeing measures tend to increase employee satisfaction. This is important in terms of retaining older employees, as those who stay in paid work later in life tend to be those who enjoy their work.</w:t>
      </w:r>
      <w:r w:rsidRPr="00AB0151">
        <w:rPr>
          <w:rStyle w:val="EndnoteReference"/>
          <w:rFonts w:cs="Arial"/>
          <w:szCs w:val="22"/>
        </w:rPr>
        <w:endnoteReference w:id="38"/>
      </w:r>
    </w:p>
    <w:p w:rsidR="00AB0151" w:rsidRPr="005C58D5" w:rsidRDefault="00AB0151" w:rsidP="00AB0151">
      <w:pPr>
        <w:pStyle w:val="Heading2"/>
        <w:numPr>
          <w:ilvl w:val="1"/>
          <w:numId w:val="38"/>
        </w:numPr>
        <w:rPr>
          <w:sz w:val="22"/>
        </w:rPr>
      </w:pPr>
      <w:bookmarkStart w:id="12" w:name="_Toc451945622"/>
      <w:r w:rsidRPr="005C58D5">
        <w:rPr>
          <w:sz w:val="22"/>
        </w:rPr>
        <w:t>Individuals</w:t>
      </w:r>
      <w:bookmarkEnd w:id="12"/>
    </w:p>
    <w:p w:rsidR="00AB0151" w:rsidRPr="00AF73D2" w:rsidRDefault="00AB0151" w:rsidP="00AB0151">
      <w:pPr>
        <w:spacing w:before="0" w:after="0"/>
        <w:rPr>
          <w:sz w:val="22"/>
          <w:szCs w:val="22"/>
        </w:rPr>
      </w:pPr>
      <w:r w:rsidRPr="00AF73D2">
        <w:rPr>
          <w:sz w:val="22"/>
          <w:szCs w:val="22"/>
        </w:rPr>
        <w:t>Being able to work for as long as you wish to do so is a</w:t>
      </w:r>
      <w:r>
        <w:rPr>
          <w:sz w:val="22"/>
          <w:szCs w:val="22"/>
        </w:rPr>
        <w:t>n important determinant of well</w:t>
      </w:r>
      <w:r w:rsidRPr="00AF73D2">
        <w:rPr>
          <w:sz w:val="22"/>
          <w:szCs w:val="22"/>
        </w:rPr>
        <w:t xml:space="preserve">being. </w:t>
      </w:r>
      <w:r>
        <w:rPr>
          <w:sz w:val="22"/>
          <w:szCs w:val="22"/>
        </w:rPr>
        <w:t>Fulfilling employment can have psychological benefits, flowing on to physical benefits and also contributes to financial security.</w:t>
      </w:r>
    </w:p>
    <w:p w:rsidR="00AB0151" w:rsidRPr="00AF73D2" w:rsidRDefault="00AB0151" w:rsidP="00AB0151">
      <w:pPr>
        <w:spacing w:before="0" w:after="0"/>
        <w:rPr>
          <w:sz w:val="22"/>
          <w:szCs w:val="22"/>
        </w:rPr>
      </w:pPr>
    </w:p>
    <w:p w:rsidR="00AB0151" w:rsidRPr="00AF73D2" w:rsidRDefault="00AB0151" w:rsidP="00AB0151">
      <w:pPr>
        <w:spacing w:before="0" w:after="0"/>
        <w:rPr>
          <w:sz w:val="22"/>
          <w:szCs w:val="22"/>
        </w:rPr>
      </w:pPr>
      <w:r>
        <w:rPr>
          <w:sz w:val="22"/>
          <w:szCs w:val="22"/>
        </w:rPr>
        <w:t>Conversely w</w:t>
      </w:r>
      <w:r w:rsidRPr="00AF73D2">
        <w:rPr>
          <w:sz w:val="22"/>
          <w:szCs w:val="22"/>
        </w:rPr>
        <w:t>here health becomes a limitation on the ability of a person to remain in work</w:t>
      </w:r>
      <w:r>
        <w:rPr>
          <w:sz w:val="22"/>
          <w:szCs w:val="22"/>
        </w:rPr>
        <w:t>, involuntary retirement or unemployment, underemployment and stressful working conditions can</w:t>
      </w:r>
      <w:r w:rsidRPr="00AF73D2">
        <w:rPr>
          <w:sz w:val="22"/>
          <w:szCs w:val="22"/>
        </w:rPr>
        <w:t xml:space="preserve"> </w:t>
      </w:r>
      <w:r>
        <w:rPr>
          <w:sz w:val="22"/>
          <w:szCs w:val="22"/>
        </w:rPr>
        <w:t>be detrimental to wellbeing. It is therefore</w:t>
      </w:r>
      <w:r w:rsidRPr="00AF73D2">
        <w:rPr>
          <w:sz w:val="22"/>
          <w:szCs w:val="22"/>
        </w:rPr>
        <w:t xml:space="preserve"> important for individuals to recognise that establishing a good health trajectory is crucial to being able to continue in work for as long as </w:t>
      </w:r>
      <w:r>
        <w:rPr>
          <w:sz w:val="22"/>
          <w:szCs w:val="22"/>
        </w:rPr>
        <w:t>they</w:t>
      </w:r>
      <w:r w:rsidRPr="00AF73D2">
        <w:rPr>
          <w:sz w:val="22"/>
          <w:szCs w:val="22"/>
        </w:rPr>
        <w:t xml:space="preserve"> wish to do so.</w:t>
      </w:r>
      <w:r>
        <w:rPr>
          <w:sz w:val="22"/>
          <w:szCs w:val="22"/>
        </w:rPr>
        <w:t xml:space="preserve"> </w:t>
      </w:r>
    </w:p>
    <w:p w:rsidR="00AB0151" w:rsidRPr="00AF73D2" w:rsidRDefault="00AB0151" w:rsidP="00AB0151">
      <w:pPr>
        <w:spacing w:before="0" w:after="0"/>
        <w:jc w:val="both"/>
        <w:rPr>
          <w:sz w:val="22"/>
          <w:szCs w:val="22"/>
        </w:rPr>
      </w:pPr>
    </w:p>
    <w:p w:rsidR="00AB0151" w:rsidRPr="00610380" w:rsidRDefault="00AB0151" w:rsidP="00AB0151">
      <w:pPr>
        <w:pStyle w:val="Default"/>
        <w:rPr>
          <w:rFonts w:ascii="Arial" w:hAnsi="Arial" w:cs="Arial"/>
          <w:sz w:val="22"/>
          <w:szCs w:val="22"/>
        </w:rPr>
      </w:pPr>
      <w:r w:rsidRPr="00610380">
        <w:rPr>
          <w:rFonts w:ascii="Arial" w:hAnsi="Arial" w:cs="Arial"/>
          <w:sz w:val="22"/>
          <w:szCs w:val="22"/>
        </w:rPr>
        <w:t>ABS data indicates that, regardless of their health status, people want to continue in work beyond 60 years old.</w:t>
      </w:r>
      <w:r w:rsidRPr="004A1AA9">
        <w:rPr>
          <w:rStyle w:val="EndnoteReference"/>
          <w:rFonts w:cs="Arial"/>
          <w:sz w:val="22"/>
          <w:szCs w:val="22"/>
        </w:rPr>
        <w:endnoteReference w:id="39"/>
      </w:r>
      <w:r w:rsidRPr="00610380">
        <w:rPr>
          <w:rFonts w:ascii="Arial" w:hAnsi="Arial" w:cs="Arial"/>
          <w:sz w:val="22"/>
          <w:szCs w:val="22"/>
        </w:rPr>
        <w:t xml:space="preserve"> However, as AMP.NATSEM reports those in fair or poor health are unlikely to remain in the workforce for this long (</w:t>
      </w:r>
      <w:r w:rsidRPr="00C608F6">
        <w:rPr>
          <w:rFonts w:ascii="Arial" w:hAnsi="Arial" w:cs="Arial"/>
          <w:color w:val="auto"/>
          <w:sz w:val="22"/>
          <w:szCs w:val="22"/>
        </w:rPr>
        <w:t xml:space="preserve">see: </w:t>
      </w:r>
      <w:r w:rsidRPr="00610380">
        <w:rPr>
          <w:rFonts w:ascii="Arial" w:hAnsi="Arial" w:cs="Arial"/>
          <w:sz w:val="22"/>
          <w:szCs w:val="22"/>
        </w:rPr>
        <w:t>Figure 1). This disconnect indicates that in the future an increasing number of people who would like to work will not be able to do so as a result of their health.</w:t>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sidRPr="00AF73D2">
        <w:rPr>
          <w:sz w:val="22"/>
          <w:szCs w:val="22"/>
        </w:rPr>
        <w:t xml:space="preserve">The prevalence of ‘own sickness, injury or disability’ being cited as a reason for retirement shows the impact health can have on </w:t>
      </w:r>
      <w:r>
        <w:rPr>
          <w:sz w:val="22"/>
          <w:szCs w:val="22"/>
        </w:rPr>
        <w:t>workforce participation</w:t>
      </w:r>
      <w:r w:rsidRPr="00AF73D2">
        <w:rPr>
          <w:sz w:val="22"/>
          <w:szCs w:val="22"/>
        </w:rPr>
        <w:t xml:space="preserve">. </w:t>
      </w:r>
      <w:r w:rsidRPr="00C608F6">
        <w:rPr>
          <w:sz w:val="22"/>
          <w:szCs w:val="22"/>
        </w:rPr>
        <w:t>In the most recent ABS survey, this was cited as the second most common reason for retirement behind reaching eligibility age for superannuation or pension. Furthermore, where those who retired aged 55 years or less are specifically considered ‘own sickness, injury or disability’ is by far the most common reason at 20% (Figure 9a).</w:t>
      </w:r>
    </w:p>
    <w:p w:rsidR="00AB0151" w:rsidRPr="00AF73D2" w:rsidRDefault="004B03D0" w:rsidP="00AB0151">
      <w:pPr>
        <w:spacing w:before="0" w:after="0"/>
        <w:jc w:val="both"/>
        <w:rPr>
          <w:sz w:val="22"/>
          <w:szCs w:val="22"/>
        </w:rPr>
      </w:pPr>
      <w:r w:rsidRPr="00AB0151">
        <w:rPr>
          <w:noProof/>
          <w:sz w:val="22"/>
          <w:szCs w:val="22"/>
        </w:rPr>
        <w:lastRenderedPageBreak/>
        <w:drawing>
          <wp:inline distT="0" distB="0" distL="0" distR="0" wp14:anchorId="2E3D5AEE" wp14:editId="02D619D5">
            <wp:extent cx="6021070" cy="3631721"/>
            <wp:effectExtent l="0" t="0" r="0" b="6985"/>
            <wp:docPr id="2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0151" w:rsidRDefault="00AB0151" w:rsidP="00AB0151">
      <w:pPr>
        <w:spacing w:before="0" w:after="0"/>
        <w:jc w:val="both"/>
        <w:rPr>
          <w:b/>
          <w:sz w:val="22"/>
          <w:szCs w:val="22"/>
        </w:rPr>
      </w:pPr>
      <w:r w:rsidRPr="00432D5A">
        <w:rPr>
          <w:sz w:val="20"/>
          <w:szCs w:val="22"/>
        </w:rPr>
        <w:t>Source:</w:t>
      </w:r>
      <w:r w:rsidRPr="00432D5A">
        <w:rPr>
          <w:b/>
          <w:sz w:val="20"/>
          <w:szCs w:val="22"/>
        </w:rPr>
        <w:t xml:space="preserve"> </w:t>
      </w:r>
      <w:r w:rsidRPr="00432D5A">
        <w:rPr>
          <w:sz w:val="20"/>
          <w:szCs w:val="22"/>
        </w:rPr>
        <w:t>ABS</w:t>
      </w:r>
      <w:r>
        <w:rPr>
          <w:rStyle w:val="EndnoteReference"/>
          <w:b/>
          <w:szCs w:val="22"/>
        </w:rPr>
        <w:endnoteReference w:id="40"/>
      </w:r>
    </w:p>
    <w:p w:rsidR="00AB0151" w:rsidRPr="001C7AAC" w:rsidRDefault="004B03D0" w:rsidP="00AB0151">
      <w:pPr>
        <w:spacing w:before="0" w:after="0"/>
        <w:jc w:val="both"/>
        <w:rPr>
          <w:color w:val="9CC2E5" w:themeColor="accent1" w:themeTint="99"/>
          <w:sz w:val="22"/>
          <w:szCs w:val="22"/>
        </w:rPr>
      </w:pPr>
      <w:r w:rsidRPr="00AB0151">
        <w:rPr>
          <w:noProof/>
          <w:sz w:val="22"/>
          <w:szCs w:val="22"/>
        </w:rPr>
        <w:drawing>
          <wp:inline distT="0" distB="0" distL="0" distR="0" wp14:anchorId="6AA9AAC9" wp14:editId="0A09D9E3">
            <wp:extent cx="5736590" cy="3200400"/>
            <wp:effectExtent l="0" t="0" r="0" b="0"/>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0151" w:rsidRPr="00260045" w:rsidRDefault="00AB0151" w:rsidP="00AB0151">
      <w:pPr>
        <w:spacing w:before="0" w:after="0"/>
        <w:jc w:val="both"/>
        <w:rPr>
          <w:sz w:val="20"/>
          <w:szCs w:val="22"/>
        </w:rPr>
      </w:pPr>
      <w:r w:rsidRPr="00260045">
        <w:rPr>
          <w:sz w:val="20"/>
          <w:szCs w:val="22"/>
        </w:rPr>
        <w:t>Source: ABS</w:t>
      </w:r>
      <w:r>
        <w:rPr>
          <w:rStyle w:val="EndnoteReference"/>
          <w:szCs w:val="22"/>
        </w:rPr>
        <w:endnoteReference w:id="41"/>
      </w:r>
    </w:p>
    <w:p w:rsidR="00AB0151" w:rsidRDefault="00AB0151" w:rsidP="00AB0151">
      <w:pPr>
        <w:spacing w:before="0" w:after="0"/>
        <w:jc w:val="both"/>
        <w:rPr>
          <w:sz w:val="22"/>
          <w:szCs w:val="22"/>
        </w:rPr>
      </w:pPr>
    </w:p>
    <w:p w:rsidR="00AB0151" w:rsidRPr="00AF73D2" w:rsidRDefault="00AB0151" w:rsidP="00AB0151">
      <w:pPr>
        <w:spacing w:before="0" w:after="0"/>
        <w:rPr>
          <w:sz w:val="22"/>
          <w:szCs w:val="22"/>
        </w:rPr>
      </w:pPr>
      <w:r w:rsidRPr="00C608F6">
        <w:rPr>
          <w:sz w:val="22"/>
          <w:szCs w:val="22"/>
        </w:rPr>
        <w:t>In addition, in the same ABS survey those who cited ‘own sickness, injury or disability’ had on average the earliest retirement age, being 53.0 and 54.9 years for women and men respectively.</w:t>
      </w:r>
    </w:p>
    <w:p w:rsidR="00AB0151" w:rsidRPr="00AF73D2" w:rsidRDefault="004B03D0" w:rsidP="00AB0151">
      <w:pPr>
        <w:spacing w:before="0" w:after="0"/>
        <w:jc w:val="both"/>
        <w:rPr>
          <w:sz w:val="22"/>
          <w:szCs w:val="22"/>
        </w:rPr>
      </w:pPr>
      <w:r w:rsidRPr="00AB0151">
        <w:rPr>
          <w:noProof/>
          <w:sz w:val="22"/>
          <w:szCs w:val="22"/>
        </w:rPr>
        <w:lastRenderedPageBreak/>
        <w:drawing>
          <wp:inline distT="0" distB="0" distL="0" distR="0" wp14:anchorId="36F87D0F" wp14:editId="75E266A3">
            <wp:extent cx="5952490" cy="3804249"/>
            <wp:effectExtent l="0" t="0" r="0" b="6350"/>
            <wp:docPr id="19"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0151" w:rsidRPr="00F440EB" w:rsidRDefault="00AB0151" w:rsidP="00AB0151">
      <w:pPr>
        <w:spacing w:before="0" w:after="0"/>
        <w:jc w:val="both"/>
        <w:rPr>
          <w:sz w:val="20"/>
          <w:szCs w:val="20"/>
        </w:rPr>
      </w:pPr>
      <w:r w:rsidRPr="00F440EB">
        <w:rPr>
          <w:sz w:val="20"/>
          <w:szCs w:val="20"/>
        </w:rPr>
        <w:t>Source: ABS</w:t>
      </w:r>
      <w:r w:rsidRPr="00F440EB">
        <w:rPr>
          <w:rStyle w:val="EndnoteReference"/>
          <w:szCs w:val="20"/>
        </w:rPr>
        <w:endnoteReference w:id="42"/>
      </w:r>
    </w:p>
    <w:p w:rsidR="00AB0151" w:rsidRDefault="00AB0151" w:rsidP="00AB0151">
      <w:pPr>
        <w:spacing w:before="0" w:after="0"/>
        <w:jc w:val="both"/>
        <w:rPr>
          <w:sz w:val="22"/>
          <w:szCs w:val="22"/>
        </w:rPr>
      </w:pPr>
    </w:p>
    <w:p w:rsidR="00AB0151" w:rsidRDefault="00AB0151" w:rsidP="00AB0151">
      <w:pPr>
        <w:spacing w:before="0" w:after="0"/>
        <w:rPr>
          <w:sz w:val="22"/>
          <w:szCs w:val="22"/>
        </w:rPr>
      </w:pPr>
      <w:r w:rsidRPr="00AF73D2">
        <w:rPr>
          <w:sz w:val="22"/>
          <w:szCs w:val="22"/>
        </w:rPr>
        <w:t>The financial implications of early</w:t>
      </w:r>
      <w:r>
        <w:rPr>
          <w:sz w:val="22"/>
          <w:szCs w:val="22"/>
        </w:rPr>
        <w:t xml:space="preserve"> and involuntary</w:t>
      </w:r>
      <w:r w:rsidRPr="00AF73D2">
        <w:rPr>
          <w:sz w:val="22"/>
          <w:szCs w:val="22"/>
        </w:rPr>
        <w:t xml:space="preserve"> retirement are also significant. </w:t>
      </w:r>
      <w:r>
        <w:rPr>
          <w:sz w:val="22"/>
          <w:szCs w:val="22"/>
        </w:rPr>
        <w:t xml:space="preserve">Financially individuals with poorly managed health conditions face a double jeopardy in the sense that they face extra costs associated with poor health and also worse employment outcomes. </w:t>
      </w:r>
    </w:p>
    <w:p w:rsidR="00AB0151" w:rsidRDefault="00AB0151" w:rsidP="00AB0151">
      <w:pPr>
        <w:spacing w:before="0" w:after="0"/>
        <w:rPr>
          <w:sz w:val="22"/>
          <w:szCs w:val="22"/>
        </w:rPr>
      </w:pPr>
    </w:p>
    <w:p w:rsidR="00AB0151" w:rsidRPr="00AF73D2" w:rsidRDefault="00AB0151" w:rsidP="00AB0151">
      <w:pPr>
        <w:spacing w:before="0" w:after="0"/>
        <w:rPr>
          <w:sz w:val="22"/>
          <w:szCs w:val="22"/>
        </w:rPr>
      </w:pPr>
      <w:r>
        <w:rPr>
          <w:sz w:val="22"/>
          <w:szCs w:val="22"/>
        </w:rPr>
        <w:t>AMP.NATSEM</w:t>
      </w:r>
      <w:r w:rsidRPr="00AF73D2">
        <w:rPr>
          <w:sz w:val="22"/>
          <w:szCs w:val="22"/>
        </w:rPr>
        <w:t xml:space="preserve"> have reported that poor health will prevent one in four Australians from saving enough for retirement</w:t>
      </w:r>
      <w:r>
        <w:rPr>
          <w:sz w:val="22"/>
          <w:szCs w:val="22"/>
        </w:rPr>
        <w:t>.</w:t>
      </w:r>
      <w:r w:rsidRPr="00AF73D2">
        <w:rPr>
          <w:rStyle w:val="EndnoteReference"/>
          <w:sz w:val="22"/>
          <w:szCs w:val="22"/>
        </w:rPr>
        <w:endnoteReference w:id="43"/>
      </w:r>
      <w:r w:rsidRPr="00AF73D2">
        <w:rPr>
          <w:sz w:val="22"/>
          <w:szCs w:val="22"/>
        </w:rPr>
        <w:t xml:space="preserve"> Further</w:t>
      </w:r>
      <w:r>
        <w:rPr>
          <w:sz w:val="22"/>
          <w:szCs w:val="22"/>
        </w:rPr>
        <w:t>,</w:t>
      </w:r>
      <w:r w:rsidRPr="00AF73D2">
        <w:rPr>
          <w:sz w:val="22"/>
          <w:szCs w:val="22"/>
        </w:rPr>
        <w:t xml:space="preserve"> income</w:t>
      </w:r>
      <w:r>
        <w:rPr>
          <w:sz w:val="22"/>
          <w:szCs w:val="22"/>
        </w:rPr>
        <w:t xml:space="preserve">, wealth and superannuation </w:t>
      </w:r>
      <w:r w:rsidRPr="00AF73D2">
        <w:rPr>
          <w:sz w:val="22"/>
          <w:szCs w:val="22"/>
        </w:rPr>
        <w:t>have been shown to be greatly lower for those tha</w:t>
      </w:r>
      <w:r>
        <w:rPr>
          <w:sz w:val="22"/>
          <w:szCs w:val="22"/>
        </w:rPr>
        <w:t>t exit the workforce prematurely, with previous studies showing that ‘households forced to take retirement due to a shock such as illness…fare much more poorly in retirement and have a much greater drop in their standard of living post-retirement than those that have a planned, voluntary retirement’</w:t>
      </w:r>
      <w:r w:rsidRPr="00AF73D2">
        <w:rPr>
          <w:sz w:val="22"/>
          <w:szCs w:val="22"/>
        </w:rPr>
        <w:t>.</w:t>
      </w:r>
      <w:r>
        <w:rPr>
          <w:rStyle w:val="EndnoteReference"/>
          <w:szCs w:val="22"/>
        </w:rPr>
        <w:endnoteReference w:id="44"/>
      </w:r>
      <w:r w:rsidRPr="00AF73D2">
        <w:rPr>
          <w:sz w:val="22"/>
          <w:szCs w:val="22"/>
        </w:rPr>
        <w:t xml:space="preserve"> </w:t>
      </w: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09887248" wp14:editId="5294D965">
            <wp:extent cx="5736590" cy="3148330"/>
            <wp:effectExtent l="0" t="0" r="0" b="0"/>
            <wp:docPr id="18"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0151" w:rsidRPr="0099410A" w:rsidRDefault="00AB0151" w:rsidP="00AB0151">
      <w:pPr>
        <w:spacing w:before="0" w:after="0"/>
        <w:jc w:val="both"/>
        <w:rPr>
          <w:sz w:val="20"/>
          <w:szCs w:val="20"/>
        </w:rPr>
      </w:pPr>
      <w:r w:rsidRPr="0099410A">
        <w:rPr>
          <w:sz w:val="20"/>
          <w:szCs w:val="20"/>
        </w:rPr>
        <w:t>Source: Schofield</w:t>
      </w:r>
      <w:r w:rsidRPr="0099410A">
        <w:rPr>
          <w:rStyle w:val="EndnoteReference"/>
          <w:b/>
          <w:szCs w:val="20"/>
        </w:rPr>
        <w:endnoteReference w:id="45"/>
      </w:r>
    </w:p>
    <w:p w:rsidR="00AB0151" w:rsidRDefault="00AB0151" w:rsidP="00AB0151">
      <w:pPr>
        <w:spacing w:before="0" w:after="0"/>
        <w:jc w:val="both"/>
        <w:rPr>
          <w:sz w:val="22"/>
          <w:szCs w:val="22"/>
        </w:rPr>
      </w:pPr>
    </w:p>
    <w:p w:rsidR="00AB0151" w:rsidRPr="00AF73D2" w:rsidRDefault="00AB0151" w:rsidP="00AB0151">
      <w:pPr>
        <w:spacing w:before="0" w:after="0"/>
        <w:rPr>
          <w:sz w:val="22"/>
          <w:szCs w:val="22"/>
        </w:rPr>
      </w:pPr>
      <w:r w:rsidRPr="00AF73D2">
        <w:rPr>
          <w:sz w:val="22"/>
          <w:szCs w:val="22"/>
        </w:rPr>
        <w:t>These indirect costs are on top of the direct financial costs of ill-health, which can often be very significant. Furthermore, people with multiple chronic conditions tend to experience greater financial loss</w:t>
      </w:r>
      <w:r>
        <w:rPr>
          <w:sz w:val="22"/>
          <w:szCs w:val="22"/>
        </w:rPr>
        <w:t>.</w:t>
      </w:r>
      <w:r w:rsidRPr="00AF73D2">
        <w:rPr>
          <w:rStyle w:val="EndnoteReference"/>
          <w:sz w:val="22"/>
          <w:szCs w:val="22"/>
        </w:rPr>
        <w:endnoteReference w:id="46"/>
      </w:r>
    </w:p>
    <w:p w:rsidR="00AB0151" w:rsidRPr="00AF73D2" w:rsidRDefault="004B03D0" w:rsidP="00AB0151">
      <w:pPr>
        <w:spacing w:before="0" w:after="0"/>
        <w:jc w:val="both"/>
        <w:rPr>
          <w:sz w:val="22"/>
          <w:szCs w:val="22"/>
        </w:rPr>
      </w:pPr>
      <w:r w:rsidRPr="00AB0151">
        <w:rPr>
          <w:noProof/>
          <w:sz w:val="22"/>
          <w:szCs w:val="22"/>
        </w:rPr>
        <w:drawing>
          <wp:inline distT="0" distB="0" distL="0" distR="0" wp14:anchorId="3364DC19" wp14:editId="3F5C6DD8">
            <wp:extent cx="5702300" cy="2846705"/>
            <wp:effectExtent l="0" t="0" r="0" b="0"/>
            <wp:docPr id="16"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0151" w:rsidRPr="001A1505" w:rsidRDefault="00AB0151" w:rsidP="00AB0151">
      <w:pPr>
        <w:spacing w:before="0" w:after="0"/>
        <w:jc w:val="both"/>
        <w:rPr>
          <w:b/>
          <w:sz w:val="22"/>
          <w:szCs w:val="22"/>
        </w:rPr>
      </w:pPr>
      <w:r w:rsidRPr="00ED29C8">
        <w:rPr>
          <w:sz w:val="20"/>
          <w:szCs w:val="22"/>
        </w:rPr>
        <w:t>Source: Schofield</w:t>
      </w:r>
      <w:r>
        <w:rPr>
          <w:rStyle w:val="EndnoteReference"/>
          <w:b/>
          <w:szCs w:val="22"/>
        </w:rPr>
        <w:endnoteReference w:id="47"/>
      </w:r>
    </w:p>
    <w:p w:rsidR="00AB0151" w:rsidRPr="00AF73D2" w:rsidRDefault="00AB0151" w:rsidP="00AB0151">
      <w:pPr>
        <w:spacing w:before="0" w:after="0"/>
        <w:jc w:val="both"/>
        <w:rPr>
          <w:sz w:val="22"/>
          <w:szCs w:val="22"/>
        </w:rPr>
      </w:pPr>
    </w:p>
    <w:p w:rsidR="00AB0151" w:rsidRPr="00AF73D2" w:rsidRDefault="00AB0151" w:rsidP="00AB0151">
      <w:pPr>
        <w:spacing w:before="0" w:after="0"/>
        <w:rPr>
          <w:sz w:val="22"/>
          <w:szCs w:val="22"/>
        </w:rPr>
      </w:pPr>
      <w:r w:rsidRPr="00AF73D2">
        <w:rPr>
          <w:sz w:val="22"/>
          <w:szCs w:val="22"/>
        </w:rPr>
        <w:t>Together this information highlights that while many people intend to have working lives beyond the age of 60</w:t>
      </w:r>
      <w:r>
        <w:rPr>
          <w:sz w:val="22"/>
          <w:szCs w:val="22"/>
        </w:rPr>
        <w:t>,</w:t>
      </w:r>
      <w:r w:rsidRPr="00AF73D2">
        <w:rPr>
          <w:sz w:val="22"/>
          <w:szCs w:val="22"/>
        </w:rPr>
        <w:t xml:space="preserve"> whether or not they will be able to is likely to be influenced by their health status. Furthermore, where people retire prematurely and/or unexpectedly it is often financially and psychologically detrimental.</w:t>
      </w:r>
      <w:r>
        <w:rPr>
          <w:rStyle w:val="EndnoteReference"/>
          <w:szCs w:val="22"/>
        </w:rPr>
        <w:endnoteReference w:id="48"/>
      </w:r>
      <w:r w:rsidRPr="00AF73D2">
        <w:rPr>
          <w:sz w:val="22"/>
          <w:szCs w:val="22"/>
        </w:rPr>
        <w:t xml:space="preserve"> </w:t>
      </w:r>
      <w:r>
        <w:rPr>
          <w:sz w:val="22"/>
          <w:szCs w:val="22"/>
        </w:rPr>
        <w:t xml:space="preserve"> On the other hand w</w:t>
      </w:r>
      <w:r w:rsidRPr="00AF73D2">
        <w:rPr>
          <w:sz w:val="22"/>
          <w:szCs w:val="22"/>
        </w:rPr>
        <w:t>ell-managed health can enable people to have more control over employment and retirement decisions, and also support better overall wellbeing. Individuals should</w:t>
      </w:r>
      <w:r>
        <w:rPr>
          <w:sz w:val="22"/>
          <w:szCs w:val="22"/>
        </w:rPr>
        <w:t xml:space="preserve"> therefore,</w:t>
      </w:r>
      <w:r w:rsidRPr="00AF73D2">
        <w:rPr>
          <w:sz w:val="22"/>
          <w:szCs w:val="22"/>
        </w:rPr>
        <w:t xml:space="preserve"> consider their health as an essential aspect of achieving a longer working life. </w:t>
      </w:r>
    </w:p>
    <w:p w:rsidR="00AB0151" w:rsidRPr="005C58D5" w:rsidRDefault="000D33FE" w:rsidP="00AB0151">
      <w:pPr>
        <w:pStyle w:val="Heading2"/>
        <w:numPr>
          <w:ilvl w:val="1"/>
          <w:numId w:val="38"/>
        </w:numPr>
        <w:rPr>
          <w:sz w:val="22"/>
        </w:rPr>
      </w:pPr>
      <w:bookmarkStart w:id="13" w:name="_Toc451945623"/>
      <w:r w:rsidRPr="005C58D5">
        <w:rPr>
          <w:sz w:val="22"/>
        </w:rPr>
        <w:t>International e</w:t>
      </w:r>
      <w:r w:rsidR="00AB0151" w:rsidRPr="005C58D5">
        <w:rPr>
          <w:sz w:val="22"/>
        </w:rPr>
        <w:t>xamples</w:t>
      </w:r>
      <w:bookmarkEnd w:id="13"/>
    </w:p>
    <w:p w:rsidR="00AB0151" w:rsidRDefault="00AB0151" w:rsidP="00AB0151">
      <w:pPr>
        <w:rPr>
          <w:sz w:val="22"/>
          <w:szCs w:val="22"/>
        </w:rPr>
      </w:pPr>
      <w:r>
        <w:rPr>
          <w:sz w:val="22"/>
          <w:szCs w:val="22"/>
        </w:rPr>
        <w:t xml:space="preserve">The importance of healthy ageing is gaining international significance and is evident in policies in numerous countries. Often the policies involve improving workplace wellbeing and the quality of job design as a means of increasing workforce participation by older people. </w:t>
      </w:r>
    </w:p>
    <w:p w:rsidR="00AB0151" w:rsidRDefault="00AB0151" w:rsidP="00AB0151">
      <w:pPr>
        <w:rPr>
          <w:sz w:val="22"/>
          <w:szCs w:val="22"/>
        </w:rPr>
      </w:pPr>
      <w:r>
        <w:rPr>
          <w:sz w:val="22"/>
          <w:szCs w:val="22"/>
        </w:rPr>
        <w:t xml:space="preserve">There are a number of notable examples of existing policies and also numerous reviews that have sought to encourage reform towards healthy ageing. Some interesting aspects of certain policies include the joint implementation by various government agencies, significant public promotion campaigns and also targeting of ‘progressive’ businesses in initial phases. Two notable examples are described below.  </w:t>
      </w:r>
    </w:p>
    <w:p w:rsidR="00AB0151" w:rsidRDefault="00AB0151" w:rsidP="00AB0151">
      <w:pPr>
        <w:rPr>
          <w:sz w:val="22"/>
          <w:szCs w:val="22"/>
        </w:rPr>
      </w:pPr>
      <w:r>
        <w:rPr>
          <w:sz w:val="22"/>
          <w:szCs w:val="22"/>
        </w:rPr>
        <w:t xml:space="preserve">One </w:t>
      </w:r>
      <w:r w:rsidRPr="00AF73D2">
        <w:rPr>
          <w:sz w:val="22"/>
          <w:szCs w:val="22"/>
        </w:rPr>
        <w:t xml:space="preserve">international example of using health policy as a means of increasing </w:t>
      </w:r>
      <w:r>
        <w:rPr>
          <w:sz w:val="22"/>
          <w:szCs w:val="22"/>
        </w:rPr>
        <w:t>work</w:t>
      </w:r>
      <w:r w:rsidRPr="00AF73D2">
        <w:rPr>
          <w:sz w:val="22"/>
          <w:szCs w:val="22"/>
        </w:rPr>
        <w:t>force participation was the national program on ageing workers in Finland implemented f</w:t>
      </w:r>
      <w:r>
        <w:rPr>
          <w:sz w:val="22"/>
          <w:szCs w:val="22"/>
        </w:rPr>
        <w:t>rom 1998 to 2002.</w:t>
      </w:r>
      <w:r>
        <w:rPr>
          <w:rStyle w:val="EndnoteReference"/>
          <w:szCs w:val="22"/>
        </w:rPr>
        <w:endnoteReference w:id="49"/>
      </w:r>
      <w:r>
        <w:rPr>
          <w:sz w:val="22"/>
          <w:szCs w:val="22"/>
        </w:rPr>
        <w:t xml:space="preserve"> This program</w:t>
      </w:r>
      <w:r w:rsidRPr="00AF73D2">
        <w:rPr>
          <w:sz w:val="22"/>
          <w:szCs w:val="22"/>
        </w:rPr>
        <w:t xml:space="preserve"> was implemented jointly by the Ministry of Social Affairs and Health, the Ministry of Labour and the Ministry of Education </w:t>
      </w:r>
      <w:r>
        <w:rPr>
          <w:sz w:val="22"/>
          <w:szCs w:val="22"/>
        </w:rPr>
        <w:t xml:space="preserve">and covered </w:t>
      </w:r>
      <w:r w:rsidRPr="00AF73D2">
        <w:rPr>
          <w:sz w:val="22"/>
          <w:szCs w:val="22"/>
        </w:rPr>
        <w:t xml:space="preserve">information campaigns, research </w:t>
      </w:r>
      <w:r>
        <w:rPr>
          <w:sz w:val="22"/>
          <w:szCs w:val="22"/>
        </w:rPr>
        <w:t>projects, and specific program</w:t>
      </w:r>
      <w:r w:rsidRPr="00AF73D2">
        <w:rPr>
          <w:sz w:val="22"/>
          <w:szCs w:val="22"/>
        </w:rPr>
        <w:t>s to increase the “work-ability” of older</w:t>
      </w:r>
      <w:r>
        <w:rPr>
          <w:sz w:val="22"/>
          <w:szCs w:val="22"/>
        </w:rPr>
        <w:t xml:space="preserve"> people</w:t>
      </w:r>
      <w:r w:rsidRPr="00AF73D2">
        <w:rPr>
          <w:sz w:val="22"/>
          <w:szCs w:val="22"/>
        </w:rPr>
        <w:t>.</w:t>
      </w:r>
    </w:p>
    <w:p w:rsidR="00AB0151" w:rsidRPr="008B41AB" w:rsidRDefault="00AB0151" w:rsidP="00AB0151">
      <w:pPr>
        <w:spacing w:before="0" w:after="0"/>
        <w:rPr>
          <w:sz w:val="22"/>
          <w:szCs w:val="22"/>
        </w:rPr>
      </w:pPr>
      <w:r>
        <w:rPr>
          <w:sz w:val="22"/>
          <w:szCs w:val="22"/>
        </w:rPr>
        <w:t>The “sustainable employability” initiative in the Netherlands</w:t>
      </w:r>
      <w:r>
        <w:rPr>
          <w:rStyle w:val="EndnoteReference"/>
          <w:szCs w:val="22"/>
        </w:rPr>
        <w:endnoteReference w:id="50"/>
      </w:r>
      <w:r>
        <w:rPr>
          <w:sz w:val="22"/>
          <w:szCs w:val="22"/>
        </w:rPr>
        <w:t xml:space="preserve">, launched in 2012 is an initiative led by the Ministry of Employment and Social Affairs to promote direct dialogue with hundreds of employers and workers on how to maintain employability. The goals of the initiative are to prevent unemployment and sickness, improve the productivity of all workers, and develop networking activities on health. In its initial phase the initiative encouraged voluntary participation by innovative firms or those undergoing dynamic changes, with the </w:t>
      </w:r>
      <w:r>
        <w:rPr>
          <w:sz w:val="22"/>
          <w:szCs w:val="22"/>
        </w:rPr>
        <w:lastRenderedPageBreak/>
        <w:t xml:space="preserve">idea that these firms would then encourage participation of other firms by disseminating examples of best practice. </w:t>
      </w:r>
    </w:p>
    <w:p w:rsidR="00AB0151" w:rsidRPr="0091122F" w:rsidRDefault="00AB0151" w:rsidP="00AB0151">
      <w:pPr>
        <w:pStyle w:val="Heading1"/>
        <w:numPr>
          <w:ilvl w:val="0"/>
          <w:numId w:val="38"/>
        </w:numPr>
        <w:rPr>
          <w:sz w:val="24"/>
        </w:rPr>
      </w:pPr>
      <w:bookmarkStart w:id="14" w:name="_Toc451945624"/>
      <w:r w:rsidRPr="0091122F">
        <w:rPr>
          <w:sz w:val="24"/>
        </w:rPr>
        <w:t>What can be done to facilitate longer, healthier working lives?</w:t>
      </w:r>
      <w:bookmarkEnd w:id="14"/>
    </w:p>
    <w:p w:rsidR="00AB0151" w:rsidRPr="00AF73D2" w:rsidRDefault="00AB0151" w:rsidP="00AB0151">
      <w:pPr>
        <w:spacing w:before="0" w:after="0"/>
        <w:rPr>
          <w:sz w:val="22"/>
          <w:szCs w:val="22"/>
        </w:rPr>
      </w:pPr>
      <w:r w:rsidRPr="00AF73D2">
        <w:rPr>
          <w:sz w:val="22"/>
          <w:szCs w:val="22"/>
        </w:rPr>
        <w:t xml:space="preserve">There is a clear impetus for government, business and individuals to improve health and wellbeing as a means of ensuring longer and more productive working lives. </w:t>
      </w:r>
      <w:r>
        <w:rPr>
          <w:sz w:val="22"/>
          <w:szCs w:val="22"/>
        </w:rPr>
        <w:t>This section discusses way to facilitate longer, healthier working lives and in particular raises five recommendations for change.</w:t>
      </w:r>
    </w:p>
    <w:p w:rsidR="00AB0151" w:rsidRPr="00AF73D2"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As chronic conditions are often related to reduced workforce participation and premature retirement it is necessary to promote existing strategies and develop new ones to reduce the prevalence of chronic conditions in the future.</w:t>
      </w:r>
      <w:r w:rsidRPr="00D8189A">
        <w:rPr>
          <w:sz w:val="22"/>
          <w:szCs w:val="22"/>
        </w:rPr>
        <w:t xml:space="preserve"> </w:t>
      </w:r>
    </w:p>
    <w:p w:rsidR="00AB0151" w:rsidRPr="00AF73D2"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Adverse health trends in disease risk factors, particularly increases in obesity, poor nutrition and physical inactivity, underpin the prevalence of chronic conditions. This presents an opportunity for targeted</w:t>
      </w:r>
      <w:r>
        <w:rPr>
          <w:sz w:val="22"/>
          <w:szCs w:val="22"/>
        </w:rPr>
        <w:t>, proactive</w:t>
      </w:r>
      <w:r w:rsidRPr="00AF73D2">
        <w:rPr>
          <w:sz w:val="22"/>
          <w:szCs w:val="22"/>
        </w:rPr>
        <w:t xml:space="preserve"> health strategies to curb increases in disease risk factors.</w:t>
      </w:r>
      <w:r>
        <w:rPr>
          <w:sz w:val="22"/>
          <w:szCs w:val="22"/>
        </w:rPr>
        <w:t xml:space="preserve"> P</w:t>
      </w:r>
      <w:r w:rsidRPr="00AF73D2">
        <w:rPr>
          <w:sz w:val="22"/>
          <w:szCs w:val="22"/>
        </w:rPr>
        <w:t>romotio</w:t>
      </w:r>
      <w:r>
        <w:rPr>
          <w:sz w:val="22"/>
          <w:szCs w:val="22"/>
        </w:rPr>
        <w:t xml:space="preserve">n of wellbeing in the workplace </w:t>
      </w:r>
      <w:r w:rsidRPr="00AF73D2">
        <w:rPr>
          <w:sz w:val="22"/>
          <w:szCs w:val="22"/>
        </w:rPr>
        <w:t>will be explored further in this paper as a means of reducing the prevalence of chronic conditions.</w:t>
      </w:r>
      <w:r>
        <w:rPr>
          <w:sz w:val="22"/>
          <w:szCs w:val="22"/>
        </w:rPr>
        <w:t xml:space="preserve"> </w:t>
      </w:r>
    </w:p>
    <w:p w:rsidR="00AB0151" w:rsidRDefault="00AB0151" w:rsidP="00AB0151">
      <w:pPr>
        <w:spacing w:before="0" w:after="0"/>
        <w:rPr>
          <w:sz w:val="22"/>
          <w:szCs w:val="22"/>
        </w:rPr>
      </w:pPr>
    </w:p>
    <w:p w:rsidR="00AB0151" w:rsidRDefault="00AB0151" w:rsidP="00AB0151">
      <w:pPr>
        <w:spacing w:before="0" w:after="0"/>
        <w:rPr>
          <w:sz w:val="22"/>
          <w:szCs w:val="22"/>
        </w:rPr>
      </w:pPr>
      <w:r w:rsidRPr="00AF73D2">
        <w:rPr>
          <w:sz w:val="22"/>
          <w:szCs w:val="22"/>
        </w:rPr>
        <w:t>The</w:t>
      </w:r>
      <w:r>
        <w:rPr>
          <w:sz w:val="22"/>
          <w:szCs w:val="22"/>
        </w:rPr>
        <w:t xml:space="preserve"> other aspect that will be outlined is promoting accommodations in the workplace</w:t>
      </w:r>
      <w:r w:rsidRPr="00AF73D2">
        <w:rPr>
          <w:sz w:val="22"/>
          <w:szCs w:val="22"/>
        </w:rPr>
        <w:t xml:space="preserve">. </w:t>
      </w:r>
      <w:r>
        <w:rPr>
          <w:sz w:val="22"/>
          <w:szCs w:val="22"/>
        </w:rPr>
        <w:t>This is a key aspect of facilitating longer working lives because r</w:t>
      </w:r>
      <w:r w:rsidRPr="00AF73D2">
        <w:rPr>
          <w:sz w:val="22"/>
          <w:szCs w:val="22"/>
        </w:rPr>
        <w:t>educed workforce participation is not an inherent or inevitable consequenc</w:t>
      </w:r>
      <w:r>
        <w:rPr>
          <w:sz w:val="22"/>
          <w:szCs w:val="22"/>
        </w:rPr>
        <w:t xml:space="preserve">e of having a chronic condition, rather it is </w:t>
      </w:r>
      <w:r w:rsidRPr="00AF73D2">
        <w:rPr>
          <w:sz w:val="22"/>
          <w:szCs w:val="22"/>
        </w:rPr>
        <w:t xml:space="preserve">strongly influenced by external factors, in particular </w:t>
      </w:r>
      <w:r>
        <w:rPr>
          <w:sz w:val="22"/>
          <w:szCs w:val="22"/>
        </w:rPr>
        <w:t>organisational</w:t>
      </w:r>
      <w:r w:rsidRPr="00AF73D2">
        <w:rPr>
          <w:sz w:val="22"/>
          <w:szCs w:val="22"/>
        </w:rPr>
        <w:t xml:space="preserve"> support.</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The main policy challenges are to join up existing initiatives, invest in those that deliver the best results and make it easier for all stakeholders to engage with and contribute to health ageing in a sustained way. A national strategy that encompasses these two aspects of healthy ageing could outline the overarching plan and set clear objectives required to overcome existing challenges. </w:t>
      </w:r>
    </w:p>
    <w:p w:rsidR="00AB0151" w:rsidRDefault="00AB0151" w:rsidP="00AB0151">
      <w:pPr>
        <w:spacing w:before="0" w:after="0"/>
        <w:jc w:val="both"/>
        <w:rPr>
          <w:sz w:val="22"/>
          <w:szCs w:val="22"/>
        </w:rPr>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13:</w:t>
            </w:r>
            <w:r w:rsidRPr="006C7D03">
              <w:rPr>
                <w:sz w:val="22"/>
              </w:rPr>
              <w:t xml:space="preserve"> That the Australian Government develop and implement a national healthy ageing strategy to promote evidence-based preventative health practice particularly in the employment context, and improve access to workplace adjustments. This strategy is to be supported and overseen by an expert advisory panel. As part of this strategy the government will actively engage industry groups, peak bodies and trade unions.</w:t>
            </w:r>
          </w:p>
        </w:tc>
      </w:tr>
    </w:tbl>
    <w:p w:rsidR="00AB0151" w:rsidRPr="00567CF4" w:rsidRDefault="002F78EE" w:rsidP="00AB0151">
      <w:pPr>
        <w:pStyle w:val="Heading2"/>
        <w:numPr>
          <w:ilvl w:val="1"/>
          <w:numId w:val="38"/>
        </w:numPr>
        <w:rPr>
          <w:sz w:val="22"/>
        </w:rPr>
      </w:pPr>
      <w:bookmarkStart w:id="15" w:name="_Toc451945625"/>
      <w:r w:rsidRPr="00567CF4">
        <w:rPr>
          <w:sz w:val="22"/>
        </w:rPr>
        <w:t>Public education campaign - r</w:t>
      </w:r>
      <w:r w:rsidR="00AB0151" w:rsidRPr="00567CF4">
        <w:rPr>
          <w:sz w:val="22"/>
        </w:rPr>
        <w:t>einforcing the importance of healthy ageing</w:t>
      </w:r>
      <w:bookmarkEnd w:id="15"/>
    </w:p>
    <w:p w:rsidR="00AB0151" w:rsidRDefault="00AB0151" w:rsidP="00AB0151">
      <w:pPr>
        <w:spacing w:before="0" w:after="0"/>
        <w:rPr>
          <w:sz w:val="22"/>
          <w:szCs w:val="22"/>
        </w:rPr>
      </w:pPr>
      <w:r>
        <w:rPr>
          <w:sz w:val="22"/>
          <w:szCs w:val="22"/>
        </w:rPr>
        <w:t>Engagement of all stakeholders is imperative to achieving healthy ageing. Government has a crucial role in broadly making the case for wellbeing to business and individuals. To facilitate changes in behaviour it is necessary for the Government to reaffirm the importance of this long-term change and to exhibit its sustained commitment to healthy ageing initiatives.</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Public health campaigns and the promotion of good health through a variety of policies clearly have a role in engaging all stakeholders with the healthy ageing agenda. In Australia there have been a number of public health campaigns that have promoted the importance of good health, including better nutritional choices and regular physical activity.</w:t>
      </w:r>
      <w:r>
        <w:rPr>
          <w:rStyle w:val="EndnoteReference"/>
          <w:szCs w:val="22"/>
        </w:rPr>
        <w:endnoteReference w:id="51"/>
      </w:r>
      <w:r>
        <w:rPr>
          <w:sz w:val="22"/>
          <w:szCs w:val="22"/>
        </w:rPr>
        <w:t xml:space="preserve"> </w:t>
      </w:r>
    </w:p>
    <w:p w:rsidR="00AB0151" w:rsidRDefault="00AB0151" w:rsidP="00AB0151">
      <w:pPr>
        <w:spacing w:before="0" w:after="0"/>
        <w:rPr>
          <w:rFonts w:cs="Arial"/>
          <w:sz w:val="22"/>
          <w:szCs w:val="22"/>
          <w:shd w:val="clear" w:color="auto" w:fill="FFFFFF"/>
        </w:rPr>
      </w:pPr>
    </w:p>
    <w:p w:rsidR="00AB0151" w:rsidRDefault="00AB0151" w:rsidP="00AB0151">
      <w:pPr>
        <w:spacing w:before="0" w:after="0"/>
        <w:rPr>
          <w:rFonts w:cs="Arial"/>
          <w:sz w:val="22"/>
          <w:szCs w:val="22"/>
          <w:shd w:val="clear" w:color="auto" w:fill="FFFFFF"/>
        </w:rPr>
      </w:pPr>
      <w:r>
        <w:rPr>
          <w:rFonts w:cs="Arial"/>
          <w:sz w:val="22"/>
          <w:szCs w:val="22"/>
          <w:shd w:val="clear" w:color="auto" w:fill="FFFFFF"/>
        </w:rPr>
        <w:t xml:space="preserve">In the context of aiming to increase workforce participation by older people a worthwhile government investment would be to establish a public health campaign that more specifically showcases the importance of healthy ageing and the means through which it can be achieved. This would include emphasising the benefits to overall wellbeing of meaningful </w:t>
      </w:r>
      <w:r>
        <w:rPr>
          <w:rFonts w:cs="Arial"/>
          <w:sz w:val="22"/>
          <w:szCs w:val="22"/>
          <w:shd w:val="clear" w:color="auto" w:fill="FFFFFF"/>
        </w:rPr>
        <w:lastRenderedPageBreak/>
        <w:t xml:space="preserve">work and regular exercise. Building a broad community awareness of the importance of healthy ageing will support broader elements of healthy ageing policy and in particular enhance business engagement with the message.  </w:t>
      </w:r>
    </w:p>
    <w:p w:rsidR="00AB0151" w:rsidRDefault="00AB0151" w:rsidP="00AB0151">
      <w:pPr>
        <w:spacing w:before="0" w:after="0"/>
        <w:rPr>
          <w:rFonts w:cs="Arial"/>
          <w:sz w:val="22"/>
          <w:szCs w:val="22"/>
          <w:shd w:val="clear" w:color="auto" w:fill="FFFFFF"/>
        </w:rPr>
      </w:pPr>
    </w:p>
    <w:p w:rsidR="00AB0151" w:rsidRDefault="00AB0151" w:rsidP="00AB0151">
      <w:pPr>
        <w:spacing w:before="0" w:after="0"/>
        <w:rPr>
          <w:rFonts w:cs="Arial"/>
          <w:sz w:val="22"/>
          <w:szCs w:val="22"/>
          <w:shd w:val="clear" w:color="auto" w:fill="FFFFFF"/>
        </w:rPr>
      </w:pPr>
      <w:r>
        <w:rPr>
          <w:rFonts w:cs="Arial"/>
          <w:sz w:val="22"/>
          <w:szCs w:val="22"/>
          <w:shd w:val="clear" w:color="auto" w:fill="FFFFFF"/>
        </w:rPr>
        <w:t>A campaign specifically targeting older people could also be useful as some risk factors, including physical inactivity are particularly problematic amongst this age group—61.6% males and 62.6% females aged 45-54 do not undertake sufficient physical activity.</w:t>
      </w:r>
      <w:r>
        <w:rPr>
          <w:rStyle w:val="EndnoteReference"/>
          <w:rFonts w:cs="Arial"/>
          <w:szCs w:val="22"/>
          <w:shd w:val="clear" w:color="auto" w:fill="FFFFFF"/>
        </w:rPr>
        <w:endnoteReference w:id="52"/>
      </w:r>
      <w:r>
        <w:rPr>
          <w:rFonts w:cs="Arial"/>
          <w:sz w:val="22"/>
          <w:szCs w:val="22"/>
          <w:shd w:val="clear" w:color="auto" w:fill="FFFFFF"/>
        </w:rPr>
        <w:t xml:space="preserve"> </w:t>
      </w:r>
    </w:p>
    <w:p w:rsidR="00AB0151" w:rsidRDefault="00AB0151" w:rsidP="00AB0151">
      <w:pPr>
        <w:spacing w:before="0" w:after="0"/>
        <w:rPr>
          <w:sz w:val="22"/>
          <w:szCs w:val="22"/>
        </w:rPr>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14:</w:t>
            </w:r>
            <w:r w:rsidRPr="006C7D03">
              <w:rPr>
                <w:sz w:val="22"/>
              </w:rPr>
              <w:t xml:space="preserve"> That the Australian Government develop a national public education campaign that reinforces the importance of healthy ageing, and in particular, emphasises the relationship between health and work.</w:t>
            </w:r>
          </w:p>
        </w:tc>
      </w:tr>
    </w:tbl>
    <w:p w:rsidR="00AB0151" w:rsidRPr="00C20161" w:rsidRDefault="00AB0151" w:rsidP="00AB0151">
      <w:pPr>
        <w:pStyle w:val="Heading2"/>
        <w:numPr>
          <w:ilvl w:val="1"/>
          <w:numId w:val="38"/>
        </w:numPr>
        <w:rPr>
          <w:sz w:val="22"/>
        </w:rPr>
      </w:pPr>
      <w:bookmarkStart w:id="16" w:name="_Toc451945626"/>
      <w:r w:rsidRPr="00C20161">
        <w:rPr>
          <w:sz w:val="22"/>
        </w:rPr>
        <w:t>Facilitating good health in the workplace</w:t>
      </w:r>
      <w:bookmarkEnd w:id="16"/>
    </w:p>
    <w:p w:rsidR="00AB0151" w:rsidRDefault="00AB0151" w:rsidP="00AB0151">
      <w:pPr>
        <w:spacing w:before="0" w:after="0"/>
        <w:rPr>
          <w:sz w:val="22"/>
          <w:szCs w:val="22"/>
        </w:rPr>
      </w:pPr>
      <w:r>
        <w:rPr>
          <w:sz w:val="22"/>
          <w:szCs w:val="22"/>
        </w:rPr>
        <w:t>The workplace is a key avenue for the prevention of chronic conditions and overall promotion of good health. As described earlier, there is also a strong case for business to invest in health and wellbeing programs.</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From the perspective of Government, it is therefore important to encourage and support effective, evidence-based health and wellbeing initiatives in all workplaces, including both the public and private sector, through the provision of incentives and also information to make implementation easier. In particular, it is crucial to specifically consider incentives to attract SME.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Currently the Government provides financial incentive for businesses to provide on-site fitness services through a fringe benefits tax exemption. Financial incentives are important as budgetary constraints are often cited as a barrier to implementation of such initiatives.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A possible way to enhance this incentive, and make it more accessible to SME (which is unlikely to have on-site fitness services) is to extend the tax exemption to off-site fitness services. More information about this proposal can be found at </w:t>
      </w:r>
      <w:hyperlink r:id="rId26" w:history="1">
        <w:r w:rsidRPr="0014391D">
          <w:rPr>
            <w:rStyle w:val="Hyperlink"/>
            <w:sz w:val="22"/>
            <w:szCs w:val="22"/>
          </w:rPr>
          <w:t>www.fitnotfbt.org.au/</w:t>
        </w:r>
      </w:hyperlink>
      <w:r>
        <w:rPr>
          <w:sz w:val="22"/>
          <w:szCs w:val="22"/>
        </w:rPr>
        <w:t xml:space="preserve">. </w:t>
      </w:r>
    </w:p>
    <w:p w:rsidR="00AB0151" w:rsidRDefault="00AB0151" w:rsidP="00AB0151">
      <w:pPr>
        <w:spacing w:before="0" w:after="0"/>
        <w:rPr>
          <w:sz w:val="22"/>
          <w:szCs w:val="22"/>
        </w:rPr>
      </w:pPr>
      <w:r>
        <w:rPr>
          <w:sz w:val="22"/>
          <w:szCs w:val="22"/>
        </w:rPr>
        <w:t xml:space="preserve">There is also scope to more thoroughly investigate a range of worthwhile health and wellbeing initiatives both new and existing, to ensure that health and wellbeing programs provided in the workplace are effective and suitable to all employees, including those with existing chronic conditions.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Specialised exercise programs for </w:t>
      </w:r>
      <w:r w:rsidRPr="00775093">
        <w:rPr>
          <w:sz w:val="22"/>
          <w:szCs w:val="22"/>
        </w:rPr>
        <w:t xml:space="preserve">people with chronic </w:t>
      </w:r>
      <w:r>
        <w:rPr>
          <w:sz w:val="22"/>
          <w:szCs w:val="22"/>
        </w:rPr>
        <w:t>conditions</w:t>
      </w:r>
      <w:r w:rsidRPr="00775093">
        <w:rPr>
          <w:sz w:val="22"/>
          <w:szCs w:val="22"/>
        </w:rPr>
        <w:t xml:space="preserve"> </w:t>
      </w:r>
      <w:r>
        <w:rPr>
          <w:sz w:val="22"/>
          <w:szCs w:val="22"/>
        </w:rPr>
        <w:t>can</w:t>
      </w:r>
      <w:r w:rsidRPr="00775093">
        <w:rPr>
          <w:sz w:val="22"/>
          <w:szCs w:val="22"/>
        </w:rPr>
        <w:t xml:space="preserve"> impro</w:t>
      </w:r>
      <w:r>
        <w:rPr>
          <w:sz w:val="22"/>
          <w:szCs w:val="22"/>
        </w:rPr>
        <w:t>ve exercise capacity, wellbeing</w:t>
      </w:r>
      <w:r w:rsidRPr="00775093">
        <w:rPr>
          <w:sz w:val="22"/>
          <w:szCs w:val="22"/>
        </w:rPr>
        <w:t xml:space="preserve"> and reduce absenteeism and hospital admissions. </w:t>
      </w:r>
      <w:r>
        <w:rPr>
          <w:sz w:val="22"/>
          <w:szCs w:val="22"/>
        </w:rPr>
        <w:t>Extending the Medicare benefits scheme to cover these sorts of programs is important to provide greater access to effective exercise programs that can also be promoted through the workplace.</w:t>
      </w:r>
    </w:p>
    <w:p w:rsidR="00AB0151" w:rsidRDefault="00AB0151" w:rsidP="00AB0151">
      <w:pPr>
        <w:spacing w:before="0" w:after="0"/>
        <w:jc w:val="both"/>
        <w:rPr>
          <w:sz w:val="22"/>
          <w:szCs w:val="22"/>
        </w:rPr>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pPr>
            <w:r w:rsidRPr="006C7D03">
              <w:rPr>
                <w:b/>
                <w:sz w:val="22"/>
              </w:rPr>
              <w:t>Recommendation 15:</w:t>
            </w:r>
            <w:r w:rsidRPr="006C7D03">
              <w:rPr>
                <w:sz w:val="22"/>
              </w:rPr>
              <w:t xml:space="preserve"> That the Australian Government investigate the provision of tax or other financial incentives to encourage business and employers to adopt health and wellbeing initiatives e.g. extend the fringe benefits tax exemption to off-site fitness services, and broaden the Medicare benefits scheme to exercise programs for people with chronic conditions.</w:t>
            </w:r>
          </w:p>
        </w:tc>
      </w:tr>
    </w:tbl>
    <w:p w:rsidR="00AB0151" w:rsidRDefault="00AB0151" w:rsidP="00AB0151">
      <w:pPr>
        <w:spacing w:before="0" w:after="0"/>
        <w:jc w:val="both"/>
        <w:rPr>
          <w:sz w:val="22"/>
          <w:szCs w:val="22"/>
        </w:rPr>
      </w:pPr>
    </w:p>
    <w:p w:rsidR="00AB0151" w:rsidRDefault="00AB0151" w:rsidP="00AB0151">
      <w:pPr>
        <w:spacing w:before="0" w:after="0"/>
        <w:rPr>
          <w:sz w:val="22"/>
          <w:szCs w:val="22"/>
        </w:rPr>
      </w:pPr>
      <w:r>
        <w:rPr>
          <w:sz w:val="22"/>
          <w:szCs w:val="22"/>
        </w:rPr>
        <w:t>The Government also supports wellbeing in the workplace through disseminating information and ensuring that the Australian Public Service is a model employer. The Investing in Experience: Working for T</w:t>
      </w:r>
      <w:r w:rsidRPr="0017740D">
        <w:rPr>
          <w:sz w:val="22"/>
          <w:szCs w:val="22"/>
        </w:rPr>
        <w:t>oday</w:t>
      </w:r>
      <w:r>
        <w:rPr>
          <w:rStyle w:val="EndnoteReference"/>
          <w:i/>
          <w:szCs w:val="22"/>
        </w:rPr>
        <w:endnoteReference w:id="53"/>
      </w:r>
      <w:r>
        <w:rPr>
          <w:i/>
          <w:sz w:val="22"/>
          <w:szCs w:val="22"/>
        </w:rPr>
        <w:t xml:space="preserve"> </w:t>
      </w:r>
      <w:r>
        <w:rPr>
          <w:sz w:val="22"/>
          <w:szCs w:val="22"/>
        </w:rPr>
        <w:t xml:space="preserve">model specifically promotes health, safety and wellbeing in the workplace as a means of facilitating longer working lives. In particular, the focus is to emphasise the crucial role that workplaces have in facilitating health of employees and provides practical guidance to more effectively recruit and retain older workers. This </w:t>
      </w:r>
      <w:r>
        <w:rPr>
          <w:sz w:val="22"/>
          <w:szCs w:val="22"/>
        </w:rPr>
        <w:lastRenderedPageBreak/>
        <w:t>Comcare program is connected to the APS 200 Project: Work Ability and Ageing Framework for Action that was endorsed in 2012 by the APS Secretaries Board.</w:t>
      </w:r>
    </w:p>
    <w:p w:rsidR="00AB0151" w:rsidRDefault="00AB0151" w:rsidP="00AB0151">
      <w:pPr>
        <w:spacing w:before="0" w:after="0"/>
        <w:rPr>
          <w:sz w:val="22"/>
          <w:szCs w:val="22"/>
        </w:rPr>
      </w:pPr>
    </w:p>
    <w:p w:rsidR="00AB0151" w:rsidRPr="000761D9" w:rsidRDefault="00AB0151" w:rsidP="00AB0151">
      <w:pPr>
        <w:spacing w:before="0" w:after="0"/>
        <w:rPr>
          <w:sz w:val="22"/>
          <w:szCs w:val="22"/>
        </w:rPr>
      </w:pPr>
      <w:r>
        <w:rPr>
          <w:sz w:val="22"/>
          <w:szCs w:val="22"/>
        </w:rPr>
        <w:t>Until 2014</w:t>
      </w:r>
      <w:r>
        <w:rPr>
          <w:rStyle w:val="EndnoteReference"/>
          <w:szCs w:val="22"/>
        </w:rPr>
        <w:endnoteReference w:id="54"/>
      </w:r>
      <w:r>
        <w:rPr>
          <w:sz w:val="22"/>
          <w:szCs w:val="22"/>
        </w:rPr>
        <w:t xml:space="preserve"> the Australian Government had a broad healthy workers initiative under the National Partnership Agreement on Preventative Health. The partnership was agreed by the Council of Australian Governments in 2008 with the aim of facilitating preventative health strategies in various settings, including the workplace. Through this the Government invested in partnerships with state governments and established the healthy workers portal (</w:t>
      </w:r>
      <w:hyperlink r:id="rId27" w:history="1">
        <w:r w:rsidRPr="0014391D">
          <w:rPr>
            <w:rStyle w:val="Hyperlink"/>
            <w:sz w:val="22"/>
            <w:szCs w:val="22"/>
          </w:rPr>
          <w:t>www.healthyworkers.gov.au</w:t>
        </w:r>
      </w:hyperlink>
      <w:r w:rsidRPr="00AD1894">
        <w:rPr>
          <w:rStyle w:val="Hyperlink"/>
          <w:color w:val="auto"/>
          <w:sz w:val="22"/>
          <w:szCs w:val="22"/>
        </w:rPr>
        <w:t>)</w:t>
      </w:r>
      <w:r>
        <w:rPr>
          <w:sz w:val="22"/>
          <w:szCs w:val="22"/>
        </w:rPr>
        <w:t xml:space="preserve"> which, provided information about the case for wellbeing and examples of good practice. D</w:t>
      </w:r>
      <w:r w:rsidRPr="007F5DDB">
        <w:rPr>
          <w:sz w:val="22"/>
          <w:szCs w:val="22"/>
        </w:rPr>
        <w:t xml:space="preserve">espite the federal Government initiative being discontinued </w:t>
      </w:r>
      <w:r>
        <w:rPr>
          <w:sz w:val="22"/>
          <w:szCs w:val="22"/>
        </w:rPr>
        <w:t>a</w:t>
      </w:r>
      <w:r w:rsidRPr="007F5DDB">
        <w:rPr>
          <w:sz w:val="22"/>
          <w:szCs w:val="22"/>
        </w:rPr>
        <w:t xml:space="preserve"> number of state-based initiative</w:t>
      </w:r>
      <w:r>
        <w:rPr>
          <w:sz w:val="22"/>
          <w:szCs w:val="22"/>
        </w:rPr>
        <w:t>s have continued</w:t>
      </w:r>
      <w:r w:rsidRPr="007F5DDB">
        <w:rPr>
          <w:sz w:val="22"/>
          <w:szCs w:val="22"/>
        </w:rPr>
        <w:t>.</w:t>
      </w:r>
      <w:r>
        <w:rPr>
          <w:sz w:val="22"/>
          <w:szCs w:val="22"/>
        </w:rPr>
        <w:t xml:space="preserve">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 xml:space="preserve">Reinvesting </w:t>
      </w:r>
      <w:r w:rsidR="00BB4641">
        <w:rPr>
          <w:sz w:val="22"/>
          <w:szCs w:val="22"/>
        </w:rPr>
        <w:t xml:space="preserve">in an initiative similar to </w:t>
      </w:r>
      <w:r>
        <w:rPr>
          <w:sz w:val="22"/>
          <w:szCs w:val="22"/>
        </w:rPr>
        <w:t xml:space="preserve">healthy workers, that is focussed more specifically on healthy ageing and includes strategies around workplace accommodations as well as preventative health, would showcase the Government’s commitment to healthy ageing and also promote a more holistic and strategic national approach.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For this sort of initiative, a co-ordinated, cross-departmental effort is crucial to promote equity and to capture the many areas where health is influential and can be influenced. Government departments that may be involved could include the Department of Health, Department of Employment, Department of Education and Training and Department of Social Services.</w:t>
      </w:r>
    </w:p>
    <w:p w:rsidR="00AB0151" w:rsidRDefault="00AB0151" w:rsidP="00AB0151">
      <w:pPr>
        <w:spacing w:before="0" w:after="0"/>
        <w:rPr>
          <w:sz w:val="22"/>
          <w:szCs w:val="22"/>
        </w:rPr>
      </w:pPr>
      <w:r>
        <w:rPr>
          <w:sz w:val="22"/>
          <w:szCs w:val="22"/>
        </w:rPr>
        <w:t xml:space="preserve"> </w:t>
      </w: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Default="00AB0151" w:rsidP="00AB0151">
            <w:pPr>
              <w:spacing w:before="120" w:after="120"/>
              <w:rPr>
                <w:sz w:val="22"/>
                <w:szCs w:val="22"/>
              </w:rPr>
            </w:pPr>
            <w:r w:rsidRPr="006C7D03">
              <w:rPr>
                <w:b/>
                <w:sz w:val="22"/>
                <w:szCs w:val="22"/>
              </w:rPr>
              <w:t>Recommendation 16:</w:t>
            </w:r>
            <w:r w:rsidRPr="006C7D03">
              <w:rPr>
                <w:sz w:val="22"/>
                <w:szCs w:val="22"/>
              </w:rPr>
              <w:t xml:space="preserve"> That the Australian Government establish and fund a healthy and productive workers initiative, to be administered jointly by government departments including the Department of Health and Department of Employment to actively promote evidence-based workplace health programs, disseminate information and showcase good practice.</w:t>
            </w:r>
          </w:p>
        </w:tc>
      </w:tr>
    </w:tbl>
    <w:p w:rsidR="00AB0151" w:rsidRDefault="00AB0151" w:rsidP="00AB0151">
      <w:pPr>
        <w:spacing w:before="0" w:after="0"/>
        <w:jc w:val="both"/>
        <w:rPr>
          <w:sz w:val="22"/>
          <w:szCs w:val="22"/>
        </w:rPr>
      </w:pPr>
    </w:p>
    <w:p w:rsidR="00AB0151" w:rsidRDefault="00AB0151" w:rsidP="00AB0151">
      <w:pPr>
        <w:spacing w:before="0" w:after="0"/>
        <w:rPr>
          <w:sz w:val="22"/>
          <w:szCs w:val="22"/>
        </w:rPr>
      </w:pPr>
      <w:r>
        <w:rPr>
          <w:sz w:val="22"/>
          <w:szCs w:val="22"/>
        </w:rPr>
        <w:t xml:space="preserve">In terms of business there are a number of steps that can be taken to help ensure health and wellbeing initiatives implemented are successful. Engagement of staff and senior management is crucial to the successful implementation. This can be facilitated through open communication, involvement in decision-making by employees and training of supervisors and management as to the importance of health. </w:t>
      </w:r>
    </w:p>
    <w:p w:rsidR="00AB0151" w:rsidRDefault="00AB0151" w:rsidP="00AB0151">
      <w:pPr>
        <w:spacing w:before="0" w:after="0"/>
        <w:rPr>
          <w:sz w:val="22"/>
          <w:szCs w:val="22"/>
        </w:rPr>
      </w:pPr>
    </w:p>
    <w:p w:rsidR="00AB0151" w:rsidRPr="008B41AB" w:rsidRDefault="00AB0151" w:rsidP="00AB0151">
      <w:pPr>
        <w:spacing w:before="0" w:after="0"/>
        <w:rPr>
          <w:sz w:val="22"/>
          <w:szCs w:val="22"/>
        </w:rPr>
      </w:pPr>
      <w:r>
        <w:rPr>
          <w:sz w:val="22"/>
          <w:szCs w:val="22"/>
        </w:rPr>
        <w:t>It is also important for businesses to understand their workforce in order to develop effective strategies, and to collect and evaluate data regularly to ensure sustainability. As noted on the Healthy Workers website risk factors to chronic disease vary amongst industries, this reinforces why it is important for businesses to have knowledge of their workforce.</w:t>
      </w:r>
      <w:r>
        <w:rPr>
          <w:rStyle w:val="EndnoteReference"/>
          <w:szCs w:val="22"/>
        </w:rPr>
        <w:endnoteReference w:id="55"/>
      </w:r>
    </w:p>
    <w:p w:rsidR="00AB0151" w:rsidRPr="009D59F1" w:rsidRDefault="00AB0151" w:rsidP="00AB0151">
      <w:pPr>
        <w:pStyle w:val="Heading2"/>
        <w:numPr>
          <w:ilvl w:val="1"/>
          <w:numId w:val="38"/>
        </w:numPr>
        <w:rPr>
          <w:sz w:val="22"/>
        </w:rPr>
      </w:pPr>
      <w:bookmarkStart w:id="17" w:name="_Toc451945627"/>
      <w:r w:rsidRPr="009D59F1">
        <w:rPr>
          <w:sz w:val="22"/>
        </w:rPr>
        <w:t>Organisational support and workplace adjustments</w:t>
      </w:r>
      <w:bookmarkEnd w:id="17"/>
      <w:r w:rsidRPr="009D59F1">
        <w:rPr>
          <w:sz w:val="22"/>
        </w:rPr>
        <w:t xml:space="preserve"> </w:t>
      </w:r>
    </w:p>
    <w:p w:rsidR="00AB0151" w:rsidRDefault="00AB0151" w:rsidP="00AB0151">
      <w:pPr>
        <w:spacing w:before="0" w:after="0"/>
        <w:rPr>
          <w:sz w:val="22"/>
          <w:szCs w:val="22"/>
        </w:rPr>
      </w:pPr>
      <w:r>
        <w:rPr>
          <w:sz w:val="22"/>
          <w:szCs w:val="22"/>
        </w:rPr>
        <w:t>Organisational support is an important aspect of facilitating a longer working life, particularly where an employee has a chronic health condition. Flexible work arrangements, adequate workplace adjustments, good job design and a supportive manager are all elements that can help a person with a chronic condition to remain employed.</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As with wellbeing in the workplace the provision of effective and consistent organisational support requires engagement of all stakeholders. The key policy challenge is to showcase the power of organisational support and to make adjustments more accessible, in order to promote more ‘health and age friendly’ workplaces.</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From a business perspective it is crucial to view the provision of organisation</w:t>
      </w:r>
      <w:r w:rsidR="00D62523">
        <w:rPr>
          <w:sz w:val="22"/>
          <w:szCs w:val="22"/>
        </w:rPr>
        <w:t>al</w:t>
      </w:r>
      <w:r>
        <w:rPr>
          <w:sz w:val="22"/>
          <w:szCs w:val="22"/>
        </w:rPr>
        <w:t xml:space="preserve"> support through the lens of improving the wellbeing of all employees to meet their needs and optimise their contribution at work, rather than as a means of meeting legal requirements. </w:t>
      </w:r>
      <w:r>
        <w:rPr>
          <w:sz w:val="22"/>
          <w:szCs w:val="22"/>
        </w:rPr>
        <w:lastRenderedPageBreak/>
        <w:t xml:space="preserve">Where organisations move from an ad hoc to a more holistic approach the provision of organisational support tends to be more effective because this approach necessitates an attitudinal shift from asking </w:t>
      </w:r>
      <w:r>
        <w:rPr>
          <w:i/>
          <w:sz w:val="22"/>
          <w:szCs w:val="22"/>
        </w:rPr>
        <w:t>why</w:t>
      </w:r>
      <w:r>
        <w:rPr>
          <w:sz w:val="22"/>
          <w:szCs w:val="22"/>
        </w:rPr>
        <w:t xml:space="preserve"> an employee needs support, to simply asking </w:t>
      </w:r>
      <w:r>
        <w:rPr>
          <w:i/>
          <w:sz w:val="22"/>
          <w:szCs w:val="22"/>
        </w:rPr>
        <w:t>what</w:t>
      </w:r>
      <w:r>
        <w:rPr>
          <w:sz w:val="22"/>
          <w:szCs w:val="22"/>
        </w:rPr>
        <w:t xml:space="preserve"> they need. </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Qualities that contribute to more effective workplace adjustment procedures are formalised policies, confidential and optional disclosure, supervisors receive appropriate training in offering support and adjustments and there is a presumption in favour of work being flexible.</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lang w:val="en"/>
        </w:rPr>
        <w:t>The G</w:t>
      </w:r>
      <w:r w:rsidRPr="00352C9F">
        <w:rPr>
          <w:sz w:val="22"/>
          <w:szCs w:val="22"/>
          <w:lang w:val="en"/>
        </w:rPr>
        <w:t>overnment currently supports the provision of workplace adjustment for employees with disability through the Employment Assistance Fund (EAF). This is administered through JobAccess, which is an information and advice service funded by the Australian Government. The financial support provided by the EAF includes costs of workplace equipment and modification for employees with a health condition that meets the EAF guidelines.</w:t>
      </w:r>
      <w:r w:rsidRPr="00352C9F">
        <w:rPr>
          <w:sz w:val="22"/>
          <w:szCs w:val="22"/>
          <w:vertAlign w:val="superscript"/>
          <w:lang w:val="en"/>
        </w:rPr>
        <w:endnoteReference w:id="56"/>
      </w:r>
    </w:p>
    <w:p w:rsidR="00AB0151" w:rsidRDefault="00AB0151" w:rsidP="00AB0151">
      <w:pPr>
        <w:spacing w:before="0" w:after="0"/>
        <w:rPr>
          <w:sz w:val="22"/>
          <w:szCs w:val="22"/>
        </w:rPr>
      </w:pPr>
    </w:p>
    <w:p w:rsidR="00AB0151" w:rsidRDefault="00AB0151" w:rsidP="00AB0151">
      <w:pPr>
        <w:spacing w:before="0" w:after="0"/>
        <w:rPr>
          <w:sz w:val="22"/>
          <w:szCs w:val="22"/>
        </w:rPr>
      </w:pPr>
      <w:r w:rsidRPr="00352C9F">
        <w:rPr>
          <w:sz w:val="22"/>
          <w:szCs w:val="22"/>
          <w:lang w:val="en"/>
        </w:rPr>
        <w:t xml:space="preserve">Given the impact of chronic health conditions on workforce participation, </w:t>
      </w:r>
      <w:r>
        <w:rPr>
          <w:sz w:val="22"/>
          <w:szCs w:val="22"/>
          <w:lang w:val="en"/>
        </w:rPr>
        <w:t xml:space="preserve">it is apparent that </w:t>
      </w:r>
      <w:r w:rsidRPr="00352C9F">
        <w:rPr>
          <w:sz w:val="22"/>
          <w:szCs w:val="22"/>
          <w:lang w:val="en"/>
        </w:rPr>
        <w:t>more could be done through JobAccess and the EAF to facilitate the provision of workplace adjustments specifically for older people with a chronic health condition to support their continued participation in the workforce. Particular challenges to overcome may be that the person with the chronic health condition and/or their employer are unaware of the supports available or do not consider the condition to be a disability.</w:t>
      </w:r>
    </w:p>
    <w:p w:rsidR="00AB0151" w:rsidRDefault="00AB0151" w:rsidP="00AB0151">
      <w:pPr>
        <w:spacing w:before="0" w:after="0"/>
        <w:rPr>
          <w:sz w:val="22"/>
          <w:szCs w:val="22"/>
        </w:rPr>
      </w:pPr>
    </w:p>
    <w:p w:rsidR="00AB0151" w:rsidRPr="00352C9F" w:rsidRDefault="00AB0151" w:rsidP="00AB0151">
      <w:pPr>
        <w:spacing w:before="0" w:after="0"/>
        <w:rPr>
          <w:sz w:val="22"/>
          <w:szCs w:val="22"/>
        </w:rPr>
      </w:pPr>
      <w:r w:rsidRPr="00352C9F">
        <w:rPr>
          <w:sz w:val="22"/>
          <w:szCs w:val="22"/>
          <w:lang w:val="en"/>
        </w:rPr>
        <w:t>For example, the EAF could be extended to specifically include relevant training for managers and co-workers, while the information service provided by JobAccess could more explicitly outline supports that are available under the EAF for workers with a chronic health condition.</w:t>
      </w:r>
    </w:p>
    <w:p w:rsidR="00AB0151" w:rsidRDefault="00AB0151" w:rsidP="00AB0151">
      <w:pPr>
        <w:spacing w:before="0" w:after="0"/>
        <w:jc w:val="both"/>
        <w:rPr>
          <w:sz w:val="22"/>
          <w:szCs w:val="22"/>
        </w:rPr>
      </w:pPr>
    </w:p>
    <w:tbl>
      <w:tblPr>
        <w:tblStyle w:val="TableGrid"/>
        <w:tblW w:w="0" w:type="auto"/>
        <w:tblLook w:val="04A0" w:firstRow="1" w:lastRow="0" w:firstColumn="1" w:lastColumn="0" w:noHBand="0" w:noVBand="1"/>
      </w:tblPr>
      <w:tblGrid>
        <w:gridCol w:w="9060"/>
      </w:tblGrid>
      <w:tr w:rsidR="00AB0151" w:rsidTr="00AB0151">
        <w:tc>
          <w:tcPr>
            <w:tcW w:w="9060" w:type="dxa"/>
            <w:shd w:val="clear" w:color="auto" w:fill="BDD6EE"/>
          </w:tcPr>
          <w:p w:rsidR="00AB0151" w:rsidRPr="00BF1A8E" w:rsidRDefault="00AB0151" w:rsidP="00AB0151">
            <w:pPr>
              <w:spacing w:before="120" w:after="120"/>
              <w:rPr>
                <w:sz w:val="22"/>
                <w:szCs w:val="22"/>
              </w:rPr>
            </w:pPr>
            <w:r w:rsidRPr="00BF1A8E">
              <w:rPr>
                <w:b/>
                <w:sz w:val="22"/>
                <w:szCs w:val="22"/>
              </w:rPr>
              <w:t>Recommendation 17:</w:t>
            </w:r>
            <w:r w:rsidRPr="00BF1A8E">
              <w:rPr>
                <w:sz w:val="22"/>
                <w:szCs w:val="22"/>
              </w:rPr>
              <w:t xml:space="preserve"> That to support continuing workforce participation and to improve access to workplace adjustments for people with chronic health conditions, the Australian Government:</w:t>
            </w:r>
          </w:p>
          <w:p w:rsidR="00AB0151" w:rsidRPr="00BF1A8E" w:rsidRDefault="00AB0151" w:rsidP="00AB0151">
            <w:pPr>
              <w:pStyle w:val="ListParagraph"/>
              <w:numPr>
                <w:ilvl w:val="0"/>
                <w:numId w:val="41"/>
              </w:numPr>
              <w:spacing w:before="120" w:after="120"/>
              <w:rPr>
                <w:sz w:val="22"/>
                <w:szCs w:val="22"/>
              </w:rPr>
            </w:pPr>
            <w:r w:rsidRPr="00BF1A8E">
              <w:rPr>
                <w:sz w:val="22"/>
                <w:szCs w:val="22"/>
              </w:rPr>
              <w:t>expand the Employment Assistance Fund to include training for managers and co-workers about employees with chronic health conditions</w:t>
            </w:r>
          </w:p>
          <w:p w:rsidR="00AB0151" w:rsidRPr="00BF1A8E" w:rsidRDefault="00AB0151" w:rsidP="00AB0151">
            <w:pPr>
              <w:pStyle w:val="ListParagraph"/>
              <w:numPr>
                <w:ilvl w:val="0"/>
                <w:numId w:val="41"/>
              </w:numPr>
              <w:spacing w:before="120" w:after="120"/>
              <w:rPr>
                <w:sz w:val="22"/>
                <w:szCs w:val="22"/>
              </w:rPr>
            </w:pPr>
            <w:r w:rsidRPr="00BF1A8E">
              <w:rPr>
                <w:sz w:val="22"/>
                <w:szCs w:val="22"/>
              </w:rPr>
              <w:t>develop information and resources provided by JobAccess that specifically address workplace adjustments for employees with chronic health conditions</w:t>
            </w:r>
          </w:p>
          <w:p w:rsidR="00AB0151" w:rsidRPr="00BF1A8E" w:rsidRDefault="00AB0151" w:rsidP="00AB0151">
            <w:pPr>
              <w:pStyle w:val="ListParagraph"/>
              <w:numPr>
                <w:ilvl w:val="0"/>
                <w:numId w:val="41"/>
              </w:numPr>
              <w:spacing w:before="120" w:after="120"/>
              <w:rPr>
                <w:sz w:val="22"/>
                <w:szCs w:val="22"/>
              </w:rPr>
            </w:pPr>
            <w:r w:rsidRPr="00BF1A8E">
              <w:rPr>
                <w:sz w:val="22"/>
                <w:szCs w:val="22"/>
              </w:rPr>
              <w:t>review the current EAF guidelines to ensure they do not exclude people with chronic health conditions from accessing workplace adjustments.</w:t>
            </w:r>
          </w:p>
        </w:tc>
      </w:tr>
    </w:tbl>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Finally, individuals are a crucial stakeholder to engage. It is important for individuals to consult with their GP and specialists, where necessary, to understand their health and the workplace adjustments that can help them to stay in the workplace.</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Along these lines the Australian Human Rights Commission has included information on healthy ageing in the Skills Checkpoint pilot program being administered through the Department of Education and Training.  Specifically, this emphasises the importance of properly managing and understanding health as a means of maintaining employment.</w:t>
      </w:r>
    </w:p>
    <w:p w:rsidR="00AB0151" w:rsidRDefault="00AB0151" w:rsidP="00AB0151">
      <w:pPr>
        <w:spacing w:before="0" w:after="0"/>
        <w:rPr>
          <w:sz w:val="22"/>
          <w:szCs w:val="22"/>
        </w:rPr>
      </w:pPr>
    </w:p>
    <w:p w:rsidR="00AB0151" w:rsidRDefault="00AB0151" w:rsidP="00AB0151">
      <w:pPr>
        <w:spacing w:before="0" w:after="0"/>
        <w:rPr>
          <w:sz w:val="22"/>
          <w:szCs w:val="22"/>
        </w:rPr>
      </w:pPr>
      <w:r>
        <w:rPr>
          <w:sz w:val="22"/>
          <w:szCs w:val="22"/>
        </w:rPr>
        <w:t>Proper management of conditions is critical to facilitate workplace participation. There may also be scope to better equip GPs to support older workers with chronic health conditions, and potentially for the Government to promote and invest more heavily in effective preventative health and management strategies.</w:t>
      </w:r>
    </w:p>
    <w:p w:rsidR="00AB0151" w:rsidRPr="00277ADA" w:rsidRDefault="00AB0151" w:rsidP="00AB0151">
      <w:pPr>
        <w:spacing w:before="0" w:after="0"/>
        <w:jc w:val="both"/>
        <w:rPr>
          <w:sz w:val="22"/>
          <w:szCs w:val="22"/>
        </w:rPr>
      </w:pPr>
    </w:p>
    <w:p w:rsidR="00EB6A76" w:rsidRPr="00AB0151" w:rsidRDefault="00AB0151" w:rsidP="00AB0151">
      <w:pPr>
        <w:spacing w:before="0" w:after="0"/>
        <w:rPr>
          <w:b/>
          <w:i/>
          <w:sz w:val="22"/>
          <w:szCs w:val="22"/>
        </w:rPr>
      </w:pPr>
      <w:r w:rsidRPr="00AF73D2">
        <w:rPr>
          <w:b/>
          <w:i/>
          <w:sz w:val="22"/>
          <w:szCs w:val="22"/>
        </w:rPr>
        <w:br w:type="page"/>
      </w:r>
    </w:p>
    <w:sectPr w:rsidR="00EB6A76" w:rsidRPr="00AB0151" w:rsidSect="00B63D24">
      <w:headerReference w:type="even" r:id="rId28"/>
      <w:headerReference w:type="default" r:id="rId29"/>
      <w:footerReference w:type="default" r:id="rId30"/>
      <w:headerReference w:type="first" r:id="rId31"/>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C21" w:rsidRDefault="00B85C21" w:rsidP="00F14C6D">
      <w:r>
        <w:separator/>
      </w:r>
    </w:p>
  </w:endnote>
  <w:endnote w:type="continuationSeparator" w:id="0">
    <w:p w:rsidR="00B85C21" w:rsidRDefault="00B85C21" w:rsidP="00F14C6D">
      <w:r>
        <w:continuationSeparator/>
      </w:r>
    </w:p>
  </w:endnote>
  <w:endnote w:id="1">
    <w:p w:rsidR="00B85C21" w:rsidRPr="0097419C" w:rsidRDefault="00B85C21" w:rsidP="00AB0151">
      <w:pPr>
        <w:spacing w:before="0" w:after="0"/>
        <w:rPr>
          <w:rFonts w:cs="Arial"/>
          <w:sz w:val="18"/>
          <w:szCs w:val="18"/>
        </w:rPr>
      </w:pPr>
      <w:r w:rsidRPr="0097419C">
        <w:rPr>
          <w:rStyle w:val="EndnoteReference"/>
          <w:rFonts w:cs="Arial"/>
          <w:sz w:val="18"/>
          <w:szCs w:val="18"/>
        </w:rPr>
        <w:endnoteRef/>
      </w:r>
      <w:r w:rsidRPr="0097419C">
        <w:rPr>
          <w:rFonts w:cs="Arial"/>
          <w:sz w:val="18"/>
          <w:szCs w:val="18"/>
        </w:rPr>
        <w:t xml:space="preserve"> Australian Human Rights Commission, </w:t>
      </w:r>
      <w:r w:rsidRPr="0097419C">
        <w:rPr>
          <w:rFonts w:cs="Arial"/>
          <w:i/>
          <w:sz w:val="18"/>
          <w:szCs w:val="18"/>
        </w:rPr>
        <w:t xml:space="preserve">National prevalence survey of age discrimination in the workplace </w:t>
      </w:r>
      <w:r w:rsidRPr="0097419C">
        <w:rPr>
          <w:rFonts w:cs="Arial"/>
          <w:sz w:val="18"/>
          <w:szCs w:val="18"/>
        </w:rPr>
        <w:t xml:space="preserve">(2015) 16 available at </w:t>
      </w:r>
      <w:hyperlink r:id="rId1" w:history="1">
        <w:r w:rsidRPr="0097419C">
          <w:rPr>
            <w:rStyle w:val="Hyperlink"/>
            <w:rFonts w:cs="Arial"/>
            <w:sz w:val="18"/>
            <w:szCs w:val="18"/>
          </w:rPr>
          <w:t>http://www.humanrights.gov.au/our-work/age-discrimination/publications/national-prevalence-survey-age-discrimination-workplace</w:t>
        </w:r>
      </w:hyperlink>
    </w:p>
  </w:endnote>
  <w:endnote w:id="2">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Megan E Passey, Arul Earnest and Susan L Fletcher, ‘Chronic disease and labour force participation among older Australians’ (2008) 189 and 8 </w:t>
      </w:r>
      <w:r w:rsidRPr="0097419C">
        <w:rPr>
          <w:rFonts w:cs="Arial"/>
          <w:i/>
          <w:sz w:val="18"/>
          <w:szCs w:val="18"/>
        </w:rPr>
        <w:t>Medicine and the Community</w:t>
      </w:r>
      <w:r w:rsidRPr="0097419C">
        <w:rPr>
          <w:rFonts w:cs="Arial"/>
          <w:sz w:val="18"/>
          <w:szCs w:val="18"/>
        </w:rPr>
        <w:t xml:space="preserve"> 447, 447.</w:t>
      </w:r>
    </w:p>
  </w:endnote>
  <w:endnote w:id="3">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AMP.NATSEM, </w:t>
      </w:r>
      <w:r w:rsidRPr="0097419C">
        <w:rPr>
          <w:rFonts w:cs="Arial"/>
          <w:i/>
          <w:sz w:val="18"/>
          <w:szCs w:val="18"/>
        </w:rPr>
        <w:t>Going the distance…Working longer, living healthier,</w:t>
      </w:r>
      <w:r w:rsidRPr="0097419C">
        <w:rPr>
          <w:rFonts w:cs="Arial"/>
          <w:sz w:val="18"/>
          <w:szCs w:val="18"/>
        </w:rPr>
        <w:t xml:space="preserve"> AMP.NATSEM Income and Wealth Report Issue No 37 (2015) 18.</w:t>
      </w:r>
    </w:p>
  </w:endnote>
  <w:endnote w:id="4">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Reproduced from AMP.NATSEM, </w:t>
      </w:r>
      <w:r w:rsidRPr="0097419C">
        <w:rPr>
          <w:rFonts w:cs="Arial"/>
          <w:i/>
          <w:sz w:val="18"/>
          <w:szCs w:val="18"/>
        </w:rPr>
        <w:t>Going the distance…Working longer, living healthier,</w:t>
      </w:r>
      <w:r w:rsidRPr="0097419C">
        <w:rPr>
          <w:rFonts w:cs="Arial"/>
          <w:sz w:val="18"/>
          <w:szCs w:val="18"/>
        </w:rPr>
        <w:t xml:space="preserve"> AMP.NATSEM Income and Wealth Report Issue No 37 (2015) 18.</w:t>
      </w:r>
    </w:p>
  </w:endnote>
  <w:endnote w:id="5">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Seyed Mohammad Alavinia and Alex Burdorf, ‘Unemployment and retirement and ill-health: a cross-sectional analysis across European countries’ (2008) 82 </w:t>
      </w:r>
      <w:r w:rsidRPr="0097419C">
        <w:rPr>
          <w:rFonts w:cs="Arial"/>
          <w:i/>
          <w:sz w:val="18"/>
          <w:szCs w:val="18"/>
        </w:rPr>
        <w:t>Int Arch Occup Enviorn Health</w:t>
      </w:r>
      <w:r w:rsidRPr="0097419C">
        <w:rPr>
          <w:rFonts w:cs="Arial"/>
          <w:sz w:val="18"/>
          <w:szCs w:val="18"/>
        </w:rPr>
        <w:t xml:space="preserve"> 39, 44. </w:t>
      </w:r>
    </w:p>
  </w:endnote>
  <w:endnote w:id="6">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S.W. Pit, R. Shrestha, D. Schofield, M. Passey, ‘Partial and complete retirement due to ill-health among mature age Australians’ (2013) 127 </w:t>
      </w:r>
      <w:r w:rsidRPr="0097419C">
        <w:rPr>
          <w:rFonts w:cs="Arial"/>
          <w:i/>
          <w:sz w:val="18"/>
          <w:szCs w:val="18"/>
        </w:rPr>
        <w:t>Public Health</w:t>
      </w:r>
      <w:r w:rsidRPr="0097419C">
        <w:rPr>
          <w:rFonts w:cs="Arial"/>
          <w:sz w:val="18"/>
          <w:szCs w:val="18"/>
        </w:rPr>
        <w:t xml:space="preserve"> 561, 567.</w:t>
      </w:r>
    </w:p>
  </w:endnote>
  <w:endnote w:id="7">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Institute of Health and Welfare, </w:t>
      </w:r>
      <w:r w:rsidRPr="0097419C">
        <w:rPr>
          <w:rFonts w:cs="Arial"/>
          <w:i/>
          <w:sz w:val="18"/>
          <w:szCs w:val="18"/>
        </w:rPr>
        <w:t>Chronic Disease and Participation in work</w:t>
      </w:r>
      <w:r w:rsidRPr="0097419C">
        <w:rPr>
          <w:rFonts w:cs="Arial"/>
          <w:sz w:val="18"/>
          <w:szCs w:val="18"/>
        </w:rPr>
        <w:t xml:space="preserve"> (2009) 7.</w:t>
      </w:r>
    </w:p>
  </w:endnote>
  <w:endnote w:id="8">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Institute of Health and Welfare, </w:t>
      </w:r>
      <w:r w:rsidRPr="0097419C">
        <w:rPr>
          <w:rFonts w:cs="Arial"/>
          <w:i/>
          <w:sz w:val="18"/>
          <w:szCs w:val="18"/>
        </w:rPr>
        <w:t>Chronic Disease and Participation in work</w:t>
      </w:r>
      <w:r w:rsidRPr="0097419C">
        <w:rPr>
          <w:rFonts w:cs="Arial"/>
          <w:sz w:val="18"/>
          <w:szCs w:val="18"/>
        </w:rPr>
        <w:t xml:space="preserve"> (2009) 35.</w:t>
      </w:r>
    </w:p>
  </w:endnote>
  <w:endnote w:id="9">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Richard Percival, Emily J. Callander, Simon J. Kelly, Megan E. Passey, ‘Multiple chronic health conditions and their link with labour force participation and economic status’ (2013) 8 and 11 </w:t>
      </w:r>
      <w:r w:rsidRPr="0097419C">
        <w:rPr>
          <w:rFonts w:cs="Arial"/>
          <w:i/>
          <w:sz w:val="18"/>
          <w:szCs w:val="18"/>
        </w:rPr>
        <w:t>PLoS ONE</w:t>
      </w:r>
      <w:r w:rsidRPr="0097419C">
        <w:rPr>
          <w:rFonts w:cs="Arial"/>
          <w:sz w:val="18"/>
          <w:szCs w:val="18"/>
        </w:rPr>
        <w:t xml:space="preserve"> 1, 5.</w:t>
      </w:r>
    </w:p>
  </w:endnote>
  <w:endnote w:id="10">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Richard Percival, Emily J. Callander, Simon J. Kelly, Megan E. Passey, ‘Multiple chronic health conditions and their link with labour force participation and economic status’ (2013) 8 and 11 </w:t>
      </w:r>
      <w:r w:rsidRPr="0097419C">
        <w:rPr>
          <w:rFonts w:cs="Arial"/>
          <w:i/>
          <w:sz w:val="18"/>
          <w:szCs w:val="18"/>
        </w:rPr>
        <w:t>PLoS ONE</w:t>
      </w:r>
      <w:r w:rsidRPr="0097419C">
        <w:rPr>
          <w:rFonts w:cs="Arial"/>
          <w:sz w:val="18"/>
          <w:szCs w:val="18"/>
        </w:rPr>
        <w:t xml:space="preserve"> 1, 3.</w:t>
      </w:r>
    </w:p>
  </w:endnote>
  <w:endnote w:id="11">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Michelle Cunich, Robert Tanton, Lennert J Veerman, Richard Percival, Emily J. Callander, Simon J. Kelly, Megan E. Passey, ‘Productive Life Years lost due to chronic conditions in Australians aged 45-64 years from 2010 to 2030: projections from a microsimulation model’, (2015) 203 (6) </w:t>
      </w:r>
      <w:r w:rsidRPr="0097419C">
        <w:rPr>
          <w:rFonts w:cs="Arial"/>
          <w:i/>
          <w:sz w:val="18"/>
          <w:szCs w:val="18"/>
        </w:rPr>
        <w:t>MJA</w:t>
      </w:r>
      <w:r w:rsidRPr="0097419C">
        <w:rPr>
          <w:rFonts w:cs="Arial"/>
          <w:sz w:val="18"/>
          <w:szCs w:val="18"/>
        </w:rPr>
        <w:t xml:space="preserve"> 206, 208.</w:t>
      </w:r>
    </w:p>
  </w:endnote>
  <w:endnote w:id="12">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Megan E Passey, Arul Earnest and Susan L Fletcher, ‘Chronic disease and labour force participation among older Australians’ (2008) 189 and 8 </w:t>
      </w:r>
      <w:r w:rsidRPr="0097419C">
        <w:rPr>
          <w:rFonts w:cs="Arial"/>
          <w:i/>
          <w:sz w:val="18"/>
          <w:szCs w:val="18"/>
        </w:rPr>
        <w:t>Medicine and the Community</w:t>
      </w:r>
      <w:r w:rsidRPr="0097419C">
        <w:rPr>
          <w:rFonts w:cs="Arial"/>
          <w:sz w:val="18"/>
          <w:szCs w:val="18"/>
        </w:rPr>
        <w:t xml:space="preserve"> 447, 449.</w:t>
      </w:r>
    </w:p>
  </w:endnote>
  <w:endnote w:id="13">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Megan E Passey, Arul Earnest and Susan L Fletcher, ‘Chronic disease and labour force participation among older Australians’ (2008) 189 and 8 </w:t>
      </w:r>
      <w:r w:rsidRPr="0097419C">
        <w:rPr>
          <w:rFonts w:cs="Arial"/>
          <w:i/>
          <w:sz w:val="18"/>
          <w:szCs w:val="18"/>
        </w:rPr>
        <w:t>Medicine and the Community</w:t>
      </w:r>
      <w:r w:rsidRPr="0097419C">
        <w:rPr>
          <w:rFonts w:cs="Arial"/>
          <w:sz w:val="18"/>
          <w:szCs w:val="18"/>
        </w:rPr>
        <w:t xml:space="preserve"> 447, 448.</w:t>
      </w:r>
    </w:p>
  </w:endnote>
  <w:endnote w:id="14">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Megan E Passey, Arul Earnest and Susan L Fletcher, ‘Chronic disease and labour force participation among older Australians’ (2008) 189 and 8 </w:t>
      </w:r>
      <w:r w:rsidRPr="0097419C">
        <w:rPr>
          <w:rFonts w:cs="Arial"/>
          <w:i/>
          <w:sz w:val="18"/>
          <w:szCs w:val="18"/>
        </w:rPr>
        <w:t>Medicine and the Community</w:t>
      </w:r>
      <w:r w:rsidRPr="0097419C">
        <w:rPr>
          <w:rFonts w:cs="Arial"/>
          <w:sz w:val="18"/>
          <w:szCs w:val="18"/>
        </w:rPr>
        <w:t xml:space="preserve"> 447, 449.</w:t>
      </w:r>
    </w:p>
  </w:endnote>
  <w:endnote w:id="15">
    <w:p w:rsidR="00B85C21" w:rsidRPr="0097419C" w:rsidRDefault="00B85C21" w:rsidP="00AB0151">
      <w:pPr>
        <w:pStyle w:val="EndnoteText"/>
        <w:rPr>
          <w:rFonts w:cs="Arial"/>
          <w:sz w:val="18"/>
          <w:szCs w:val="18"/>
        </w:rPr>
      </w:pPr>
      <w:r w:rsidRPr="0097419C">
        <w:rPr>
          <w:rStyle w:val="EndnoteReference"/>
          <w:rFonts w:cs="Arial"/>
          <w:sz w:val="18"/>
          <w:szCs w:val="18"/>
        </w:rPr>
        <w:endnoteRef/>
      </w:r>
      <w:r>
        <w:rPr>
          <w:rFonts w:cs="Arial"/>
          <w:sz w:val="18"/>
          <w:szCs w:val="18"/>
        </w:rPr>
        <w:t xml:space="preserve"> AIST, Submission</w:t>
      </w:r>
      <w:r w:rsidRPr="0097419C">
        <w:rPr>
          <w:rFonts w:cs="Arial"/>
          <w:sz w:val="18"/>
          <w:szCs w:val="18"/>
        </w:rPr>
        <w:t xml:space="preserve"> 329 to Australian Human Rights Commission, </w:t>
      </w:r>
      <w:r w:rsidRPr="0097419C">
        <w:rPr>
          <w:rFonts w:cs="Arial"/>
          <w:i/>
          <w:sz w:val="18"/>
          <w:szCs w:val="18"/>
        </w:rPr>
        <w:t>Willing to Work: National Inquiry into employment discrimination against older Australians and Australians with disability</w:t>
      </w:r>
      <w:r w:rsidRPr="0097419C">
        <w:rPr>
          <w:rFonts w:cs="Arial"/>
          <w:sz w:val="18"/>
          <w:szCs w:val="18"/>
        </w:rPr>
        <w:t>, Annexure C, 16.</w:t>
      </w:r>
    </w:p>
  </w:endnote>
  <w:endnote w:id="16">
    <w:p w:rsidR="00B85C21" w:rsidRPr="0097419C" w:rsidRDefault="00B85C21" w:rsidP="00AB0151">
      <w:pPr>
        <w:pStyle w:val="EndnoteText"/>
        <w:rPr>
          <w:rFonts w:cs="Arial"/>
          <w:i/>
          <w:sz w:val="18"/>
          <w:szCs w:val="18"/>
        </w:rPr>
      </w:pPr>
      <w:r w:rsidRPr="0097419C">
        <w:rPr>
          <w:rStyle w:val="EndnoteReference"/>
          <w:rFonts w:cs="Arial"/>
          <w:sz w:val="18"/>
          <w:szCs w:val="18"/>
        </w:rPr>
        <w:endnoteRef/>
      </w:r>
      <w:r w:rsidRPr="0097419C">
        <w:rPr>
          <w:rFonts w:cs="Arial"/>
          <w:sz w:val="18"/>
          <w:szCs w:val="18"/>
        </w:rPr>
        <w:t xml:space="preserve"> Seyed Mohammad Alavinia and Alex Burdorf, ‘Unemployment and retirement and ill-health: a cross-sectional analysis across European countries’ (2008) 82 </w:t>
      </w:r>
      <w:r w:rsidRPr="0097419C">
        <w:rPr>
          <w:rFonts w:cs="Arial"/>
          <w:i/>
          <w:sz w:val="18"/>
          <w:szCs w:val="18"/>
        </w:rPr>
        <w:t>Int Arch Occup Enviorn Health</w:t>
      </w:r>
      <w:r w:rsidRPr="0097419C">
        <w:rPr>
          <w:rFonts w:cs="Arial"/>
          <w:sz w:val="18"/>
          <w:szCs w:val="18"/>
        </w:rPr>
        <w:t xml:space="preserve"> 39, 43.</w:t>
      </w:r>
      <w:r w:rsidRPr="0097419C">
        <w:rPr>
          <w:rFonts w:cs="Arial"/>
          <w:i/>
          <w:sz w:val="18"/>
          <w:szCs w:val="18"/>
        </w:rPr>
        <w:t xml:space="preserve"> </w:t>
      </w:r>
    </w:p>
  </w:endnote>
  <w:endnote w:id="17">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AMP.NATSEM, </w:t>
      </w:r>
      <w:r w:rsidRPr="0097419C">
        <w:rPr>
          <w:rFonts w:cs="Arial"/>
          <w:i/>
          <w:sz w:val="18"/>
          <w:szCs w:val="18"/>
        </w:rPr>
        <w:t>Going the distance…Working longer, living healthier,</w:t>
      </w:r>
      <w:r w:rsidRPr="0097419C">
        <w:rPr>
          <w:rFonts w:cs="Arial"/>
          <w:sz w:val="18"/>
          <w:szCs w:val="18"/>
        </w:rPr>
        <w:t xml:space="preserve"> AMP.NATSEM Income and Wealth Report Issue No 37 (2015) 27.</w:t>
      </w:r>
    </w:p>
  </w:endnote>
  <w:endnote w:id="18">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Michelle Cunich, Robert Tanton, Lennert J Veerman, Simon J. Kelly, Megan E. Passey, ‘Productive Life Years lost due to chronic conditions in Australians aged 45-64 years from 2010 to 2030: projections from a microsimulation model’, (2015) 203 (6) </w:t>
      </w:r>
      <w:r w:rsidRPr="0097419C">
        <w:rPr>
          <w:rFonts w:cs="Arial"/>
          <w:i/>
          <w:sz w:val="18"/>
          <w:szCs w:val="18"/>
        </w:rPr>
        <w:t>MJA</w:t>
      </w:r>
      <w:r w:rsidRPr="0097419C">
        <w:rPr>
          <w:rFonts w:cs="Arial"/>
          <w:sz w:val="18"/>
          <w:szCs w:val="18"/>
        </w:rPr>
        <w:t xml:space="preserve"> 206, 208.</w:t>
      </w:r>
    </w:p>
  </w:endnote>
  <w:endnote w:id="19">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Michelle Cunich, Robert Tanton, Lennert J Veerman, Simon J. Kelly, Megan E. Passey, ‘Productive Life Years lost due to chronic conditions in Australians aged 45-64 years from 2010 to 2030: projections from a microsimulation model’, (2015) 203 (6) </w:t>
      </w:r>
      <w:r w:rsidRPr="0097419C">
        <w:rPr>
          <w:rFonts w:cs="Arial"/>
          <w:i/>
          <w:sz w:val="18"/>
          <w:szCs w:val="18"/>
        </w:rPr>
        <w:t>MJA</w:t>
      </w:r>
      <w:r w:rsidRPr="0097419C">
        <w:rPr>
          <w:rFonts w:cs="Arial"/>
          <w:sz w:val="18"/>
          <w:szCs w:val="18"/>
        </w:rPr>
        <w:t xml:space="preserve"> 206, 209.</w:t>
      </w:r>
    </w:p>
  </w:endnote>
  <w:endnote w:id="20">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Australian Institute of Health and Welfare, </w:t>
      </w:r>
      <w:r w:rsidRPr="0097419C">
        <w:rPr>
          <w:rFonts w:cs="Arial"/>
          <w:i/>
          <w:sz w:val="18"/>
          <w:szCs w:val="18"/>
        </w:rPr>
        <w:t>Chronic Disease — Australia’s Biggest Health Challenge</w:t>
      </w:r>
      <w:r w:rsidRPr="0097419C">
        <w:rPr>
          <w:rFonts w:cs="Arial"/>
          <w:sz w:val="18"/>
          <w:szCs w:val="18"/>
        </w:rPr>
        <w:t xml:space="preserve"> (2014) 9.</w:t>
      </w:r>
    </w:p>
  </w:endnote>
  <w:endnote w:id="21">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Australian Human Rights Commission, </w:t>
      </w:r>
      <w:r w:rsidRPr="0097419C">
        <w:rPr>
          <w:rFonts w:cs="Arial"/>
          <w:i/>
          <w:sz w:val="18"/>
          <w:szCs w:val="18"/>
        </w:rPr>
        <w:t xml:space="preserve">National prevalence survey of age discrimination in the workplace </w:t>
      </w:r>
      <w:r w:rsidRPr="0097419C">
        <w:rPr>
          <w:rFonts w:cs="Arial"/>
          <w:sz w:val="18"/>
          <w:szCs w:val="18"/>
        </w:rPr>
        <w:t>(2015) 1.</w:t>
      </w:r>
    </w:p>
  </w:endnote>
  <w:endnote w:id="22">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Human Rights Commission, </w:t>
      </w:r>
      <w:r w:rsidRPr="0097419C">
        <w:rPr>
          <w:rFonts w:cs="Arial"/>
          <w:i/>
          <w:sz w:val="18"/>
          <w:szCs w:val="18"/>
        </w:rPr>
        <w:t xml:space="preserve">Fact or Fiction? Stereotypes of Older Australians  </w:t>
      </w:r>
      <w:r w:rsidRPr="0097419C">
        <w:rPr>
          <w:rFonts w:cs="Arial"/>
          <w:sz w:val="18"/>
          <w:szCs w:val="18"/>
        </w:rPr>
        <w:t>(2013) 28.</w:t>
      </w:r>
    </w:p>
  </w:endnote>
  <w:endnote w:id="23">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color w:val="FF0000"/>
          <w:sz w:val="18"/>
          <w:szCs w:val="18"/>
        </w:rPr>
        <w:t xml:space="preserve"> </w:t>
      </w:r>
      <w:r w:rsidRPr="0097419C">
        <w:rPr>
          <w:rFonts w:cs="Arial"/>
          <w:sz w:val="18"/>
          <w:szCs w:val="18"/>
        </w:rPr>
        <w:t>Oakman, Briggs, Kinsman, Bywaters ‘working with pain: What can workplaces do to support employees with persistent musculoskeletal pain to maintain productive employment? (2015) Arthritis and Osteoporosis Victoria, 24</w:t>
      </w:r>
    </w:p>
  </w:endnote>
  <w:endnote w:id="24">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Oakman, Briggs, Kinsman, Bywaters ‘working with pain: What can workplaces do to support employees with persistent musculoskeletal pain to maintain productive employment? (2015) Arthritis and Osteoporosis Victoria, 28.</w:t>
      </w:r>
    </w:p>
  </w:endnote>
  <w:endnote w:id="25">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State of Victoria Department of Health ‘healthy ageing literature review’ (2012) 16.</w:t>
      </w:r>
    </w:p>
  </w:endnote>
  <w:endnote w:id="26">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Oakman, Briggs, Kinsman, Bywaters ‘working with pain: What can workplaces do to support employees with persistent musculoskeletal pain to maintain productive employment? (2015) Arthritis and Osteoporosis Victoria, 29.</w:t>
      </w:r>
    </w:p>
  </w:endnote>
  <w:endnote w:id="27">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Commonwealth of Australia, Intergenerational Report 2015 iii.</w:t>
      </w:r>
    </w:p>
  </w:endnote>
  <w:endnote w:id="28">
    <w:p w:rsidR="00B85C21" w:rsidRPr="0097419C" w:rsidRDefault="00B85C21" w:rsidP="00AB0151">
      <w:pPr>
        <w:pStyle w:val="EndnoteText"/>
        <w:rPr>
          <w:rFonts w:cs="Arial"/>
          <w:sz w:val="18"/>
          <w:szCs w:val="18"/>
        </w:rPr>
      </w:pPr>
      <w:r w:rsidRPr="0097419C">
        <w:rPr>
          <w:rStyle w:val="EndnoteReference"/>
          <w:rFonts w:cs="Arial"/>
          <w:sz w:val="18"/>
          <w:szCs w:val="18"/>
        </w:rPr>
        <w:endnoteRef/>
      </w:r>
      <w:r>
        <w:rPr>
          <w:rFonts w:cs="Arial"/>
          <w:sz w:val="18"/>
          <w:szCs w:val="18"/>
        </w:rPr>
        <w:t xml:space="preserve"> AIST, Submission </w:t>
      </w:r>
      <w:r w:rsidRPr="0097419C">
        <w:rPr>
          <w:rFonts w:cs="Arial"/>
          <w:sz w:val="18"/>
          <w:szCs w:val="18"/>
        </w:rPr>
        <w:t xml:space="preserve">329 to Australian Human Rights Commission, </w:t>
      </w:r>
      <w:r w:rsidRPr="0097419C">
        <w:rPr>
          <w:rFonts w:cs="Arial"/>
          <w:i/>
          <w:sz w:val="18"/>
          <w:szCs w:val="18"/>
        </w:rPr>
        <w:t>Willing to Work: National Inquiry into employment discrimination against older Australians and Australians with disability</w:t>
      </w:r>
      <w:r w:rsidRPr="0097419C">
        <w:rPr>
          <w:rFonts w:cs="Arial"/>
          <w:sz w:val="18"/>
          <w:szCs w:val="18"/>
        </w:rPr>
        <w:t xml:space="preserve">, Annexure C, 15. </w:t>
      </w:r>
    </w:p>
  </w:endnote>
  <w:endnote w:id="29">
    <w:p w:rsidR="00B85C21" w:rsidRPr="0097419C" w:rsidRDefault="00B85C21" w:rsidP="00AB0151">
      <w:pPr>
        <w:pStyle w:val="EndnoteText"/>
        <w:rPr>
          <w:rFonts w:cs="Arial"/>
          <w:sz w:val="18"/>
          <w:szCs w:val="18"/>
        </w:rPr>
      </w:pPr>
      <w:r w:rsidRPr="0097419C">
        <w:rPr>
          <w:rStyle w:val="EndnoteReference"/>
          <w:rFonts w:cs="Arial"/>
          <w:sz w:val="18"/>
          <w:szCs w:val="18"/>
        </w:rPr>
        <w:endnoteRef/>
      </w:r>
      <w:r>
        <w:rPr>
          <w:rFonts w:cs="Arial"/>
          <w:sz w:val="18"/>
          <w:szCs w:val="18"/>
        </w:rPr>
        <w:t xml:space="preserve"> AIST, Submission</w:t>
      </w:r>
      <w:r w:rsidRPr="0097419C">
        <w:rPr>
          <w:rFonts w:cs="Arial"/>
          <w:sz w:val="18"/>
          <w:szCs w:val="18"/>
        </w:rPr>
        <w:t xml:space="preserve"> 329 to Australian Human Rights Commission, </w:t>
      </w:r>
      <w:r w:rsidRPr="0097419C">
        <w:rPr>
          <w:rFonts w:cs="Arial"/>
          <w:i/>
          <w:sz w:val="18"/>
          <w:szCs w:val="18"/>
        </w:rPr>
        <w:t>Willing to Work: National Inquiry into employment discrimination against older Australians and Australians with disability</w:t>
      </w:r>
      <w:r w:rsidRPr="0097419C">
        <w:rPr>
          <w:rFonts w:cs="Arial"/>
          <w:sz w:val="18"/>
          <w:szCs w:val="18"/>
        </w:rPr>
        <w:t xml:space="preserve">, Annexure C, 15. </w:t>
      </w:r>
    </w:p>
  </w:endnote>
  <w:endnote w:id="30">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AMP.NATSEM presentation to Australian Human Rights Commission.</w:t>
      </w:r>
    </w:p>
  </w:endnote>
  <w:endnote w:id="31">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Bureau of Statistic, </w:t>
      </w:r>
      <w:r>
        <w:rPr>
          <w:rFonts w:cs="Arial"/>
          <w:sz w:val="18"/>
          <w:szCs w:val="18"/>
        </w:rPr>
        <w:t xml:space="preserve">2015, </w:t>
      </w:r>
      <w:r w:rsidRPr="003E21DC">
        <w:rPr>
          <w:rFonts w:cs="Arial"/>
          <w:i/>
          <w:sz w:val="18"/>
          <w:szCs w:val="18"/>
        </w:rPr>
        <w:t>Retirement and Retirement Intentions</w:t>
      </w:r>
      <w:r w:rsidRPr="0097419C">
        <w:rPr>
          <w:rFonts w:cs="Arial"/>
          <w:sz w:val="18"/>
          <w:szCs w:val="18"/>
        </w:rPr>
        <w:t xml:space="preserve"> </w:t>
      </w:r>
      <w:r>
        <w:rPr>
          <w:rFonts w:cs="Arial"/>
          <w:sz w:val="18"/>
          <w:szCs w:val="18"/>
        </w:rPr>
        <w:t>—</w:t>
      </w:r>
      <w:r w:rsidRPr="0097419C">
        <w:rPr>
          <w:rFonts w:cs="Arial"/>
          <w:sz w:val="18"/>
          <w:szCs w:val="18"/>
        </w:rPr>
        <w:t xml:space="preserve"> </w:t>
      </w:r>
      <w:r w:rsidRPr="003E21DC">
        <w:rPr>
          <w:rFonts w:cs="Arial"/>
          <w:i/>
          <w:sz w:val="18"/>
          <w:szCs w:val="18"/>
        </w:rPr>
        <w:t>July 2014 to June 2015</w:t>
      </w:r>
      <w:r>
        <w:rPr>
          <w:rFonts w:cs="Arial"/>
          <w:sz w:val="18"/>
          <w:szCs w:val="18"/>
        </w:rPr>
        <w:t xml:space="preserve">, cat. no. 6238.0. At </w:t>
      </w:r>
      <w:hyperlink r:id="rId2" w:history="1">
        <w:r w:rsidRPr="006F72B2">
          <w:rPr>
            <w:rStyle w:val="Hyperlink"/>
            <w:rFonts w:cs="Arial"/>
            <w:sz w:val="18"/>
            <w:szCs w:val="18"/>
          </w:rPr>
          <w:t>http://www.abs.gov.au/ausstats/abs@.nsf/mf/6238.0</w:t>
        </w:r>
      </w:hyperlink>
      <w:r>
        <w:rPr>
          <w:rFonts w:cs="Arial"/>
          <w:sz w:val="18"/>
          <w:szCs w:val="18"/>
        </w:rPr>
        <w:t xml:space="preserve"> (viewed 25 May 2016).</w:t>
      </w:r>
    </w:p>
  </w:endnote>
  <w:endnote w:id="32">
    <w:p w:rsidR="00B85C21" w:rsidRPr="00B309A9" w:rsidRDefault="00B85C21" w:rsidP="00AB0151">
      <w:pPr>
        <w:pStyle w:val="EndnoteText"/>
        <w:rPr>
          <w:rFonts w:cs="Arial"/>
          <w:sz w:val="18"/>
          <w:szCs w:val="18"/>
        </w:rPr>
      </w:pPr>
      <w:r w:rsidRPr="0097419C">
        <w:rPr>
          <w:rStyle w:val="EndnoteReference"/>
          <w:rFonts w:cs="Arial"/>
          <w:sz w:val="18"/>
          <w:szCs w:val="18"/>
        </w:rPr>
        <w:endnoteRef/>
      </w:r>
      <w:r w:rsidR="000F1E06">
        <w:rPr>
          <w:rFonts w:cs="Arial"/>
          <w:sz w:val="18"/>
          <w:szCs w:val="18"/>
        </w:rPr>
        <w:t xml:space="preserve"> Schofield et al, ‘The personal and national cost of early retirement because of spinal disorders: impacts on income, taxes, and government support payments’ (2012) 12 </w:t>
      </w:r>
      <w:r w:rsidR="000F1E06">
        <w:rPr>
          <w:rFonts w:cs="Arial"/>
          <w:i/>
          <w:sz w:val="18"/>
          <w:szCs w:val="18"/>
        </w:rPr>
        <w:t xml:space="preserve">the Spine Journal </w:t>
      </w:r>
      <w:r w:rsidR="000F1E06">
        <w:rPr>
          <w:rFonts w:cs="Arial"/>
          <w:sz w:val="18"/>
          <w:szCs w:val="18"/>
        </w:rPr>
        <w:t xml:space="preserve">1111, 1115; Schofield et al, ‘The personal and national costs of lost labour force participation due to arthritis: an economic study’ (2013) 13 </w:t>
      </w:r>
      <w:r w:rsidR="000F1E06">
        <w:rPr>
          <w:rFonts w:cs="Arial"/>
          <w:i/>
          <w:sz w:val="18"/>
          <w:szCs w:val="18"/>
        </w:rPr>
        <w:t>BMC Public Health</w:t>
      </w:r>
      <w:r w:rsidR="000F1E06">
        <w:rPr>
          <w:rFonts w:cs="Arial"/>
          <w:sz w:val="18"/>
          <w:szCs w:val="18"/>
        </w:rPr>
        <w:t xml:space="preserve"> 188, 194; Schoefield et al, ‘The personal and national </w:t>
      </w:r>
      <w:r w:rsidR="00BE6C4E">
        <w:rPr>
          <w:rFonts w:cs="Arial"/>
          <w:sz w:val="18"/>
          <w:szCs w:val="18"/>
        </w:rPr>
        <w:t xml:space="preserve">cost of mental health conditions: impact on income, taxes, government support payments due to lost labour force participation’ (2011) 11 </w:t>
      </w:r>
      <w:r w:rsidR="00BE6C4E">
        <w:rPr>
          <w:rFonts w:cs="Arial"/>
          <w:i/>
          <w:sz w:val="18"/>
          <w:szCs w:val="18"/>
        </w:rPr>
        <w:t>BMC Psychiatry</w:t>
      </w:r>
      <w:r w:rsidR="00BE6C4E">
        <w:rPr>
          <w:rFonts w:cs="Arial"/>
          <w:sz w:val="18"/>
          <w:szCs w:val="18"/>
        </w:rPr>
        <w:t xml:space="preserve"> 72, 79; </w:t>
      </w:r>
      <w:r w:rsidR="00B309A9">
        <w:rPr>
          <w:rFonts w:cs="Arial"/>
          <w:sz w:val="18"/>
          <w:szCs w:val="18"/>
        </w:rPr>
        <w:t xml:space="preserve">Schofield et al, ‘The personal and national of CVD: Impacts on income, taxes, government support payments and GDP due to lost labour force participation(2013) 166 </w:t>
      </w:r>
      <w:r w:rsidR="00B309A9">
        <w:rPr>
          <w:rFonts w:cs="Arial"/>
          <w:i/>
          <w:sz w:val="18"/>
          <w:szCs w:val="18"/>
        </w:rPr>
        <w:t>International Journal of Cardiology</w:t>
      </w:r>
      <w:r w:rsidR="00B309A9">
        <w:rPr>
          <w:rFonts w:cs="Arial"/>
          <w:sz w:val="18"/>
          <w:szCs w:val="18"/>
        </w:rPr>
        <w:t xml:space="preserve"> 68, 69.</w:t>
      </w:r>
    </w:p>
  </w:endnote>
  <w:endnote w:id="33">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Rupendra N. Shrestha, Michelle Cunich, Robert Tanton, Lennert J Veerman, Richard Percival, Emily J. Callander, Simon J. Kelly, Megan E. Passey, ‘Productive Life Years lost due to chronic conditions in Australians aged 45-64 years from 2010 to 2030: projections from a microsimulation model’, (2015) 203 (6) </w:t>
      </w:r>
      <w:r w:rsidRPr="0097419C">
        <w:rPr>
          <w:rFonts w:cs="Arial"/>
          <w:i/>
          <w:sz w:val="18"/>
          <w:szCs w:val="18"/>
        </w:rPr>
        <w:t>MJA</w:t>
      </w:r>
      <w:r w:rsidRPr="0097419C">
        <w:rPr>
          <w:rFonts w:cs="Arial"/>
          <w:sz w:val="18"/>
          <w:szCs w:val="18"/>
        </w:rPr>
        <w:t xml:space="preserve"> 206, 209.</w:t>
      </w:r>
    </w:p>
  </w:endnote>
  <w:endnote w:id="34">
    <w:p w:rsidR="00B85C21" w:rsidRPr="0097419C" w:rsidRDefault="00B85C21" w:rsidP="00AB0151">
      <w:pPr>
        <w:pStyle w:val="EndnoteText"/>
        <w:rPr>
          <w:rFonts w:cs="Arial"/>
          <w:color w:val="FF0000"/>
          <w:sz w:val="18"/>
          <w:szCs w:val="18"/>
        </w:rPr>
      </w:pPr>
      <w:r w:rsidRPr="0097419C">
        <w:rPr>
          <w:rStyle w:val="EndnoteReference"/>
          <w:rFonts w:cs="Arial"/>
          <w:sz w:val="18"/>
          <w:szCs w:val="18"/>
        </w:rPr>
        <w:endnoteRef/>
      </w:r>
      <w:r w:rsidRPr="0097419C">
        <w:rPr>
          <w:rFonts w:cs="Arial"/>
          <w:sz w:val="18"/>
          <w:szCs w:val="18"/>
        </w:rPr>
        <w:t xml:space="preserve"> The Work Foundation, ‘the way forward: policy options for improving workforce health in the UK’ (2014) 13. </w:t>
      </w:r>
    </w:p>
  </w:endnote>
  <w:endnote w:id="35">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Institute of Health and Welfare, </w:t>
      </w:r>
      <w:r w:rsidRPr="0097419C">
        <w:rPr>
          <w:rFonts w:cs="Arial"/>
          <w:i/>
          <w:sz w:val="18"/>
          <w:szCs w:val="18"/>
        </w:rPr>
        <w:t>Chronic Disease and Participation in work</w:t>
      </w:r>
      <w:r w:rsidRPr="0097419C">
        <w:rPr>
          <w:rFonts w:cs="Arial"/>
          <w:sz w:val="18"/>
          <w:szCs w:val="18"/>
        </w:rPr>
        <w:t xml:space="preserve"> (2009) 17.</w:t>
      </w:r>
    </w:p>
  </w:endnote>
  <w:endnote w:id="36">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PricewaterhouseCoopers, ‘Workplace Wellness in Australia’ (2010), i. </w:t>
      </w:r>
    </w:p>
  </w:endnote>
  <w:endnote w:id="37">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The Work Foundation, ‘the way forward: policy options for improving workforce health in the UK’ (2014) 4.</w:t>
      </w:r>
    </w:p>
  </w:endnote>
  <w:endnote w:id="38">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AMP.NATSEM, </w:t>
      </w:r>
      <w:r w:rsidRPr="0097419C">
        <w:rPr>
          <w:rFonts w:cs="Arial"/>
          <w:i/>
          <w:sz w:val="18"/>
          <w:szCs w:val="18"/>
        </w:rPr>
        <w:t>Going the distance…Working longer, living healthier,</w:t>
      </w:r>
      <w:r w:rsidRPr="0097419C">
        <w:rPr>
          <w:rFonts w:cs="Arial"/>
          <w:sz w:val="18"/>
          <w:szCs w:val="18"/>
        </w:rPr>
        <w:t xml:space="preserve"> AMP.NATSEM Income and Wealth Report Issue No 37 (2015) 11.</w:t>
      </w:r>
    </w:p>
  </w:endnote>
  <w:endnote w:id="39">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Bureau of Statistic, </w:t>
      </w:r>
      <w:r>
        <w:rPr>
          <w:rFonts w:cs="Arial"/>
          <w:sz w:val="18"/>
          <w:szCs w:val="18"/>
        </w:rPr>
        <w:t xml:space="preserve">2015, </w:t>
      </w:r>
      <w:r w:rsidRPr="003E21DC">
        <w:rPr>
          <w:rFonts w:cs="Arial"/>
          <w:i/>
          <w:sz w:val="18"/>
          <w:szCs w:val="18"/>
        </w:rPr>
        <w:t>Retirement and Retirement Intentions</w:t>
      </w:r>
      <w:r w:rsidRPr="0097419C">
        <w:rPr>
          <w:rFonts w:cs="Arial"/>
          <w:sz w:val="18"/>
          <w:szCs w:val="18"/>
        </w:rPr>
        <w:t xml:space="preserve"> </w:t>
      </w:r>
      <w:r>
        <w:rPr>
          <w:rFonts w:cs="Arial"/>
          <w:sz w:val="18"/>
          <w:szCs w:val="18"/>
        </w:rPr>
        <w:t>—</w:t>
      </w:r>
      <w:r w:rsidRPr="0097419C">
        <w:rPr>
          <w:rFonts w:cs="Arial"/>
          <w:sz w:val="18"/>
          <w:szCs w:val="18"/>
        </w:rPr>
        <w:t xml:space="preserve"> </w:t>
      </w:r>
      <w:r w:rsidRPr="003E21DC">
        <w:rPr>
          <w:rFonts w:cs="Arial"/>
          <w:i/>
          <w:sz w:val="18"/>
          <w:szCs w:val="18"/>
        </w:rPr>
        <w:t>July 2014 to June 2015</w:t>
      </w:r>
      <w:r>
        <w:rPr>
          <w:rFonts w:cs="Arial"/>
          <w:sz w:val="18"/>
          <w:szCs w:val="18"/>
        </w:rPr>
        <w:t xml:space="preserve">, cat. no. 6238.0. At </w:t>
      </w:r>
      <w:hyperlink r:id="rId3" w:history="1">
        <w:r w:rsidRPr="006F72B2">
          <w:rPr>
            <w:rStyle w:val="Hyperlink"/>
            <w:rFonts w:cs="Arial"/>
            <w:sz w:val="18"/>
            <w:szCs w:val="18"/>
          </w:rPr>
          <w:t>http://www.abs.gov.au/ausstats/abs@.nsf/mf/6238.0</w:t>
        </w:r>
      </w:hyperlink>
      <w:r>
        <w:rPr>
          <w:rFonts w:cs="Arial"/>
          <w:sz w:val="18"/>
          <w:szCs w:val="18"/>
        </w:rPr>
        <w:t xml:space="preserve"> (viewed 25 May 2016). </w:t>
      </w:r>
    </w:p>
  </w:endnote>
  <w:endnote w:id="40">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Bureau of Statistic, </w:t>
      </w:r>
      <w:r>
        <w:rPr>
          <w:rFonts w:cs="Arial"/>
          <w:sz w:val="18"/>
          <w:szCs w:val="18"/>
        </w:rPr>
        <w:t xml:space="preserve">2015, </w:t>
      </w:r>
      <w:r w:rsidRPr="003E21DC">
        <w:rPr>
          <w:rFonts w:cs="Arial"/>
          <w:i/>
          <w:sz w:val="18"/>
          <w:szCs w:val="18"/>
        </w:rPr>
        <w:t>Retirement and Retirement Intentions</w:t>
      </w:r>
      <w:r w:rsidRPr="0097419C">
        <w:rPr>
          <w:rFonts w:cs="Arial"/>
          <w:sz w:val="18"/>
          <w:szCs w:val="18"/>
        </w:rPr>
        <w:t xml:space="preserve"> </w:t>
      </w:r>
      <w:r>
        <w:rPr>
          <w:rFonts w:cs="Arial"/>
          <w:sz w:val="18"/>
          <w:szCs w:val="18"/>
        </w:rPr>
        <w:t>—</w:t>
      </w:r>
      <w:r w:rsidRPr="0097419C">
        <w:rPr>
          <w:rFonts w:cs="Arial"/>
          <w:sz w:val="18"/>
          <w:szCs w:val="18"/>
        </w:rPr>
        <w:t xml:space="preserve"> </w:t>
      </w:r>
      <w:r w:rsidRPr="003E21DC">
        <w:rPr>
          <w:rFonts w:cs="Arial"/>
          <w:i/>
          <w:sz w:val="18"/>
          <w:szCs w:val="18"/>
        </w:rPr>
        <w:t>July 2014 to June 2015</w:t>
      </w:r>
      <w:r>
        <w:rPr>
          <w:rFonts w:cs="Arial"/>
          <w:sz w:val="18"/>
          <w:szCs w:val="18"/>
        </w:rPr>
        <w:t xml:space="preserve">, cat. no. 6238.0. At </w:t>
      </w:r>
      <w:hyperlink r:id="rId4" w:history="1">
        <w:r w:rsidRPr="006F72B2">
          <w:rPr>
            <w:rStyle w:val="Hyperlink"/>
            <w:rFonts w:cs="Arial"/>
            <w:sz w:val="18"/>
            <w:szCs w:val="18"/>
          </w:rPr>
          <w:t>http://www.abs.gov.au/ausstats/abs@.nsf/mf/6238.0</w:t>
        </w:r>
      </w:hyperlink>
      <w:r>
        <w:rPr>
          <w:rFonts w:cs="Arial"/>
          <w:sz w:val="18"/>
          <w:szCs w:val="18"/>
        </w:rPr>
        <w:t xml:space="preserve"> (viewed 25 May 2016).</w:t>
      </w:r>
    </w:p>
  </w:endnote>
  <w:endnote w:id="41">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Bureau of Statistic, </w:t>
      </w:r>
      <w:r>
        <w:rPr>
          <w:rFonts w:cs="Arial"/>
          <w:sz w:val="18"/>
          <w:szCs w:val="18"/>
        </w:rPr>
        <w:t xml:space="preserve">2015, </w:t>
      </w:r>
      <w:r w:rsidRPr="003E21DC">
        <w:rPr>
          <w:rFonts w:cs="Arial"/>
          <w:i/>
          <w:sz w:val="18"/>
          <w:szCs w:val="18"/>
        </w:rPr>
        <w:t>Retirement and Retirement Intentions</w:t>
      </w:r>
      <w:r w:rsidRPr="0097419C">
        <w:rPr>
          <w:rFonts w:cs="Arial"/>
          <w:sz w:val="18"/>
          <w:szCs w:val="18"/>
        </w:rPr>
        <w:t xml:space="preserve"> </w:t>
      </w:r>
      <w:r>
        <w:rPr>
          <w:rFonts w:cs="Arial"/>
          <w:sz w:val="18"/>
          <w:szCs w:val="18"/>
        </w:rPr>
        <w:t>—</w:t>
      </w:r>
      <w:r w:rsidRPr="0097419C">
        <w:rPr>
          <w:rFonts w:cs="Arial"/>
          <w:sz w:val="18"/>
          <w:szCs w:val="18"/>
        </w:rPr>
        <w:t xml:space="preserve"> </w:t>
      </w:r>
      <w:r w:rsidRPr="003E21DC">
        <w:rPr>
          <w:rFonts w:cs="Arial"/>
          <w:i/>
          <w:sz w:val="18"/>
          <w:szCs w:val="18"/>
        </w:rPr>
        <w:t>July 2014 to June 2015</w:t>
      </w:r>
      <w:r>
        <w:rPr>
          <w:rFonts w:cs="Arial"/>
          <w:sz w:val="18"/>
          <w:szCs w:val="18"/>
        </w:rPr>
        <w:t xml:space="preserve">, cat. no. 6238.0. At </w:t>
      </w:r>
      <w:hyperlink r:id="rId5" w:history="1">
        <w:r w:rsidRPr="006F72B2">
          <w:rPr>
            <w:rStyle w:val="Hyperlink"/>
            <w:rFonts w:cs="Arial"/>
            <w:sz w:val="18"/>
            <w:szCs w:val="18"/>
          </w:rPr>
          <w:t>http://www.abs.gov.au/ausstats/abs@.nsf/mf/6238.0</w:t>
        </w:r>
      </w:hyperlink>
      <w:r>
        <w:rPr>
          <w:rFonts w:cs="Arial"/>
          <w:sz w:val="18"/>
          <w:szCs w:val="18"/>
        </w:rPr>
        <w:t xml:space="preserve"> (viewed 25 May 2016).</w:t>
      </w:r>
    </w:p>
  </w:endnote>
  <w:endnote w:id="42">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Australian Bureau of Statistic, </w:t>
      </w:r>
      <w:r>
        <w:rPr>
          <w:rFonts w:cs="Arial"/>
          <w:sz w:val="18"/>
          <w:szCs w:val="18"/>
        </w:rPr>
        <w:t xml:space="preserve">2015, </w:t>
      </w:r>
      <w:r w:rsidRPr="003E21DC">
        <w:rPr>
          <w:rFonts w:cs="Arial"/>
          <w:i/>
          <w:sz w:val="18"/>
          <w:szCs w:val="18"/>
        </w:rPr>
        <w:t>Retirement and Retirement Intentions</w:t>
      </w:r>
      <w:r w:rsidRPr="0097419C">
        <w:rPr>
          <w:rFonts w:cs="Arial"/>
          <w:sz w:val="18"/>
          <w:szCs w:val="18"/>
        </w:rPr>
        <w:t xml:space="preserve"> </w:t>
      </w:r>
      <w:r>
        <w:rPr>
          <w:rFonts w:cs="Arial"/>
          <w:sz w:val="18"/>
          <w:szCs w:val="18"/>
        </w:rPr>
        <w:t>—</w:t>
      </w:r>
      <w:r w:rsidRPr="0097419C">
        <w:rPr>
          <w:rFonts w:cs="Arial"/>
          <w:sz w:val="18"/>
          <w:szCs w:val="18"/>
        </w:rPr>
        <w:t xml:space="preserve"> </w:t>
      </w:r>
      <w:r w:rsidRPr="003E21DC">
        <w:rPr>
          <w:rFonts w:cs="Arial"/>
          <w:i/>
          <w:sz w:val="18"/>
          <w:szCs w:val="18"/>
        </w:rPr>
        <w:t>July 2014 to June 2015</w:t>
      </w:r>
      <w:r>
        <w:rPr>
          <w:rFonts w:cs="Arial"/>
          <w:sz w:val="18"/>
          <w:szCs w:val="18"/>
        </w:rPr>
        <w:t xml:space="preserve">, cat. no. 6238.0. At </w:t>
      </w:r>
      <w:hyperlink r:id="rId6" w:history="1">
        <w:r w:rsidRPr="006F72B2">
          <w:rPr>
            <w:rStyle w:val="Hyperlink"/>
            <w:rFonts w:cs="Arial"/>
            <w:sz w:val="18"/>
            <w:szCs w:val="18"/>
          </w:rPr>
          <w:t>http://www.abs.gov.au/ausstats/abs@.nsf/mf/6238.0</w:t>
        </w:r>
      </w:hyperlink>
      <w:r>
        <w:rPr>
          <w:rFonts w:cs="Arial"/>
          <w:sz w:val="18"/>
          <w:szCs w:val="18"/>
        </w:rPr>
        <w:t xml:space="preserve"> (viewed 25 May 2016).</w:t>
      </w:r>
    </w:p>
  </w:endnote>
  <w:endnote w:id="43">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AMP, ‘Poor Health will prevent one in four Australians from saving enough money for retirement: AMP.NATSEM Report’ (Media Release, 10 June 2015) 1. At </w:t>
      </w:r>
      <w:hyperlink r:id="rId7" w:history="1">
        <w:r w:rsidRPr="0097419C">
          <w:rPr>
            <w:rStyle w:val="Hyperlink"/>
            <w:rFonts w:cs="Arial"/>
            <w:sz w:val="18"/>
            <w:szCs w:val="18"/>
          </w:rPr>
          <w:t>http://media.amp.com.au/phoenix.zhtml?c=219073&amp;p=irol-newsArticle&amp;ID=2076394</w:t>
        </w:r>
      </w:hyperlink>
      <w:r w:rsidRPr="0097419C">
        <w:rPr>
          <w:rFonts w:cs="Arial"/>
          <w:sz w:val="18"/>
          <w:szCs w:val="18"/>
        </w:rPr>
        <w:t xml:space="preserve"> (viewed 23 September 2015).</w:t>
      </w:r>
    </w:p>
  </w:endnote>
  <w:endnote w:id="44">
    <w:p w:rsidR="00B85C21" w:rsidRPr="0097419C" w:rsidRDefault="00B85C21" w:rsidP="00AB0151">
      <w:pPr>
        <w:pStyle w:val="EndnoteText"/>
        <w:rPr>
          <w:rFonts w:cs="Arial"/>
          <w:sz w:val="18"/>
          <w:szCs w:val="18"/>
        </w:rPr>
      </w:pPr>
      <w:r w:rsidRPr="0097419C">
        <w:rPr>
          <w:rStyle w:val="EndnoteReference"/>
          <w:rFonts w:cs="Arial"/>
          <w:sz w:val="18"/>
          <w:szCs w:val="18"/>
        </w:rPr>
        <w:endnoteRef/>
      </w:r>
      <w:r>
        <w:rPr>
          <w:rFonts w:cs="Arial"/>
          <w:sz w:val="18"/>
          <w:szCs w:val="18"/>
        </w:rPr>
        <w:t xml:space="preserve"> AIST, Submission</w:t>
      </w:r>
      <w:r w:rsidRPr="0097419C">
        <w:rPr>
          <w:rFonts w:cs="Arial"/>
          <w:sz w:val="18"/>
          <w:szCs w:val="18"/>
        </w:rPr>
        <w:t xml:space="preserve"> 329 to Australian Human Rights Commission, </w:t>
      </w:r>
      <w:r w:rsidRPr="0097419C">
        <w:rPr>
          <w:rFonts w:cs="Arial"/>
          <w:i/>
          <w:sz w:val="18"/>
          <w:szCs w:val="18"/>
        </w:rPr>
        <w:t>Willing to Work: National Inquiry into employment discrimination against older Australians and Australians with disability</w:t>
      </w:r>
      <w:r w:rsidRPr="0097419C">
        <w:rPr>
          <w:rFonts w:cs="Arial"/>
          <w:sz w:val="18"/>
          <w:szCs w:val="18"/>
        </w:rPr>
        <w:t>, Annexure C, 23.</w:t>
      </w:r>
    </w:p>
  </w:endnote>
  <w:endnote w:id="45">
    <w:p w:rsidR="00B85C21" w:rsidRPr="006E62C0"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S</w:t>
      </w:r>
      <w:r>
        <w:rPr>
          <w:rFonts w:cs="Arial"/>
          <w:sz w:val="18"/>
          <w:szCs w:val="18"/>
        </w:rPr>
        <w:t xml:space="preserve">chofield et al, ‘Quantifying the effect of early retirement on the wealth of individuals with depression or other mental illness’ (2011) 198 </w:t>
      </w:r>
      <w:r>
        <w:rPr>
          <w:rFonts w:cs="Arial"/>
          <w:i/>
          <w:sz w:val="18"/>
          <w:szCs w:val="18"/>
        </w:rPr>
        <w:t>British Journal of Psychology</w:t>
      </w:r>
      <w:r>
        <w:rPr>
          <w:rFonts w:cs="Arial"/>
          <w:sz w:val="18"/>
          <w:szCs w:val="18"/>
        </w:rPr>
        <w:t xml:space="preserve">, 123, 124; Schofield et al, ‘Early retirement and the financial assets of individuals with back problems’ (2011) 20 </w:t>
      </w:r>
      <w:r>
        <w:rPr>
          <w:rFonts w:cs="Arial"/>
          <w:i/>
          <w:sz w:val="18"/>
          <w:szCs w:val="18"/>
        </w:rPr>
        <w:t>Eur. Spine Journal</w:t>
      </w:r>
      <w:r>
        <w:rPr>
          <w:rFonts w:cs="Arial"/>
          <w:sz w:val="18"/>
          <w:szCs w:val="18"/>
        </w:rPr>
        <w:t>, 731, 734; Schofield et al, ‘Retiring early with cardiovascular di</w:t>
      </w:r>
      <w:r w:rsidR="006E62C0">
        <w:rPr>
          <w:rFonts w:cs="Arial"/>
          <w:sz w:val="18"/>
          <w:szCs w:val="18"/>
        </w:rPr>
        <w:t xml:space="preserve">sease — impact on individual’s financial assets’ (2010); Schofield et al ‘Labour force participation and the influence of having arthritis on financial status’ (2015) 35 </w:t>
      </w:r>
      <w:r w:rsidR="006E62C0">
        <w:rPr>
          <w:rFonts w:cs="Arial"/>
          <w:i/>
          <w:sz w:val="18"/>
          <w:szCs w:val="18"/>
        </w:rPr>
        <w:t>Rheumatology International</w:t>
      </w:r>
      <w:r w:rsidR="006E62C0">
        <w:rPr>
          <w:rFonts w:cs="Arial"/>
          <w:sz w:val="18"/>
          <w:szCs w:val="18"/>
        </w:rPr>
        <w:t>, 1175, 1178.</w:t>
      </w:r>
    </w:p>
  </w:endnote>
  <w:endnote w:id="46">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Emily J. Callander, Rupendra N. Shrestha, Megan E. Passey, Richard</w:t>
      </w:r>
    </w:p>
    <w:p w:rsidR="00B85C21" w:rsidRPr="0097419C" w:rsidRDefault="00B85C21" w:rsidP="00AB0151">
      <w:pPr>
        <w:pStyle w:val="EndnoteText"/>
        <w:rPr>
          <w:rFonts w:cs="Arial"/>
          <w:sz w:val="18"/>
          <w:szCs w:val="18"/>
        </w:rPr>
      </w:pPr>
      <w:r w:rsidRPr="0097419C">
        <w:rPr>
          <w:rFonts w:cs="Arial"/>
          <w:sz w:val="18"/>
          <w:szCs w:val="18"/>
        </w:rPr>
        <w:t xml:space="preserve">Percival, Simon J. Kelly, ‘Multiple Chronic Health Conditions and Their Link with Labour Force Participation and Economic Status’ (2013) 8 and 11 </w:t>
      </w:r>
      <w:r w:rsidRPr="0097419C">
        <w:rPr>
          <w:rFonts w:cs="Arial"/>
          <w:i/>
          <w:sz w:val="18"/>
          <w:szCs w:val="18"/>
        </w:rPr>
        <w:t>PLoS ONE</w:t>
      </w:r>
      <w:r w:rsidRPr="0097419C">
        <w:rPr>
          <w:rFonts w:cs="Arial"/>
          <w:sz w:val="18"/>
          <w:szCs w:val="18"/>
        </w:rPr>
        <w:t xml:space="preserve"> 1, 5.</w:t>
      </w:r>
    </w:p>
  </w:endnote>
  <w:endnote w:id="47">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Deborah J. Schofield, Emily J. Callander, Rupendra N. Shrestha, Megan E. Passey, Richard</w:t>
      </w:r>
    </w:p>
    <w:p w:rsidR="00B85C21" w:rsidRPr="0097419C" w:rsidRDefault="00B85C21" w:rsidP="00AB0151">
      <w:pPr>
        <w:pStyle w:val="EndnoteText"/>
        <w:rPr>
          <w:rFonts w:cs="Arial"/>
          <w:sz w:val="18"/>
          <w:szCs w:val="18"/>
        </w:rPr>
      </w:pPr>
      <w:r w:rsidRPr="0097419C">
        <w:rPr>
          <w:rFonts w:cs="Arial"/>
          <w:sz w:val="18"/>
          <w:szCs w:val="18"/>
        </w:rPr>
        <w:t xml:space="preserve">Percival, Simon J. Kelly, ‘Multiple Chronic Health Conditions and the link with wealth assets’, (2014) </w:t>
      </w:r>
      <w:r w:rsidRPr="0097419C">
        <w:rPr>
          <w:rFonts w:cs="Arial"/>
          <w:i/>
          <w:sz w:val="18"/>
          <w:szCs w:val="18"/>
        </w:rPr>
        <w:t>European Journal of Public Health</w:t>
      </w:r>
      <w:r w:rsidRPr="0097419C">
        <w:rPr>
          <w:rFonts w:cs="Arial"/>
          <w:sz w:val="18"/>
          <w:szCs w:val="18"/>
        </w:rPr>
        <w:t xml:space="preserve"> 1, 3.</w:t>
      </w:r>
    </w:p>
  </w:endnote>
  <w:endnote w:id="48">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Associate Professor Pam McGrath, Submission No 124 to Australian Human Rights Commission, </w:t>
      </w:r>
      <w:r w:rsidRPr="0097419C">
        <w:rPr>
          <w:rFonts w:cs="Arial"/>
          <w:i/>
          <w:sz w:val="18"/>
          <w:szCs w:val="18"/>
        </w:rPr>
        <w:t>Willing to Work: National Inquiry into employment discrimination against older Australians and Australians with disability</w:t>
      </w:r>
      <w:r w:rsidRPr="0097419C">
        <w:rPr>
          <w:rFonts w:cs="Arial"/>
          <w:sz w:val="18"/>
          <w:szCs w:val="18"/>
        </w:rPr>
        <w:t xml:space="preserve">, 2. </w:t>
      </w:r>
    </w:p>
  </w:endnote>
  <w:endnote w:id="49">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OECD, </w:t>
      </w:r>
      <w:r w:rsidRPr="0097419C">
        <w:rPr>
          <w:rFonts w:cs="Arial"/>
          <w:i/>
          <w:sz w:val="18"/>
          <w:szCs w:val="18"/>
        </w:rPr>
        <w:t>Ageing and Employment Policies:</w:t>
      </w:r>
      <w:r w:rsidRPr="0097419C">
        <w:rPr>
          <w:rFonts w:cs="Arial"/>
          <w:sz w:val="18"/>
          <w:szCs w:val="18"/>
        </w:rPr>
        <w:t xml:space="preserve"> </w:t>
      </w:r>
      <w:r w:rsidRPr="0097419C">
        <w:rPr>
          <w:rFonts w:cs="Arial"/>
          <w:i/>
          <w:sz w:val="18"/>
          <w:szCs w:val="18"/>
        </w:rPr>
        <w:t>Live Longer, Work Longer</w:t>
      </w:r>
      <w:r w:rsidRPr="0097419C">
        <w:rPr>
          <w:rFonts w:cs="Arial"/>
          <w:sz w:val="18"/>
          <w:szCs w:val="18"/>
        </w:rPr>
        <w:t xml:space="preserve"> (OECD Publishing, 2006), 131.</w:t>
      </w:r>
    </w:p>
  </w:endnote>
  <w:endnote w:id="50">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OECD, </w:t>
      </w:r>
      <w:r w:rsidRPr="0097419C">
        <w:rPr>
          <w:rFonts w:cs="Arial"/>
          <w:i/>
          <w:sz w:val="18"/>
          <w:szCs w:val="18"/>
        </w:rPr>
        <w:t>Ageing and Employment Policies: France 2014</w:t>
      </w:r>
      <w:r w:rsidRPr="0097419C">
        <w:rPr>
          <w:rFonts w:cs="Arial"/>
          <w:sz w:val="18"/>
          <w:szCs w:val="18"/>
        </w:rPr>
        <w:t xml:space="preserve"> (OECD Publishing, 2014), 169. </w:t>
      </w:r>
    </w:p>
  </w:endnote>
  <w:endnote w:id="51">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See for example: Department of Health, </w:t>
      </w:r>
      <w:r w:rsidRPr="0097419C">
        <w:rPr>
          <w:rFonts w:cs="Arial"/>
          <w:i/>
          <w:sz w:val="18"/>
          <w:szCs w:val="18"/>
        </w:rPr>
        <w:t>A Healthy and Active Australia</w:t>
      </w:r>
      <w:r w:rsidRPr="0097419C">
        <w:rPr>
          <w:rFonts w:cs="Arial"/>
          <w:sz w:val="18"/>
          <w:szCs w:val="18"/>
        </w:rPr>
        <w:t xml:space="preserve">. At </w:t>
      </w:r>
      <w:hyperlink r:id="rId8" w:history="1">
        <w:r w:rsidRPr="0097419C">
          <w:rPr>
            <w:rStyle w:val="Hyperlink"/>
            <w:rFonts w:cs="Arial"/>
            <w:sz w:val="18"/>
            <w:szCs w:val="18"/>
          </w:rPr>
          <w:t>www.healthyactive.gov.au/</w:t>
        </w:r>
      </w:hyperlink>
      <w:r w:rsidRPr="0097419C">
        <w:rPr>
          <w:rFonts w:cs="Arial"/>
          <w:sz w:val="18"/>
          <w:szCs w:val="18"/>
        </w:rPr>
        <w:t xml:space="preserve"> (viewed 1 February 2016).</w:t>
      </w:r>
    </w:p>
  </w:endnote>
  <w:endnote w:id="52">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w:t>
      </w:r>
      <w:r w:rsidRPr="0097419C">
        <w:rPr>
          <w:rFonts w:cs="Arial"/>
          <w:sz w:val="18"/>
          <w:szCs w:val="18"/>
          <w:shd w:val="clear" w:color="auto" w:fill="FFFFFF"/>
        </w:rPr>
        <w:t xml:space="preserve">Australian Institute of Health and Welfare, </w:t>
      </w:r>
      <w:r w:rsidRPr="0097419C">
        <w:rPr>
          <w:rStyle w:val="Emphasis"/>
          <w:rFonts w:cs="Arial"/>
          <w:sz w:val="18"/>
          <w:szCs w:val="18"/>
          <w:bdr w:val="none" w:sz="0" w:space="0" w:color="auto" w:frame="1"/>
          <w:shd w:val="clear" w:color="auto" w:fill="FFFFFF"/>
        </w:rPr>
        <w:t>Risk factors contributing to chronic disease </w:t>
      </w:r>
      <w:r w:rsidRPr="0097419C">
        <w:rPr>
          <w:rStyle w:val="Emphasis"/>
          <w:rFonts w:cs="Arial"/>
          <w:i w:val="0"/>
          <w:sz w:val="18"/>
          <w:szCs w:val="18"/>
          <w:bdr w:val="none" w:sz="0" w:space="0" w:color="auto" w:frame="1"/>
          <w:shd w:val="clear" w:color="auto" w:fill="FFFFFF"/>
        </w:rPr>
        <w:t>(2</w:t>
      </w:r>
      <w:r w:rsidRPr="0097419C">
        <w:rPr>
          <w:rFonts w:cs="Arial"/>
          <w:sz w:val="18"/>
          <w:szCs w:val="18"/>
          <w:shd w:val="clear" w:color="auto" w:fill="FFFFFF"/>
        </w:rPr>
        <w:t>012), 28.</w:t>
      </w:r>
    </w:p>
  </w:endnote>
  <w:endnote w:id="53">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Comcare, </w:t>
      </w:r>
      <w:r w:rsidRPr="0097419C">
        <w:rPr>
          <w:rFonts w:cs="Arial"/>
          <w:i/>
          <w:sz w:val="18"/>
          <w:szCs w:val="18"/>
        </w:rPr>
        <w:t xml:space="preserve">Investing in Experience: Working for Today and Tomorrow—Investing in Experience. </w:t>
      </w:r>
      <w:r w:rsidRPr="0097419C">
        <w:rPr>
          <w:rFonts w:cs="Arial"/>
          <w:sz w:val="18"/>
          <w:szCs w:val="18"/>
        </w:rPr>
        <w:t xml:space="preserve">At </w:t>
      </w:r>
      <w:hyperlink r:id="rId9" w:history="1">
        <w:r w:rsidRPr="0097419C">
          <w:rPr>
            <w:rStyle w:val="Hyperlink"/>
            <w:rFonts w:cs="Arial"/>
            <w:sz w:val="18"/>
            <w:szCs w:val="18"/>
          </w:rPr>
          <w:t>www.comcare.gov.au/promoting/investing_in_experience/a/investing_in_experience</w:t>
        </w:r>
      </w:hyperlink>
      <w:r w:rsidRPr="0097419C">
        <w:rPr>
          <w:rFonts w:cs="Arial"/>
          <w:sz w:val="18"/>
          <w:szCs w:val="18"/>
        </w:rPr>
        <w:t xml:space="preserve"> (viewed 1 February 2016).</w:t>
      </w:r>
    </w:p>
  </w:endnote>
  <w:endnote w:id="54">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Parliament of Australia, </w:t>
      </w:r>
      <w:r w:rsidRPr="0097419C">
        <w:rPr>
          <w:rFonts w:cs="Arial"/>
          <w:i/>
          <w:sz w:val="18"/>
          <w:szCs w:val="18"/>
        </w:rPr>
        <w:t xml:space="preserve">Healthy Funding Agreements—Budget Review 2014-15. </w:t>
      </w:r>
      <w:r w:rsidRPr="0097419C">
        <w:rPr>
          <w:rFonts w:cs="Arial"/>
          <w:sz w:val="18"/>
          <w:szCs w:val="18"/>
        </w:rPr>
        <w:t xml:space="preserve">At </w:t>
      </w:r>
      <w:hyperlink r:id="rId10" w:history="1">
        <w:r w:rsidRPr="0097419C">
          <w:rPr>
            <w:rStyle w:val="Hyperlink"/>
            <w:rFonts w:cs="Arial"/>
            <w:sz w:val="18"/>
            <w:szCs w:val="18"/>
          </w:rPr>
          <w:t>www.aph.gov.au/about_parliament/parliamentary_departments/parliamentary_library/pubs/rp/budgetreview201415/healthfunding</w:t>
        </w:r>
      </w:hyperlink>
      <w:r w:rsidRPr="0097419C">
        <w:rPr>
          <w:rFonts w:cs="Arial"/>
          <w:sz w:val="18"/>
          <w:szCs w:val="18"/>
        </w:rPr>
        <w:t xml:space="preserve"> (1 February 2016). </w:t>
      </w:r>
    </w:p>
  </w:endnote>
  <w:endnote w:id="55">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Department of Health, </w:t>
      </w:r>
      <w:r w:rsidRPr="0097419C">
        <w:rPr>
          <w:rFonts w:cs="Arial"/>
          <w:i/>
          <w:sz w:val="18"/>
          <w:szCs w:val="18"/>
        </w:rPr>
        <w:t>Health Workers—How Healthy is your Industry?</w:t>
      </w:r>
      <w:r w:rsidRPr="0097419C">
        <w:rPr>
          <w:rFonts w:cs="Arial"/>
          <w:sz w:val="18"/>
          <w:szCs w:val="18"/>
        </w:rPr>
        <w:t xml:space="preserve"> At</w:t>
      </w:r>
      <w:r w:rsidRPr="0097419C">
        <w:rPr>
          <w:rFonts w:cs="Arial"/>
          <w:i/>
          <w:sz w:val="18"/>
          <w:szCs w:val="18"/>
        </w:rPr>
        <w:t xml:space="preserve"> </w:t>
      </w:r>
      <w:r w:rsidRPr="0097419C">
        <w:rPr>
          <w:rFonts w:cs="Arial"/>
          <w:sz w:val="18"/>
          <w:szCs w:val="18"/>
        </w:rPr>
        <w:t xml:space="preserve">www.healthyworkers.gov.au/internet/hwi/publishing.nsf/Content/industry (1 February 2016). </w:t>
      </w:r>
    </w:p>
  </w:endnote>
  <w:endnote w:id="56">
    <w:p w:rsidR="00B85C21" w:rsidRPr="0097419C" w:rsidRDefault="00B85C21" w:rsidP="00AB0151">
      <w:pPr>
        <w:pStyle w:val="EndnoteText"/>
        <w:rPr>
          <w:rFonts w:cs="Arial"/>
          <w:sz w:val="18"/>
          <w:szCs w:val="18"/>
        </w:rPr>
      </w:pPr>
      <w:r w:rsidRPr="0097419C">
        <w:rPr>
          <w:rStyle w:val="EndnoteReference"/>
          <w:rFonts w:cs="Arial"/>
          <w:sz w:val="18"/>
          <w:szCs w:val="18"/>
        </w:rPr>
        <w:endnoteRef/>
      </w:r>
      <w:r w:rsidRPr="0097419C">
        <w:rPr>
          <w:rFonts w:cs="Arial"/>
          <w:sz w:val="18"/>
          <w:szCs w:val="18"/>
        </w:rPr>
        <w:t xml:space="preserve"> Department of Social Services, Employment Assistance Fund, Guidelines, Version 3.1, 3. At </w:t>
      </w:r>
      <w:hyperlink r:id="rId11" w:history="1">
        <w:r w:rsidRPr="0097419C">
          <w:rPr>
            <w:rStyle w:val="Hyperlink"/>
            <w:rFonts w:cs="Arial"/>
            <w:sz w:val="18"/>
            <w:szCs w:val="18"/>
          </w:rPr>
          <w:t>http://www.jobaccess.gov.au/publication/employment-assistance-guidelines</w:t>
        </w:r>
      </w:hyperlink>
      <w:r w:rsidRPr="0097419C">
        <w:rPr>
          <w:rFonts w:cs="Arial"/>
          <w:sz w:val="18"/>
          <w:szCs w:val="18"/>
        </w:rPr>
        <w:t xml:space="preserve"> (viewed 8 April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Pr="0090165F" w:rsidRDefault="00B85C21"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Pr="004A187B" w:rsidRDefault="00B85C21"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B85C21" w:rsidRPr="0003606D" w:rsidRDefault="00B85C21" w:rsidP="0003606D">
                          <w:pPr>
                            <w:pStyle w:val="coveraddresses"/>
                          </w:pPr>
                          <w:r w:rsidRPr="0003606D">
                            <w:t>ABN 47 996 232 602</w:t>
                          </w:r>
                        </w:p>
                        <w:p w:rsidR="00B85C21" w:rsidRPr="0003606D" w:rsidRDefault="00B85C21" w:rsidP="0003606D">
                          <w:pPr>
                            <w:pStyle w:val="coveraddresses"/>
                          </w:pPr>
                          <w:r w:rsidRPr="0003606D">
                            <w:t>Level 3, 175 Pitt Street, Sydney NSW 2000</w:t>
                          </w:r>
                        </w:p>
                        <w:p w:rsidR="00B85C21" w:rsidRPr="0003606D" w:rsidRDefault="00B85C21" w:rsidP="0003606D">
                          <w:pPr>
                            <w:pStyle w:val="coveraddresses"/>
                          </w:pPr>
                          <w:r w:rsidRPr="0003606D">
                            <w:t>GPO Box 5218, Sydney NSW 2001</w:t>
                          </w:r>
                        </w:p>
                        <w:p w:rsidR="00B85C21" w:rsidRPr="0003606D" w:rsidRDefault="00B85C21" w:rsidP="0003606D">
                          <w:pPr>
                            <w:pStyle w:val="coveraddresses"/>
                          </w:pPr>
                          <w:r w:rsidRPr="0003606D">
                            <w:t>General enquiries 1300 369 711</w:t>
                          </w:r>
                        </w:p>
                        <w:p w:rsidR="00B85C21" w:rsidRPr="0003606D" w:rsidRDefault="00B85C21" w:rsidP="0003606D">
                          <w:pPr>
                            <w:pStyle w:val="coveraddresses"/>
                          </w:pPr>
                          <w:r w:rsidRPr="0003606D">
                            <w:t>Complaints info line 1300 656 419</w:t>
                          </w:r>
                        </w:p>
                        <w:p w:rsidR="00B85C21" w:rsidRPr="0003606D" w:rsidRDefault="00B85C21" w:rsidP="0003606D">
                          <w:pPr>
                            <w:pStyle w:val="coveraddresses"/>
                          </w:pPr>
                          <w:r w:rsidRPr="0003606D">
                            <w:t>TTY 1800 620 241</w:t>
                          </w:r>
                        </w:p>
                        <w:p w:rsidR="00B85C21" w:rsidRPr="00B63D24" w:rsidRDefault="00B85C21"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85C21" w:rsidRPr="0003606D" w:rsidRDefault="00B85C21" w:rsidP="0003606D">
                    <w:pPr>
                      <w:pStyle w:val="coveraddresses"/>
                    </w:pPr>
                    <w:r w:rsidRPr="0003606D">
                      <w:t>ABN 47 996 232 602</w:t>
                    </w:r>
                  </w:p>
                  <w:p w:rsidR="00B85C21" w:rsidRPr="0003606D" w:rsidRDefault="00B85C21" w:rsidP="0003606D">
                    <w:pPr>
                      <w:pStyle w:val="coveraddresses"/>
                    </w:pPr>
                    <w:r w:rsidRPr="0003606D">
                      <w:t>Level 3, 175 Pitt Street, Sydney NSW 2000</w:t>
                    </w:r>
                  </w:p>
                  <w:p w:rsidR="00B85C21" w:rsidRPr="0003606D" w:rsidRDefault="00B85C21" w:rsidP="0003606D">
                    <w:pPr>
                      <w:pStyle w:val="coveraddresses"/>
                    </w:pPr>
                    <w:r w:rsidRPr="0003606D">
                      <w:t>GPO Box 5218, Sydney NSW 2001</w:t>
                    </w:r>
                  </w:p>
                  <w:p w:rsidR="00B85C21" w:rsidRPr="0003606D" w:rsidRDefault="00B85C21" w:rsidP="0003606D">
                    <w:pPr>
                      <w:pStyle w:val="coveraddresses"/>
                    </w:pPr>
                    <w:r w:rsidRPr="0003606D">
                      <w:t>General enquiries 1300 369 711</w:t>
                    </w:r>
                  </w:p>
                  <w:p w:rsidR="00B85C21" w:rsidRPr="0003606D" w:rsidRDefault="00B85C21" w:rsidP="0003606D">
                    <w:pPr>
                      <w:pStyle w:val="coveraddresses"/>
                    </w:pPr>
                    <w:r w:rsidRPr="0003606D">
                      <w:t>Complaints info line 1300 656 419</w:t>
                    </w:r>
                  </w:p>
                  <w:p w:rsidR="00B85C21" w:rsidRPr="0003606D" w:rsidRDefault="00B85C21" w:rsidP="0003606D">
                    <w:pPr>
                      <w:pStyle w:val="coveraddresses"/>
                    </w:pPr>
                    <w:r w:rsidRPr="0003606D">
                      <w:t>TTY 1800 620 241</w:t>
                    </w:r>
                  </w:p>
                  <w:p w:rsidR="00B85C21" w:rsidRPr="00B63D24" w:rsidRDefault="00B85C21"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Pr="0090165F" w:rsidRDefault="00B85C21"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79114B">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C21" w:rsidRDefault="00B85C21" w:rsidP="00F14C6D">
      <w:r>
        <w:separator/>
      </w:r>
    </w:p>
  </w:footnote>
  <w:footnote w:type="continuationSeparator" w:id="0">
    <w:p w:rsidR="00B85C21" w:rsidRDefault="00B85C2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Default="007911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Pr="00D27262" w:rsidRDefault="0079114B"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85C21" w:rsidRPr="00D27262">
      <w:rPr>
        <w:sz w:val="22"/>
        <w:szCs w:val="22"/>
      </w:rPr>
      <w:t>Au</w:t>
    </w:r>
    <w:r w:rsidR="00B85C21">
      <w:rPr>
        <w:sz w:val="22"/>
        <w:szCs w:val="22"/>
      </w:rPr>
      <w:t>stralian Human Rights Commission</w:t>
    </w:r>
  </w:p>
  <w:p w:rsidR="00B85C21" w:rsidRDefault="00B85C21"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85C21" w:rsidRPr="00B85DD4" w:rsidTr="00165E3C">
      <w:trPr>
        <w:trHeight w:val="1276"/>
      </w:trPr>
      <w:tc>
        <w:tcPr>
          <w:tcW w:w="1508" w:type="dxa"/>
        </w:tcPr>
        <w:p w:rsidR="00B85C21" w:rsidRPr="00B85DD4" w:rsidRDefault="00B85C21" w:rsidP="00B520BC">
          <w:pPr>
            <w:pStyle w:val="Header"/>
            <w:tabs>
              <w:tab w:val="left" w:pos="4686"/>
              <w:tab w:val="left" w:pos="7088"/>
              <w:tab w:val="left" w:pos="7242"/>
            </w:tabs>
            <w:ind w:left="-108"/>
            <w:rPr>
              <w:rFonts w:cs="ArialMT"/>
              <w:b/>
              <w:spacing w:val="-20"/>
            </w:rPr>
          </w:pPr>
        </w:p>
      </w:tc>
      <w:tc>
        <w:tcPr>
          <w:tcW w:w="2688" w:type="dxa"/>
          <w:vAlign w:val="center"/>
        </w:tcPr>
        <w:p w:rsidR="00B85C21" w:rsidRPr="00B85DD4" w:rsidRDefault="00B85C21" w:rsidP="002B1B65">
          <w:pPr>
            <w:spacing w:before="0" w:after="0"/>
            <w:rPr>
              <w:rFonts w:cs="ArialMT"/>
              <w:i/>
              <w:color w:val="808080"/>
              <w:sz w:val="17"/>
            </w:rPr>
          </w:pPr>
        </w:p>
      </w:tc>
      <w:tc>
        <w:tcPr>
          <w:tcW w:w="2302" w:type="dxa"/>
        </w:tcPr>
        <w:p w:rsidR="00B85C21" w:rsidRPr="00B85DD4" w:rsidRDefault="00B85C21" w:rsidP="00B520BC">
          <w:pPr>
            <w:pStyle w:val="HeaderFooter"/>
            <w:rPr>
              <w:b/>
              <w:spacing w:val="-20"/>
              <w:sz w:val="40"/>
            </w:rPr>
          </w:pPr>
          <w:r>
            <w:rPr>
              <w:b/>
              <w:noProof/>
              <w:spacing w:val="-20"/>
              <w:sz w:val="40"/>
              <w:lang w:eastAsia="en-AU"/>
            </w:rPr>
            <w:drawing>
              <wp:anchor distT="0" distB="0" distL="114300" distR="114300" simplePos="0" relativeHeight="251661312" behindDoc="0" locked="0" layoutInCell="1" allowOverlap="1">
                <wp:simplePos x="0" y="0"/>
                <wp:positionH relativeFrom="column">
                  <wp:posOffset>743585</wp:posOffset>
                </wp:positionH>
                <wp:positionV relativeFrom="paragraph">
                  <wp:posOffset>106680</wp:posOffset>
                </wp:positionV>
                <wp:extent cx="1912620" cy="74676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30" w:type="dxa"/>
        </w:tcPr>
        <w:p w:rsidR="00B85C21" w:rsidRPr="00B85DD4" w:rsidRDefault="00B85C21" w:rsidP="00B520BC">
          <w:pPr>
            <w:pStyle w:val="HeaderFooter"/>
            <w:rPr>
              <w:b/>
              <w:spacing w:val="-20"/>
              <w:sz w:val="40"/>
            </w:rPr>
          </w:pPr>
        </w:p>
      </w:tc>
      <w:tc>
        <w:tcPr>
          <w:tcW w:w="1721" w:type="dxa"/>
        </w:tcPr>
        <w:p w:rsidR="00B85C21" w:rsidRPr="00B85DD4" w:rsidRDefault="00B85C21" w:rsidP="00B520BC">
          <w:pPr>
            <w:pStyle w:val="HeaderFooter"/>
            <w:spacing w:before="227" w:after="340"/>
            <w:rPr>
              <w:b/>
              <w:spacing w:val="-20"/>
              <w:sz w:val="40"/>
            </w:rPr>
          </w:pPr>
        </w:p>
      </w:tc>
    </w:tr>
  </w:tbl>
  <w:p w:rsidR="00B85C21" w:rsidRDefault="0079114B">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7" type="#_x0000_t75" style="position:absolute;margin-left:-71.05pt;margin-top:-116pt;width:595.65pt;height:870.15pt;z-index:-251661312;mso-position-horizontal-relative:margin;mso-position-vertical-relative:margin" o:allowincell="f">
          <v:imagedata r:id="rId2"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Default="007911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21" w:rsidRPr="00D27262" w:rsidRDefault="00B85C21" w:rsidP="00B34946">
    <w:pPr>
      <w:spacing w:before="0" w:after="60"/>
      <w:jc w:val="right"/>
      <w:rPr>
        <w:sz w:val="22"/>
        <w:szCs w:val="22"/>
      </w:rPr>
    </w:pPr>
    <w:r w:rsidRPr="00D27262">
      <w:rPr>
        <w:sz w:val="22"/>
        <w:szCs w:val="22"/>
      </w:rPr>
      <w:t>Au</w:t>
    </w:r>
    <w:r>
      <w:rPr>
        <w:sz w:val="22"/>
        <w:szCs w:val="22"/>
      </w:rPr>
      <w:t>stralian Human Rights Commission</w:t>
    </w:r>
  </w:p>
  <w:p w:rsidR="00B85C21" w:rsidRPr="00D729AD" w:rsidRDefault="00B85C21" w:rsidP="002F4CE1">
    <w:pPr>
      <w:pStyle w:val="Footer"/>
      <w:spacing w:after="240"/>
      <w:jc w:val="right"/>
      <w:rPr>
        <w:i/>
        <w:szCs w:val="18"/>
      </w:rPr>
    </w:pPr>
    <w:r>
      <w:rPr>
        <w:b/>
        <w:i/>
        <w:szCs w:val="18"/>
      </w:rPr>
      <w:t>Healthy Ageing</w:t>
    </w:r>
    <w:r w:rsidRPr="00D729AD">
      <w:rPr>
        <w:i/>
        <w:szCs w:val="18"/>
      </w:rPr>
      <w:t xml:space="preserve">, </w:t>
    </w:r>
    <w:r>
      <w:rPr>
        <w:i/>
        <w:szCs w:val="18"/>
      </w:rPr>
      <w:t>Willing to Work National Inquiry</w:t>
    </w:r>
    <w:r w:rsidRPr="00D729AD">
      <w:rPr>
        <w:i/>
        <w:szCs w:val="18"/>
      </w:rPr>
      <w:t xml:space="preserve"> – </w:t>
    </w:r>
    <w:r>
      <w:rPr>
        <w:i/>
        <w:szCs w:val="18"/>
      </w:rPr>
      <w:t>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85C21" w:rsidRPr="00B85DD4" w:rsidTr="002B1B65">
      <w:trPr>
        <w:trHeight w:val="1603"/>
      </w:trPr>
      <w:tc>
        <w:tcPr>
          <w:tcW w:w="1508" w:type="dxa"/>
        </w:tcPr>
        <w:p w:rsidR="00B85C21" w:rsidRPr="00B85DD4" w:rsidRDefault="00B85C21"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785" cy="819785"/>
                <wp:effectExtent l="0" t="0" r="0" b="0"/>
                <wp:docPr id="3"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inline>
            </w:drawing>
          </w:r>
        </w:p>
      </w:tc>
      <w:tc>
        <w:tcPr>
          <w:tcW w:w="2688" w:type="dxa"/>
          <w:vAlign w:val="center"/>
        </w:tcPr>
        <w:p w:rsidR="00B85C21" w:rsidRPr="00D36BB2" w:rsidRDefault="00B85C21" w:rsidP="002B1B65">
          <w:pPr>
            <w:pStyle w:val="LogoType"/>
            <w:pBdr>
              <w:bottom w:val="single" w:sz="4" w:space="1" w:color="808080"/>
            </w:pBdr>
            <w:spacing w:line="240" w:lineRule="auto"/>
          </w:pPr>
          <w:r w:rsidRPr="00D36BB2">
            <w:t>Australian</w:t>
          </w:r>
        </w:p>
        <w:p w:rsidR="00B85C21" w:rsidRPr="00D36BB2" w:rsidRDefault="00B85C21" w:rsidP="002B1B65">
          <w:pPr>
            <w:pStyle w:val="LogoType"/>
            <w:pBdr>
              <w:bottom w:val="single" w:sz="4" w:space="1" w:color="808080"/>
            </w:pBdr>
            <w:spacing w:line="240" w:lineRule="auto"/>
          </w:pPr>
          <w:r w:rsidRPr="00D36BB2">
            <w:t>Human Rights</w:t>
          </w:r>
        </w:p>
        <w:p w:rsidR="00B85C21" w:rsidRPr="00D36BB2" w:rsidRDefault="00B85C21" w:rsidP="002B1B65">
          <w:pPr>
            <w:pStyle w:val="LogoType"/>
            <w:pBdr>
              <w:bottom w:val="single" w:sz="4" w:space="1" w:color="808080"/>
            </w:pBdr>
            <w:spacing w:line="240" w:lineRule="auto"/>
          </w:pPr>
          <w:r w:rsidRPr="00D36BB2">
            <w:t>Commission</w:t>
          </w:r>
        </w:p>
        <w:p w:rsidR="00B85C21" w:rsidRPr="00B85DD4" w:rsidRDefault="00B85C21"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85C21" w:rsidRPr="00B85DD4" w:rsidRDefault="00B85C21" w:rsidP="00B520BC">
          <w:pPr>
            <w:pStyle w:val="HeaderFooter"/>
            <w:rPr>
              <w:b/>
              <w:spacing w:val="-20"/>
              <w:sz w:val="40"/>
            </w:rPr>
          </w:pPr>
        </w:p>
      </w:tc>
      <w:tc>
        <w:tcPr>
          <w:tcW w:w="2130" w:type="dxa"/>
        </w:tcPr>
        <w:p w:rsidR="00B85C21" w:rsidRPr="00B85DD4" w:rsidRDefault="00B85C21" w:rsidP="00B520BC">
          <w:pPr>
            <w:pStyle w:val="HeaderFooter"/>
            <w:rPr>
              <w:b/>
              <w:spacing w:val="-20"/>
              <w:sz w:val="40"/>
            </w:rPr>
          </w:pPr>
        </w:p>
      </w:tc>
      <w:tc>
        <w:tcPr>
          <w:tcW w:w="1721" w:type="dxa"/>
        </w:tcPr>
        <w:p w:rsidR="00B85C21" w:rsidRPr="00B85DD4" w:rsidRDefault="00B85C21" w:rsidP="00B520BC">
          <w:pPr>
            <w:pStyle w:val="HeaderFooter"/>
            <w:spacing w:before="227" w:after="340"/>
            <w:rPr>
              <w:b/>
              <w:spacing w:val="-20"/>
              <w:sz w:val="40"/>
            </w:rPr>
          </w:pPr>
        </w:p>
      </w:tc>
    </w:tr>
  </w:tbl>
  <w:p w:rsidR="00B85C21" w:rsidRDefault="0079114B">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6"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50285F"/>
    <w:multiLevelType w:val="hybridMultilevel"/>
    <w:tmpl w:val="7F30BE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900F88"/>
    <w:multiLevelType w:val="hybridMultilevel"/>
    <w:tmpl w:val="11F8AF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A62DC8"/>
    <w:multiLevelType w:val="hybridMultilevel"/>
    <w:tmpl w:val="BCE8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7"/>
  </w:num>
  <w:num w:numId="3">
    <w:abstractNumId w:val="32"/>
  </w:num>
  <w:num w:numId="4">
    <w:abstractNumId w:val="1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0"/>
  </w:num>
  <w:num w:numId="18">
    <w:abstractNumId w:val="23"/>
  </w:num>
  <w:num w:numId="19">
    <w:abstractNumId w:val="15"/>
  </w:num>
  <w:num w:numId="20">
    <w:abstractNumId w:val="35"/>
  </w:num>
  <w:num w:numId="21">
    <w:abstractNumId w:val="25"/>
  </w:num>
  <w:num w:numId="22">
    <w:abstractNumId w:val="24"/>
  </w:num>
  <w:num w:numId="23">
    <w:abstractNumId w:val="37"/>
  </w:num>
  <w:num w:numId="24">
    <w:abstractNumId w:val="11"/>
  </w:num>
  <w:num w:numId="25">
    <w:abstractNumId w:val="36"/>
  </w:num>
  <w:num w:numId="26">
    <w:abstractNumId w:val="26"/>
  </w:num>
  <w:num w:numId="27">
    <w:abstractNumId w:val="13"/>
  </w:num>
  <w:num w:numId="28">
    <w:abstractNumId w:val="17"/>
  </w:num>
  <w:num w:numId="29">
    <w:abstractNumId w:val="29"/>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4"/>
  </w:num>
  <w:num w:numId="36">
    <w:abstractNumId w:val="14"/>
  </w:num>
  <w:num w:numId="37">
    <w:abstractNumId w:val="10"/>
  </w:num>
  <w:num w:numId="38">
    <w:abstractNumId w:val="20"/>
  </w:num>
  <w:num w:numId="39">
    <w:abstractNumId w:val="12"/>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51"/>
    <w:rsid w:val="0003606D"/>
    <w:rsid w:val="000368F9"/>
    <w:rsid w:val="000579B1"/>
    <w:rsid w:val="00072D2F"/>
    <w:rsid w:val="00074319"/>
    <w:rsid w:val="000A1DB8"/>
    <w:rsid w:val="000A48AC"/>
    <w:rsid w:val="000B0A5D"/>
    <w:rsid w:val="000D2D9C"/>
    <w:rsid w:val="000D33FE"/>
    <w:rsid w:val="000E130A"/>
    <w:rsid w:val="000F1E06"/>
    <w:rsid w:val="00134774"/>
    <w:rsid w:val="00140274"/>
    <w:rsid w:val="00151263"/>
    <w:rsid w:val="00162A8D"/>
    <w:rsid w:val="00163E1E"/>
    <w:rsid w:val="00165E3C"/>
    <w:rsid w:val="00173FB5"/>
    <w:rsid w:val="00186FEA"/>
    <w:rsid w:val="001B0353"/>
    <w:rsid w:val="001C1F8B"/>
    <w:rsid w:val="001C7AAC"/>
    <w:rsid w:val="001F074C"/>
    <w:rsid w:val="001F2BBB"/>
    <w:rsid w:val="001F6736"/>
    <w:rsid w:val="00200677"/>
    <w:rsid w:val="00224AA3"/>
    <w:rsid w:val="00231ED1"/>
    <w:rsid w:val="00242624"/>
    <w:rsid w:val="0024557E"/>
    <w:rsid w:val="002863D7"/>
    <w:rsid w:val="002B13C1"/>
    <w:rsid w:val="002B1B65"/>
    <w:rsid w:val="002C1866"/>
    <w:rsid w:val="002F4CE1"/>
    <w:rsid w:val="002F78EE"/>
    <w:rsid w:val="00300F22"/>
    <w:rsid w:val="00304A37"/>
    <w:rsid w:val="00310ED4"/>
    <w:rsid w:val="00312301"/>
    <w:rsid w:val="0031492A"/>
    <w:rsid w:val="00316C1A"/>
    <w:rsid w:val="00323C73"/>
    <w:rsid w:val="00331141"/>
    <w:rsid w:val="0034415A"/>
    <w:rsid w:val="00344758"/>
    <w:rsid w:val="00347142"/>
    <w:rsid w:val="003565A8"/>
    <w:rsid w:val="003566EA"/>
    <w:rsid w:val="00372C79"/>
    <w:rsid w:val="003E21DC"/>
    <w:rsid w:val="00422417"/>
    <w:rsid w:val="00424233"/>
    <w:rsid w:val="0043042B"/>
    <w:rsid w:val="00472EFF"/>
    <w:rsid w:val="00474063"/>
    <w:rsid w:val="00476793"/>
    <w:rsid w:val="004A187B"/>
    <w:rsid w:val="004A2D3C"/>
    <w:rsid w:val="004A37D1"/>
    <w:rsid w:val="004B03D0"/>
    <w:rsid w:val="004C7412"/>
    <w:rsid w:val="004D04BF"/>
    <w:rsid w:val="004D6E55"/>
    <w:rsid w:val="004E0DFF"/>
    <w:rsid w:val="004F1C7C"/>
    <w:rsid w:val="005123F0"/>
    <w:rsid w:val="00513540"/>
    <w:rsid w:val="00513941"/>
    <w:rsid w:val="0053051D"/>
    <w:rsid w:val="00564208"/>
    <w:rsid w:val="00567CF4"/>
    <w:rsid w:val="00571CEB"/>
    <w:rsid w:val="00585F13"/>
    <w:rsid w:val="00591951"/>
    <w:rsid w:val="005C58D5"/>
    <w:rsid w:val="005C5D41"/>
    <w:rsid w:val="005D1F34"/>
    <w:rsid w:val="005D383D"/>
    <w:rsid w:val="00600C7B"/>
    <w:rsid w:val="00654793"/>
    <w:rsid w:val="006A6BB3"/>
    <w:rsid w:val="006D5EE5"/>
    <w:rsid w:val="006E62C0"/>
    <w:rsid w:val="00743727"/>
    <w:rsid w:val="007540BF"/>
    <w:rsid w:val="00770DCB"/>
    <w:rsid w:val="00775485"/>
    <w:rsid w:val="0079114B"/>
    <w:rsid w:val="007E5B88"/>
    <w:rsid w:val="007F0D0B"/>
    <w:rsid w:val="008007A8"/>
    <w:rsid w:val="008042D9"/>
    <w:rsid w:val="00814FC0"/>
    <w:rsid w:val="00817F18"/>
    <w:rsid w:val="008724DE"/>
    <w:rsid w:val="008A3D57"/>
    <w:rsid w:val="008B23BC"/>
    <w:rsid w:val="008E3D60"/>
    <w:rsid w:val="008E3F4C"/>
    <w:rsid w:val="008F6B7B"/>
    <w:rsid w:val="0090165F"/>
    <w:rsid w:val="00901B82"/>
    <w:rsid w:val="00912B09"/>
    <w:rsid w:val="00953BA3"/>
    <w:rsid w:val="00966C2F"/>
    <w:rsid w:val="0097419C"/>
    <w:rsid w:val="0097512B"/>
    <w:rsid w:val="009B171D"/>
    <w:rsid w:val="009D59F1"/>
    <w:rsid w:val="009D67F6"/>
    <w:rsid w:val="009E0FE1"/>
    <w:rsid w:val="00A0406E"/>
    <w:rsid w:val="00A11307"/>
    <w:rsid w:val="00A13AF3"/>
    <w:rsid w:val="00A21388"/>
    <w:rsid w:val="00A27791"/>
    <w:rsid w:val="00A41355"/>
    <w:rsid w:val="00A43B92"/>
    <w:rsid w:val="00A54251"/>
    <w:rsid w:val="00A6179E"/>
    <w:rsid w:val="00A64316"/>
    <w:rsid w:val="00A804D9"/>
    <w:rsid w:val="00A92F92"/>
    <w:rsid w:val="00A96892"/>
    <w:rsid w:val="00AA2051"/>
    <w:rsid w:val="00AB0151"/>
    <w:rsid w:val="00AB0EA1"/>
    <w:rsid w:val="00B05A3A"/>
    <w:rsid w:val="00B24B1D"/>
    <w:rsid w:val="00B277E0"/>
    <w:rsid w:val="00B309A9"/>
    <w:rsid w:val="00B34946"/>
    <w:rsid w:val="00B519FD"/>
    <w:rsid w:val="00B520BC"/>
    <w:rsid w:val="00B63D24"/>
    <w:rsid w:val="00B77BE4"/>
    <w:rsid w:val="00B85C21"/>
    <w:rsid w:val="00B924E6"/>
    <w:rsid w:val="00BA262D"/>
    <w:rsid w:val="00BA5698"/>
    <w:rsid w:val="00BB4641"/>
    <w:rsid w:val="00BC79EB"/>
    <w:rsid w:val="00BD7FCF"/>
    <w:rsid w:val="00BE6C4E"/>
    <w:rsid w:val="00C20161"/>
    <w:rsid w:val="00C25BDA"/>
    <w:rsid w:val="00C33104"/>
    <w:rsid w:val="00C55C07"/>
    <w:rsid w:val="00C76517"/>
    <w:rsid w:val="00C854D4"/>
    <w:rsid w:val="00C878B6"/>
    <w:rsid w:val="00C90556"/>
    <w:rsid w:val="00CA0D78"/>
    <w:rsid w:val="00CA4855"/>
    <w:rsid w:val="00CB24FE"/>
    <w:rsid w:val="00CD58FD"/>
    <w:rsid w:val="00D30A61"/>
    <w:rsid w:val="00D343FA"/>
    <w:rsid w:val="00D418FF"/>
    <w:rsid w:val="00D62523"/>
    <w:rsid w:val="00D65C76"/>
    <w:rsid w:val="00D729AD"/>
    <w:rsid w:val="00D734C7"/>
    <w:rsid w:val="00DA2F73"/>
    <w:rsid w:val="00DB5D3B"/>
    <w:rsid w:val="00DC2946"/>
    <w:rsid w:val="00DC462F"/>
    <w:rsid w:val="00DD6A21"/>
    <w:rsid w:val="00DE60CA"/>
    <w:rsid w:val="00DF0E56"/>
    <w:rsid w:val="00E24FA3"/>
    <w:rsid w:val="00E26B28"/>
    <w:rsid w:val="00E31465"/>
    <w:rsid w:val="00E328CD"/>
    <w:rsid w:val="00E36B95"/>
    <w:rsid w:val="00E4003F"/>
    <w:rsid w:val="00E412A9"/>
    <w:rsid w:val="00E458F6"/>
    <w:rsid w:val="00E45954"/>
    <w:rsid w:val="00E62C10"/>
    <w:rsid w:val="00EA44D9"/>
    <w:rsid w:val="00EB4C9F"/>
    <w:rsid w:val="00EB6A76"/>
    <w:rsid w:val="00F14C6D"/>
    <w:rsid w:val="00F67ACC"/>
    <w:rsid w:val="00F81347"/>
    <w:rsid w:val="00F90F58"/>
    <w:rsid w:val="00FA4916"/>
    <w:rsid w:val="00FD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chartTrackingRefBased/>
  <w15:docId w15:val="{72BC2379-77FE-42CD-AB1A-59A7F3C0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AB0151"/>
    <w:pPr>
      <w:ind w:left="720"/>
      <w:contextualSpacing/>
    </w:pPr>
    <w:rPr>
      <w:rFonts w:eastAsia="Times New Roman"/>
    </w:rPr>
  </w:style>
  <w:style w:type="table" w:customStyle="1" w:styleId="TableGridLight1">
    <w:name w:val="Table Grid Light1"/>
    <w:basedOn w:val="TableNormal"/>
    <w:uiPriority w:val="40"/>
    <w:rsid w:val="00AB01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AB015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fitnotfbt.org.au/" TargetMode="Externa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hyperlink" Target="http://www.humanrights.gov.au/news/stories/willing-work-national-report-released"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4.xml"/><Relationship Id="rId10" Type="http://schemas.openxmlformats.org/officeDocument/2006/relationships/header" Target="header3.xml"/><Relationship Id="rId19" Type="http://schemas.openxmlformats.org/officeDocument/2006/relationships/chart" Target="charts/chart7.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healthyworkers.gov.au/internet/hwi/publishing.nsf/Content/about" TargetMode="External"/><Relationship Id="rId30"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healthyactive.gov.au/" TargetMode="External"/><Relationship Id="rId3" Type="http://schemas.openxmlformats.org/officeDocument/2006/relationships/hyperlink" Target="http://www.abs.gov.au/ausstats/abs@.nsf/mf/6238.0" TargetMode="External"/><Relationship Id="rId7" Type="http://schemas.openxmlformats.org/officeDocument/2006/relationships/hyperlink" Target="http://media.amp.com.au/phoenix.zhtml?c=219073&amp;p=irol-newsArticle&amp;ID=2076394" TargetMode="External"/><Relationship Id="rId2" Type="http://schemas.openxmlformats.org/officeDocument/2006/relationships/hyperlink" Target="http://www.abs.gov.au/ausstats/abs@.nsf/mf/6238.0" TargetMode="External"/><Relationship Id="rId1" Type="http://schemas.openxmlformats.org/officeDocument/2006/relationships/hyperlink" Target="http://www.humanrights.gov.au/our-work/age-discrimination/publications/national-prevalence-survey-age-discrimination-workplace" TargetMode="External"/><Relationship Id="rId6" Type="http://schemas.openxmlformats.org/officeDocument/2006/relationships/hyperlink" Target="http://www.abs.gov.au/ausstats/abs@.nsf/mf/6238.0" TargetMode="External"/><Relationship Id="rId11" Type="http://schemas.openxmlformats.org/officeDocument/2006/relationships/hyperlink" Target="http://www.jobaccess.gov.au/publication/employment-assistance-guidelines" TargetMode="External"/><Relationship Id="rId5" Type="http://schemas.openxmlformats.org/officeDocument/2006/relationships/hyperlink" Target="http://www.abs.gov.au/ausstats/abs@.nsf/mf/6238.0" TargetMode="External"/><Relationship Id="rId10" Type="http://schemas.openxmlformats.org/officeDocument/2006/relationships/hyperlink" Target="http://www.aph.gov.au/about_parliament/parliamentary_departments/parliamentary_library/pubs/rp/budgetreview201415/healthfunding" TargetMode="External"/><Relationship Id="rId4" Type="http://schemas.openxmlformats.org/officeDocument/2006/relationships/hyperlink" Target="http://www.abs.gov.au/ausstats/abs@.nsf/mf/6238.0" TargetMode="External"/><Relationship Id="rId9" Type="http://schemas.openxmlformats.org/officeDocument/2006/relationships/hyperlink" Target="http://www.comcare.gov.au/promoting/investing_in_experience/a/investing_in_exper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099" b="1">
                <a:solidFill>
                  <a:sysClr val="windowText" lastClr="000000"/>
                </a:solidFill>
                <a:latin typeface="Arial" panose="020B0604020202020204" pitchFamily="34" charset="0"/>
                <a:cs typeface="Arial" panose="020B0604020202020204" pitchFamily="34" charset="0"/>
              </a:rPr>
              <a:t>Figure</a:t>
            </a:r>
            <a:r>
              <a:rPr lang="en-AU" sz="1099" b="1" baseline="0">
                <a:solidFill>
                  <a:sysClr val="windowText" lastClr="000000"/>
                </a:solidFill>
                <a:latin typeface="Arial" panose="020B0604020202020204" pitchFamily="34" charset="0"/>
                <a:cs typeface="Arial" panose="020B0604020202020204" pitchFamily="34" charset="0"/>
              </a:rPr>
              <a:t> 1: Proportion employed either full or part-time by health status (2011-12) </a:t>
            </a:r>
            <a:endParaRPr lang="en-AU" sz="1100" b="1">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Excellent/very good</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Male 60-64</c:v>
                </c:pt>
                <c:pt idx="1">
                  <c:v>Male 65-69</c:v>
                </c:pt>
                <c:pt idx="2">
                  <c:v>Female 60-64</c:v>
                </c:pt>
                <c:pt idx="3">
                  <c:v>Female 65-69</c:v>
                </c:pt>
              </c:strCache>
            </c:strRef>
          </c:cat>
          <c:val>
            <c:numRef>
              <c:f>Sheet1!$B$2:$B$5</c:f>
              <c:numCache>
                <c:formatCode>General</c:formatCode>
                <c:ptCount val="4"/>
                <c:pt idx="0">
                  <c:v>72</c:v>
                </c:pt>
                <c:pt idx="1">
                  <c:v>42</c:v>
                </c:pt>
                <c:pt idx="2">
                  <c:v>55</c:v>
                </c:pt>
                <c:pt idx="3">
                  <c:v>25</c:v>
                </c:pt>
              </c:numCache>
            </c:numRef>
          </c:val>
          <c:extLst>
            <c:ext xmlns:c16="http://schemas.microsoft.com/office/drawing/2014/chart" uri="{C3380CC4-5D6E-409C-BE32-E72D297353CC}">
              <c16:uniqueId val="{00000000-7A8B-43C9-BC0F-1DF6633926DE}"/>
            </c:ext>
          </c:extLst>
        </c:ser>
        <c:ser>
          <c:idx val="1"/>
          <c:order val="1"/>
          <c:tx>
            <c:strRef>
              <c:f>Sheet1!$C$1</c:f>
              <c:strCache>
                <c:ptCount val="1"/>
                <c:pt idx="0">
                  <c:v>Good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Male 60-64</c:v>
                </c:pt>
                <c:pt idx="1">
                  <c:v>Male 65-69</c:v>
                </c:pt>
                <c:pt idx="2">
                  <c:v>Female 60-64</c:v>
                </c:pt>
                <c:pt idx="3">
                  <c:v>Female 65-69</c:v>
                </c:pt>
              </c:strCache>
            </c:strRef>
          </c:cat>
          <c:val>
            <c:numRef>
              <c:f>Sheet1!$C$2:$C$5</c:f>
              <c:numCache>
                <c:formatCode>General</c:formatCode>
                <c:ptCount val="4"/>
                <c:pt idx="0">
                  <c:v>62</c:v>
                </c:pt>
                <c:pt idx="1">
                  <c:v>41</c:v>
                </c:pt>
                <c:pt idx="2">
                  <c:v>44</c:v>
                </c:pt>
                <c:pt idx="3">
                  <c:v>15</c:v>
                </c:pt>
              </c:numCache>
            </c:numRef>
          </c:val>
          <c:extLst>
            <c:ext xmlns:c16="http://schemas.microsoft.com/office/drawing/2014/chart" uri="{C3380CC4-5D6E-409C-BE32-E72D297353CC}">
              <c16:uniqueId val="{00000001-7A8B-43C9-BC0F-1DF6633926DE}"/>
            </c:ext>
          </c:extLst>
        </c:ser>
        <c:ser>
          <c:idx val="2"/>
          <c:order val="2"/>
          <c:tx>
            <c:strRef>
              <c:f>Sheet1!$D$1</c:f>
              <c:strCache>
                <c:ptCount val="1"/>
                <c:pt idx="0">
                  <c:v>Fair/poor</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Male 60-64</c:v>
                </c:pt>
                <c:pt idx="1">
                  <c:v>Male 65-69</c:v>
                </c:pt>
                <c:pt idx="2">
                  <c:v>Female 60-64</c:v>
                </c:pt>
                <c:pt idx="3">
                  <c:v>Female 65-69</c:v>
                </c:pt>
              </c:strCache>
            </c:strRef>
          </c:cat>
          <c:val>
            <c:numRef>
              <c:f>Sheet1!$D$2:$D$5</c:f>
              <c:numCache>
                <c:formatCode>General</c:formatCode>
                <c:ptCount val="4"/>
                <c:pt idx="0">
                  <c:v>35</c:v>
                </c:pt>
                <c:pt idx="1">
                  <c:v>23</c:v>
                </c:pt>
                <c:pt idx="2">
                  <c:v>18</c:v>
                </c:pt>
                <c:pt idx="3">
                  <c:v>9</c:v>
                </c:pt>
              </c:numCache>
            </c:numRef>
          </c:val>
          <c:extLst>
            <c:ext xmlns:c16="http://schemas.microsoft.com/office/drawing/2014/chart" uri="{C3380CC4-5D6E-409C-BE32-E72D297353CC}">
              <c16:uniqueId val="{00000002-7A8B-43C9-BC0F-1DF6633926DE}"/>
            </c:ext>
          </c:extLst>
        </c:ser>
        <c:dLbls>
          <c:showLegendKey val="0"/>
          <c:showVal val="0"/>
          <c:showCatName val="0"/>
          <c:showSerName val="0"/>
          <c:showPercent val="0"/>
          <c:showBubbleSize val="0"/>
        </c:dLbls>
        <c:gapWidth val="219"/>
        <c:overlap val="-27"/>
        <c:axId val="177607464"/>
        <c:axId val="1"/>
      </c:barChart>
      <c:catAx>
        <c:axId val="177607464"/>
        <c:scaling>
          <c:orientation val="minMax"/>
        </c:scaling>
        <c:delete val="0"/>
        <c:axPos val="b"/>
        <c:title>
          <c:tx>
            <c:rich>
              <a:bodyPr/>
              <a:lstStyle/>
              <a:p>
                <a:pPr>
                  <a:defRPr sz="999" b="0" i="0" u="none" strike="noStrike" baseline="0">
                    <a:solidFill>
                      <a:srgbClr val="000000"/>
                    </a:solidFill>
                    <a:latin typeface="Arial"/>
                    <a:ea typeface="Arial"/>
                    <a:cs typeface="Arial"/>
                  </a:defRPr>
                </a:pPr>
                <a:r>
                  <a:rPr lang="en-AU"/>
                  <a:t>Age, Gender, Health Status</a:t>
                </a:r>
              </a:p>
            </c:rich>
          </c:tx>
          <c:layout>
            <c:manualLayout>
              <c:xMode val="edge"/>
              <c:yMode val="edge"/>
              <c:x val="0.28534151458492435"/>
              <c:y val="0.91549780203854891"/>
            </c:manualLayout>
          </c:layout>
          <c:overlay val="0"/>
          <c:spPr>
            <a:noFill/>
            <a:ln>
              <a:noFill/>
            </a:ln>
            <a:effectLst/>
          </c:spPr>
        </c:title>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At val="0"/>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Arial"/>
                    <a:ea typeface="Arial"/>
                    <a:cs typeface="Arial"/>
                  </a:defRPr>
                </a:pPr>
                <a:r>
                  <a:rPr lang="en-AU"/>
                  <a:t>Proportion employed (%)</a:t>
                </a:r>
              </a:p>
            </c:rich>
          </c:tx>
          <c:layout>
            <c:manualLayout>
              <c:xMode val="edge"/>
              <c:yMode val="edge"/>
              <c:x val="1.8518596546669125E-2"/>
              <c:y val="0.249270083570841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7607464"/>
        <c:crosses val="autoZero"/>
        <c:crossBetween val="between"/>
      </c:valAx>
      <c:spPr>
        <a:noFill/>
        <a:ln w="25384">
          <a:noFill/>
        </a:ln>
      </c:spPr>
    </c:plotArea>
    <c:legend>
      <c:legendPos val="r"/>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sz="1100" b="1">
                <a:latin typeface="Arial" panose="020B0604020202020204" pitchFamily="34" charset="0"/>
                <a:cs typeface="Arial" panose="020B0604020202020204" pitchFamily="34" charset="0"/>
              </a:rPr>
              <a:t>Figure 9a: Selected reasons for retirement of people aged 45 years and over who have retired</a:t>
            </a:r>
          </a:p>
        </c:rich>
      </c:tx>
      <c:layout>
        <c:manualLayout>
          <c:xMode val="edge"/>
          <c:yMode val="edge"/>
          <c:x val="0.10753351776973825"/>
          <c:y val="1.587298520200312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Retrenched/dismissed/no work available</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Less than 55 years
</c:v>
                </c:pt>
                <c:pt idx="1">
                  <c:v>55-59 years</c:v>
                </c:pt>
                <c:pt idx="2">
                  <c:v>60-64 years</c:v>
                </c:pt>
                <c:pt idx="3">
                  <c:v>65-69 years</c:v>
                </c:pt>
              </c:strCache>
            </c:strRef>
          </c:cat>
          <c:val>
            <c:numRef>
              <c:f>Sheet1!$B$2:$B$5</c:f>
              <c:numCache>
                <c:formatCode>#,##0.0</c:formatCode>
                <c:ptCount val="4"/>
                <c:pt idx="0">
                  <c:v>4.7</c:v>
                </c:pt>
                <c:pt idx="1">
                  <c:v>7.2</c:v>
                </c:pt>
                <c:pt idx="2">
                  <c:v>9.5</c:v>
                </c:pt>
                <c:pt idx="3" formatCode="General">
                  <c:v>8.6999999999999993</c:v>
                </c:pt>
              </c:numCache>
            </c:numRef>
          </c:val>
          <c:extLst>
            <c:ext xmlns:c16="http://schemas.microsoft.com/office/drawing/2014/chart" uri="{C3380CC4-5D6E-409C-BE32-E72D297353CC}">
              <c16:uniqueId val="{00000000-E84E-4548-A6BE-D74B3AE5AE0B}"/>
            </c:ext>
          </c:extLst>
        </c:ser>
        <c:ser>
          <c:idx val="1"/>
          <c:order val="1"/>
          <c:tx>
            <c:strRef>
              <c:f>Sheet1!$C$1</c:f>
              <c:strCache>
                <c:ptCount val="1"/>
                <c:pt idx="0">
                  <c:v>Reached retirement age/eligible for superannuation/pension</c:v>
                </c:pt>
              </c:strCache>
            </c:strRef>
          </c:tx>
          <c:spPr>
            <a:solidFill>
              <a:srgbClr val="5B9BD5">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Less than 55 years
</c:v>
                </c:pt>
                <c:pt idx="1">
                  <c:v>55-59 years</c:v>
                </c:pt>
                <c:pt idx="2">
                  <c:v>60-64 years</c:v>
                </c:pt>
                <c:pt idx="3">
                  <c:v>65-69 years</c:v>
                </c:pt>
              </c:strCache>
            </c:strRef>
          </c:cat>
          <c:val>
            <c:numRef>
              <c:f>Sheet1!$C$2:$C$5</c:f>
              <c:numCache>
                <c:formatCode>#,##0.0</c:formatCode>
                <c:ptCount val="4"/>
                <c:pt idx="0">
                  <c:v>3.1</c:v>
                </c:pt>
                <c:pt idx="1">
                  <c:v>25.9</c:v>
                </c:pt>
                <c:pt idx="2" formatCode="General">
                  <c:v>41.7</c:v>
                </c:pt>
                <c:pt idx="3" formatCode="General">
                  <c:v>58.1</c:v>
                </c:pt>
              </c:numCache>
            </c:numRef>
          </c:val>
          <c:extLst>
            <c:ext xmlns:c16="http://schemas.microsoft.com/office/drawing/2014/chart" uri="{C3380CC4-5D6E-409C-BE32-E72D297353CC}">
              <c16:uniqueId val="{00000001-E84E-4548-A6BE-D74B3AE5AE0B}"/>
            </c:ext>
          </c:extLst>
        </c:ser>
        <c:ser>
          <c:idx val="2"/>
          <c:order val="2"/>
          <c:tx>
            <c:strRef>
              <c:f>Sheet1!$D$1</c:f>
              <c:strCache>
                <c:ptCount val="1"/>
                <c:pt idx="0">
                  <c:v>Own sickness, injury or disability</c:v>
                </c:pt>
              </c:strCache>
            </c:strRef>
          </c:tx>
          <c:spPr>
            <a:solidFill>
              <a:srgbClr val="ED7D31">
                <a:lumMod val="60000"/>
                <a:lumOff val="40000"/>
              </a:srgbClr>
            </a:solidFill>
            <a:ln>
              <a:noFill/>
            </a:ln>
            <a:effectLst/>
          </c:spPr>
          <c:invertIfNegative val="0"/>
          <c:dPt>
            <c:idx val="0"/>
            <c:invertIfNegative val="0"/>
            <c:bubble3D val="0"/>
            <c:extLst>
              <c:ext xmlns:c16="http://schemas.microsoft.com/office/drawing/2014/chart" uri="{C3380CC4-5D6E-409C-BE32-E72D297353CC}">
                <c16:uniqueId val="{00000002-E84E-4548-A6BE-D74B3AE5AE0B}"/>
              </c:ext>
            </c:extLst>
          </c:dPt>
          <c:dPt>
            <c:idx val="1"/>
            <c:invertIfNegative val="0"/>
            <c:bubble3D val="0"/>
            <c:extLst>
              <c:ext xmlns:c16="http://schemas.microsoft.com/office/drawing/2014/chart" uri="{C3380CC4-5D6E-409C-BE32-E72D297353CC}">
                <c16:uniqueId val="{00000003-E84E-4548-A6BE-D74B3AE5AE0B}"/>
              </c:ext>
            </c:extLst>
          </c:dPt>
          <c:dPt>
            <c:idx val="2"/>
            <c:invertIfNegative val="0"/>
            <c:bubble3D val="0"/>
            <c:extLst>
              <c:ext xmlns:c16="http://schemas.microsoft.com/office/drawing/2014/chart" uri="{C3380CC4-5D6E-409C-BE32-E72D297353CC}">
                <c16:uniqueId val="{00000004-E84E-4548-A6BE-D74B3AE5AE0B}"/>
              </c:ext>
            </c:extLst>
          </c:dPt>
          <c:dPt>
            <c:idx val="3"/>
            <c:invertIfNegative val="0"/>
            <c:bubble3D val="0"/>
            <c:extLst>
              <c:ext xmlns:c16="http://schemas.microsoft.com/office/drawing/2014/chart" uri="{C3380CC4-5D6E-409C-BE32-E72D297353CC}">
                <c16:uniqueId val="{00000005-E84E-4548-A6BE-D74B3AE5AE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Less than 55 years
</c:v>
                </c:pt>
                <c:pt idx="1">
                  <c:v>55-59 years</c:v>
                </c:pt>
                <c:pt idx="2">
                  <c:v>60-64 years</c:v>
                </c:pt>
                <c:pt idx="3">
                  <c:v>65-69 years</c:v>
                </c:pt>
              </c:strCache>
            </c:strRef>
          </c:cat>
          <c:val>
            <c:numRef>
              <c:f>Sheet1!$D$2:$D$5</c:f>
              <c:numCache>
                <c:formatCode>#,##0.0</c:formatCode>
                <c:ptCount val="4"/>
                <c:pt idx="0">
                  <c:v>20</c:v>
                </c:pt>
                <c:pt idx="1">
                  <c:v>18.5</c:v>
                </c:pt>
                <c:pt idx="2" formatCode="General">
                  <c:v>14.4</c:v>
                </c:pt>
                <c:pt idx="3" formatCode="General">
                  <c:v>7.4</c:v>
                </c:pt>
              </c:numCache>
            </c:numRef>
          </c:val>
          <c:extLst>
            <c:ext xmlns:c16="http://schemas.microsoft.com/office/drawing/2014/chart" uri="{C3380CC4-5D6E-409C-BE32-E72D297353CC}">
              <c16:uniqueId val="{00000006-E84E-4548-A6BE-D74B3AE5AE0B}"/>
            </c:ext>
          </c:extLst>
        </c:ser>
        <c:dLbls>
          <c:showLegendKey val="0"/>
          <c:showVal val="0"/>
          <c:showCatName val="0"/>
          <c:showSerName val="0"/>
          <c:showPercent val="0"/>
          <c:showBubbleSize val="0"/>
        </c:dLbls>
        <c:gapWidth val="219"/>
        <c:overlap val="-27"/>
        <c:axId val="220057304"/>
        <c:axId val="1"/>
      </c:barChart>
      <c:catAx>
        <c:axId val="220057304"/>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AU" sz="900"/>
                  <a:t>Age at retirement</a:t>
                </a:r>
              </a:p>
            </c:rich>
          </c:tx>
          <c:layout/>
          <c:overlay val="0"/>
          <c:spPr>
            <a:noFill/>
            <a:ln>
              <a:noFill/>
            </a:ln>
            <a:effectLst/>
          </c:spPr>
        </c:title>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Percentage (%)</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0057304"/>
        <c:crosses val="autoZero"/>
        <c:crossBetween val="between"/>
      </c:valAx>
      <c:spPr>
        <a:noFill/>
        <a:ln w="25398">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099" b="1"/>
              <a:t>Figure 10:</a:t>
            </a:r>
            <a:r>
              <a:rPr lang="en-AU" sz="1099" b="1" baseline="0"/>
              <a:t> </a:t>
            </a:r>
            <a:r>
              <a:rPr lang="en-AU" sz="1099" b="1"/>
              <a:t>Age at retirement by selected reason for retirement</a:t>
            </a: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Male</c:v>
                </c:pt>
              </c:strCache>
            </c:strRef>
          </c:tx>
          <c:spPr>
            <a:solidFill>
              <a:schemeClr val="accent1">
                <a:shade val="76000"/>
              </a:schemeClr>
            </a:solidFill>
            <a:ln>
              <a:noFill/>
            </a:ln>
            <a:effectLst/>
          </c:spPr>
          <c:invertIfNegative val="0"/>
          <c:dPt>
            <c:idx val="3"/>
            <c:invertIfNegative val="0"/>
            <c:bubble3D val="0"/>
            <c:spPr>
              <a:solidFill>
                <a:srgbClr val="ED7D31">
                  <a:lumMod val="75000"/>
                </a:srgbClr>
              </a:solidFill>
              <a:ln>
                <a:noFill/>
              </a:ln>
              <a:effectLst/>
            </c:spPr>
            <c:extLst>
              <c:ext xmlns:c16="http://schemas.microsoft.com/office/drawing/2014/chart" uri="{C3380CC4-5D6E-409C-BE32-E72D297353CC}">
                <c16:uniqueId val="{00000000-C279-45DC-B289-ABCC38DE6996}"/>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Retrenched/dismissed/no work available</c:v>
                </c:pt>
                <c:pt idx="1">
                  <c:v>Temporary/seasonal/holiday job</c:v>
                </c:pt>
                <c:pt idx="2">
                  <c:v>Reached retirement age/eligible for superannuation/pension</c:v>
                </c:pt>
                <c:pt idx="3">
                  <c:v>Own sickness, injury or disability</c:v>
                </c:pt>
                <c:pt idx="4">
                  <c:v>To have holiday/pursue leisure activities</c:v>
                </c:pt>
                <c:pt idx="5">
                  <c:v>To care for ill/disabled/elderly person</c:v>
                </c:pt>
              </c:strCache>
            </c:strRef>
          </c:cat>
          <c:val>
            <c:numRef>
              <c:f>Sheet1!$B$2:$B$7</c:f>
              <c:numCache>
                <c:formatCode>#,##0.0</c:formatCode>
                <c:ptCount val="6"/>
                <c:pt idx="0">
                  <c:v>59.2</c:v>
                </c:pt>
                <c:pt idx="1">
                  <c:v>65.7</c:v>
                </c:pt>
                <c:pt idx="2">
                  <c:v>64.099999999999994</c:v>
                </c:pt>
                <c:pt idx="3">
                  <c:v>54.9</c:v>
                </c:pt>
                <c:pt idx="4">
                  <c:v>61</c:v>
                </c:pt>
                <c:pt idx="5">
                  <c:v>59.6</c:v>
                </c:pt>
              </c:numCache>
            </c:numRef>
          </c:val>
          <c:extLst>
            <c:ext xmlns:c16="http://schemas.microsoft.com/office/drawing/2014/chart" uri="{C3380CC4-5D6E-409C-BE32-E72D297353CC}">
              <c16:uniqueId val="{00000001-C279-45DC-B289-ABCC38DE6996}"/>
            </c:ext>
          </c:extLst>
        </c:ser>
        <c:ser>
          <c:idx val="1"/>
          <c:order val="1"/>
          <c:tx>
            <c:strRef>
              <c:f>Sheet1!$C$1</c:f>
              <c:strCache>
                <c:ptCount val="1"/>
                <c:pt idx="0">
                  <c:v>Female</c:v>
                </c:pt>
              </c:strCache>
            </c:strRef>
          </c:tx>
          <c:spPr>
            <a:solidFill>
              <a:schemeClr val="accent1">
                <a:tint val="77000"/>
              </a:schemeClr>
            </a:solidFill>
            <a:ln>
              <a:noFill/>
            </a:ln>
            <a:effectLst/>
          </c:spPr>
          <c:invertIfNegative val="0"/>
          <c:dPt>
            <c:idx val="3"/>
            <c:invertIfNegative val="0"/>
            <c:bubble3D val="0"/>
            <c:spPr>
              <a:solidFill>
                <a:srgbClr val="ED7D31">
                  <a:lumMod val="60000"/>
                  <a:lumOff val="40000"/>
                </a:srgbClr>
              </a:solidFill>
              <a:ln>
                <a:noFill/>
              </a:ln>
              <a:effectLst/>
            </c:spPr>
            <c:extLst>
              <c:ext xmlns:c16="http://schemas.microsoft.com/office/drawing/2014/chart" uri="{C3380CC4-5D6E-409C-BE32-E72D297353CC}">
                <c16:uniqueId val="{00000002-C279-45DC-B289-ABCC38DE6996}"/>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Retrenched/dismissed/no work available</c:v>
                </c:pt>
                <c:pt idx="1">
                  <c:v>Temporary/seasonal/holiday job</c:v>
                </c:pt>
                <c:pt idx="2">
                  <c:v>Reached retirement age/eligible for superannuation/pension</c:v>
                </c:pt>
                <c:pt idx="3">
                  <c:v>Own sickness, injury or disability</c:v>
                </c:pt>
                <c:pt idx="4">
                  <c:v>To have holiday/pursue leisure activities</c:v>
                </c:pt>
                <c:pt idx="5">
                  <c:v>To care for ill/disabled/elderly person</c:v>
                </c:pt>
              </c:strCache>
            </c:strRef>
          </c:cat>
          <c:val>
            <c:numRef>
              <c:f>Sheet1!$C$2:$C$7</c:f>
              <c:numCache>
                <c:formatCode>#,##0.0</c:formatCode>
                <c:ptCount val="6"/>
                <c:pt idx="0">
                  <c:v>57</c:v>
                </c:pt>
                <c:pt idx="1">
                  <c:v>59.2</c:v>
                </c:pt>
                <c:pt idx="2">
                  <c:v>61.9</c:v>
                </c:pt>
                <c:pt idx="3">
                  <c:v>53</c:v>
                </c:pt>
                <c:pt idx="4">
                  <c:v>54.8</c:v>
                </c:pt>
                <c:pt idx="5">
                  <c:v>53.7</c:v>
                </c:pt>
              </c:numCache>
            </c:numRef>
          </c:val>
          <c:extLst>
            <c:ext xmlns:c16="http://schemas.microsoft.com/office/drawing/2014/chart" uri="{C3380CC4-5D6E-409C-BE32-E72D297353CC}">
              <c16:uniqueId val="{00000003-C279-45DC-B289-ABCC38DE6996}"/>
            </c:ext>
          </c:extLst>
        </c:ser>
        <c:dLbls>
          <c:showLegendKey val="0"/>
          <c:showVal val="0"/>
          <c:showCatName val="0"/>
          <c:showSerName val="0"/>
          <c:showPercent val="0"/>
          <c:showBubbleSize val="0"/>
        </c:dLbls>
        <c:gapWidth val="182"/>
        <c:axId val="178747216"/>
        <c:axId val="1"/>
      </c:barChart>
      <c:catAx>
        <c:axId val="178747216"/>
        <c:scaling>
          <c:orientation val="minMax"/>
        </c:scaling>
        <c:delete val="0"/>
        <c:axPos val="l"/>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max val="67"/>
          <c:min val="50"/>
        </c:scaling>
        <c:delete val="0"/>
        <c:axPos val="b"/>
        <c:majorGridlines>
          <c:spPr>
            <a:ln w="9519" cap="flat" cmpd="sng" algn="ctr">
              <a:solidFill>
                <a:schemeClr val="tx1">
                  <a:lumMod val="15000"/>
                  <a:lumOff val="85000"/>
                </a:schemeClr>
              </a:solidFill>
              <a:round/>
            </a:ln>
            <a:effectLst/>
          </c:spPr>
        </c:majorGridlines>
        <c:title>
          <c:tx>
            <c:rich>
              <a:bodyPr/>
              <a:lstStyle/>
              <a:p>
                <a:pPr>
                  <a:defRPr sz="899" b="0" i="0" u="none" strike="noStrike" baseline="0">
                    <a:solidFill>
                      <a:srgbClr val="000000"/>
                    </a:solidFill>
                    <a:latin typeface="Arial"/>
                    <a:ea typeface="Arial"/>
                    <a:cs typeface="Arial"/>
                  </a:defRPr>
                </a:pPr>
                <a:r>
                  <a:rPr lang="en-AU"/>
                  <a:t>Age at retirement (years)</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747216"/>
        <c:crosses val="autoZero"/>
        <c:crossBetween val="between"/>
        <c:majorUnit val="4"/>
      </c:valAx>
      <c:spPr>
        <a:noFill/>
        <a:ln w="25384">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1"/>
              <a:t>Figure 11: Median total wealth of people aged 45 </a:t>
            </a:r>
            <a:r>
              <a:rPr lang="en-AU" sz="1200" b="1" i="0" u="none" strike="noStrike" baseline="0">
                <a:effectLst/>
              </a:rPr>
              <a:t>- </a:t>
            </a:r>
            <a:r>
              <a:rPr lang="en-US" sz="1100" b="1"/>
              <a:t>64 years by chronic condition</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tx>
                <c:rich>
                  <a:bodyPr wrap="square" lIns="38100" tIns="19050" rIns="38100" bIns="19050" anchor="ctr">
                    <a:spAutoFit/>
                  </a:bodyPr>
                  <a:lstStyle/>
                  <a:p>
                    <a:pPr>
                      <a:defRPr sz="900"/>
                    </a:pPr>
                    <a:r>
                      <a:rPr lang="en-US" sz="900"/>
                      <a:t>$</a:t>
                    </a:r>
                    <a:fld id="{D2B9DEC0-8C78-479F-9313-349BE17CBF08}"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4802-4430-BA2C-67ED7A73F302}"/>
                </c:ext>
              </c:extLst>
            </c:dLbl>
            <c:dLbl>
              <c:idx val="1"/>
              <c:layout/>
              <c:tx>
                <c:rich>
                  <a:bodyPr wrap="square" lIns="38100" tIns="19050" rIns="38100" bIns="19050" anchor="ctr">
                    <a:spAutoFit/>
                  </a:bodyPr>
                  <a:lstStyle/>
                  <a:p>
                    <a:pPr>
                      <a:defRPr sz="900"/>
                    </a:pPr>
                    <a:r>
                      <a:rPr lang="en-US" sz="900"/>
                      <a:t>$</a:t>
                    </a:r>
                    <a:fld id="{D93F5F16-7863-418F-BDB3-E787CF90DCD7}"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802-4430-BA2C-67ED7A73F302}"/>
                </c:ext>
              </c:extLst>
            </c:dLbl>
            <c:dLbl>
              <c:idx val="2"/>
              <c:layout/>
              <c:tx>
                <c:rich>
                  <a:bodyPr wrap="square" lIns="38100" tIns="19050" rIns="38100" bIns="19050" anchor="ctr">
                    <a:spAutoFit/>
                  </a:bodyPr>
                  <a:lstStyle/>
                  <a:p>
                    <a:pPr>
                      <a:defRPr sz="900"/>
                    </a:pPr>
                    <a:r>
                      <a:rPr lang="en-US" sz="900"/>
                      <a:t>$</a:t>
                    </a:r>
                    <a:fld id="{79751557-E8FF-4452-A748-8713362AEF73}"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4802-4430-BA2C-67ED7A73F302}"/>
                </c:ext>
              </c:extLst>
            </c:dLbl>
            <c:dLbl>
              <c:idx val="3"/>
              <c:layout/>
              <c:tx>
                <c:rich>
                  <a:bodyPr wrap="square" lIns="38100" tIns="19050" rIns="38100" bIns="19050" anchor="ctr">
                    <a:spAutoFit/>
                  </a:bodyPr>
                  <a:lstStyle/>
                  <a:p>
                    <a:pPr>
                      <a:defRPr sz="900"/>
                    </a:pPr>
                    <a:r>
                      <a:rPr lang="en-US" sz="900"/>
                      <a:t>$</a:t>
                    </a:r>
                    <a:fld id="{66C06B77-AF82-432E-8372-5B33688FDBBC}"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802-4430-BA2C-67ED7A73F302}"/>
                </c:ext>
              </c:extLst>
            </c:dLbl>
            <c:dLbl>
              <c:idx val="4"/>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597-436A-B427-7B8E90AEEF74}"/>
                </c:ext>
              </c:extLst>
            </c:dLbl>
            <c:dLbl>
              <c:idx val="5"/>
              <c:layout/>
              <c:tx>
                <c:rich>
                  <a:bodyPr wrap="square" lIns="38100" tIns="19050" rIns="38100" bIns="19050" anchor="ctr">
                    <a:spAutoFit/>
                  </a:bodyPr>
                  <a:lstStyle/>
                  <a:p>
                    <a:pPr>
                      <a:defRPr sz="900"/>
                    </a:pPr>
                    <a:r>
                      <a:rPr lang="en-US"/>
                      <a:t>$</a:t>
                    </a:r>
                    <a:fld id="{505A3E36-D17D-4901-AA2F-E14DB311E974}" type="VALUE">
                      <a:rPr lang="en-US"/>
                      <a:pPr>
                        <a:defRPr sz="900"/>
                      </a:pPr>
                      <a:t>[VALUE]</a:t>
                    </a:fld>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4802-4430-BA2C-67ED7A73F302}"/>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Employed full-time, no Chronic Condition</c:v>
                </c:pt>
                <c:pt idx="1">
                  <c:v>NILF due to depression</c:v>
                </c:pt>
                <c:pt idx="2">
                  <c:v>NILF due to other Mental Illness</c:v>
                </c:pt>
                <c:pt idx="3">
                  <c:v>NILF due to back pain</c:v>
                </c:pt>
                <c:pt idx="4">
                  <c:v>NILF due to cardiovascular disease</c:v>
                </c:pt>
                <c:pt idx="5">
                  <c:v>NILF due to arthritis</c:v>
                </c:pt>
              </c:strCache>
            </c:strRef>
          </c:cat>
          <c:val>
            <c:numRef>
              <c:f>Sheet1!$B$2:$B$7</c:f>
              <c:numCache>
                <c:formatCode>#,##0</c:formatCode>
                <c:ptCount val="6"/>
                <c:pt idx="0">
                  <c:v>255199</c:v>
                </c:pt>
                <c:pt idx="1">
                  <c:v>212809</c:v>
                </c:pt>
                <c:pt idx="2">
                  <c:v>112315</c:v>
                </c:pt>
                <c:pt idx="3">
                  <c:v>138147</c:v>
                </c:pt>
                <c:pt idx="4" formatCode="&quot;$&quot;#,##0_);[Red]\(&quot;$&quot;#,##0\)">
                  <c:v>157600</c:v>
                </c:pt>
                <c:pt idx="5">
                  <c:v>148000</c:v>
                </c:pt>
              </c:numCache>
            </c:numRef>
          </c:val>
          <c:extLst>
            <c:ext xmlns:c16="http://schemas.microsoft.com/office/drawing/2014/chart" uri="{C3380CC4-5D6E-409C-BE32-E72D297353CC}">
              <c16:uniqueId val="{00000005-4802-4430-BA2C-67ED7A73F302}"/>
            </c:ext>
          </c:extLst>
        </c:ser>
        <c:dLbls>
          <c:dLblPos val="outEnd"/>
          <c:showLegendKey val="0"/>
          <c:showVal val="1"/>
          <c:showCatName val="0"/>
          <c:showSerName val="0"/>
          <c:showPercent val="0"/>
          <c:showBubbleSize val="0"/>
        </c:dLbls>
        <c:gapWidth val="219"/>
        <c:overlap val="-27"/>
        <c:axId val="132272520"/>
        <c:axId val="1"/>
      </c:barChart>
      <c:catAx>
        <c:axId val="13227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Total wealth ($)</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2272520"/>
        <c:crosses val="autoZero"/>
        <c:crossBetween val="between"/>
      </c:valAx>
      <c:spPr>
        <a:noFill/>
        <a:ln w="25399">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099" b="1"/>
              <a:t>Figure 12: Total median wealth of people aged 45 - 64 years by number of chronic conditions</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tx>
                <c:rich>
                  <a:bodyPr wrap="square" lIns="38100" tIns="19050" rIns="38100" bIns="19050" anchor="ctr">
                    <a:spAutoFit/>
                  </a:bodyPr>
                  <a:lstStyle/>
                  <a:p>
                    <a:pPr>
                      <a:defRPr sz="900"/>
                    </a:pPr>
                    <a:r>
                      <a:rPr lang="en-US" sz="900"/>
                      <a:t>$</a:t>
                    </a:r>
                    <a:fld id="{3FA6A230-8B16-4E4D-BC6D-E1B7B7A4AF37}"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14ED-406D-B8DC-DDE2BF68C286}"/>
                </c:ext>
              </c:extLst>
            </c:dLbl>
            <c:dLbl>
              <c:idx val="1"/>
              <c:layout/>
              <c:tx>
                <c:rich>
                  <a:bodyPr wrap="square" lIns="38100" tIns="19050" rIns="38100" bIns="19050" anchor="ctr">
                    <a:spAutoFit/>
                  </a:bodyPr>
                  <a:lstStyle/>
                  <a:p>
                    <a:pPr>
                      <a:defRPr sz="900"/>
                    </a:pPr>
                    <a:r>
                      <a:rPr lang="en-US" sz="900"/>
                      <a:t>$</a:t>
                    </a:r>
                    <a:fld id="{90C47473-5D1C-47C6-A518-03818873859C}"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4ED-406D-B8DC-DDE2BF68C286}"/>
                </c:ext>
              </c:extLst>
            </c:dLbl>
            <c:dLbl>
              <c:idx val="2"/>
              <c:layout/>
              <c:tx>
                <c:rich>
                  <a:bodyPr wrap="square" lIns="38100" tIns="19050" rIns="38100" bIns="19050" anchor="ctr">
                    <a:spAutoFit/>
                  </a:bodyPr>
                  <a:lstStyle/>
                  <a:p>
                    <a:pPr>
                      <a:defRPr sz="900"/>
                    </a:pPr>
                    <a:r>
                      <a:rPr lang="en-US" sz="900"/>
                      <a:t>$</a:t>
                    </a:r>
                    <a:fld id="{CDF821CE-2173-472B-9DCB-76CDD82D6748}"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4ED-406D-B8DC-DDE2BF68C286}"/>
                </c:ext>
              </c:extLst>
            </c:dLbl>
            <c:dLbl>
              <c:idx val="3"/>
              <c:layout/>
              <c:tx>
                <c:rich>
                  <a:bodyPr wrap="square" lIns="38100" tIns="19050" rIns="38100" bIns="19050" anchor="ctr">
                    <a:spAutoFit/>
                  </a:bodyPr>
                  <a:lstStyle/>
                  <a:p>
                    <a:pPr>
                      <a:defRPr sz="900"/>
                    </a:pPr>
                    <a:r>
                      <a:rPr lang="en-US" sz="900"/>
                      <a:t>$</a:t>
                    </a:r>
                    <a:fld id="{59581C41-4139-4309-87E4-ADC41A3F4477}"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14ED-406D-B8DC-DDE2BF68C286}"/>
                </c:ext>
              </c:extLst>
            </c:dLbl>
            <c:dLbl>
              <c:idx val="4"/>
              <c:layout/>
              <c:tx>
                <c:rich>
                  <a:bodyPr wrap="square" lIns="38100" tIns="19050" rIns="38100" bIns="19050" anchor="ctr">
                    <a:spAutoFit/>
                  </a:bodyPr>
                  <a:lstStyle/>
                  <a:p>
                    <a:pPr>
                      <a:defRPr sz="900"/>
                    </a:pPr>
                    <a:r>
                      <a:rPr lang="en-US" sz="900"/>
                      <a:t>$</a:t>
                    </a:r>
                    <a:fld id="{0E146F5B-5CD9-4C71-89F6-AC71FB9AB067}" type="VALUE">
                      <a:rPr lang="en-US" sz="900"/>
                      <a:pPr>
                        <a:defRPr sz="900"/>
                      </a:pPr>
                      <a:t>[VALUE]</a:t>
                    </a:fld>
                    <a:endParaRPr lang="en-US" sz="9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14ED-406D-B8DC-DDE2BF68C28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No chronic condition</c:v>
                </c:pt>
                <c:pt idx="1">
                  <c:v>One chronic condition</c:v>
                </c:pt>
                <c:pt idx="2">
                  <c:v>Two chronic conditions </c:v>
                </c:pt>
                <c:pt idx="3">
                  <c:v>Three chronic conditions</c:v>
                </c:pt>
                <c:pt idx="4">
                  <c:v>Four or more chronic conditions</c:v>
                </c:pt>
              </c:strCache>
            </c:strRef>
          </c:cat>
          <c:val>
            <c:numRef>
              <c:f>Sheet1!$B$2:$B$6</c:f>
              <c:numCache>
                <c:formatCode>#,##0</c:formatCode>
                <c:ptCount val="5"/>
                <c:pt idx="0">
                  <c:v>255199</c:v>
                </c:pt>
                <c:pt idx="1">
                  <c:v>253700</c:v>
                </c:pt>
                <c:pt idx="2">
                  <c:v>246200</c:v>
                </c:pt>
                <c:pt idx="3">
                  <c:v>170800</c:v>
                </c:pt>
                <c:pt idx="4">
                  <c:v>150200</c:v>
                </c:pt>
              </c:numCache>
            </c:numRef>
          </c:val>
          <c:extLst>
            <c:ext xmlns:c16="http://schemas.microsoft.com/office/drawing/2014/chart" uri="{C3380CC4-5D6E-409C-BE32-E72D297353CC}">
              <c16:uniqueId val="{00000005-14ED-406D-B8DC-DDE2BF68C286}"/>
            </c:ext>
          </c:extLst>
        </c:ser>
        <c:dLbls>
          <c:dLblPos val="outEnd"/>
          <c:showLegendKey val="0"/>
          <c:showVal val="1"/>
          <c:showCatName val="0"/>
          <c:showSerName val="0"/>
          <c:showPercent val="0"/>
          <c:showBubbleSize val="0"/>
        </c:dLbls>
        <c:gapWidth val="219"/>
        <c:overlap val="-27"/>
        <c:axId val="176711328"/>
        <c:axId val="1"/>
      </c:barChart>
      <c:catAx>
        <c:axId val="176711328"/>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Total wealth ($)</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6711328"/>
        <c:crosses val="autoZero"/>
        <c:crossBetween val="between"/>
      </c:valAx>
      <c:spPr>
        <a:noFill/>
        <a:ln w="25382">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100" b="1"/>
              <a:t>Figure 2: Workforce partcipation by age group and chronic condition status</a:t>
            </a:r>
          </a:p>
        </c:rich>
      </c:tx>
      <c:layout/>
      <c:overlay val="0"/>
      <c:spPr>
        <a:noFill/>
        <a:ln>
          <a:noFill/>
        </a:ln>
        <a:effectLst/>
      </c:spPr>
    </c:title>
    <c:autoTitleDeleted val="0"/>
    <c:plotArea>
      <c:layout>
        <c:manualLayout>
          <c:layoutTarget val="inner"/>
          <c:xMode val="edge"/>
          <c:yMode val="edge"/>
          <c:x val="0.12617097243009914"/>
          <c:y val="0.31883392662576598"/>
          <c:w val="0.83524487538231273"/>
          <c:h val="0.57800489644676767"/>
        </c:manualLayout>
      </c:layout>
      <c:lineChart>
        <c:grouping val="standard"/>
        <c:varyColors val="0"/>
        <c:ser>
          <c:idx val="0"/>
          <c:order val="0"/>
          <c:tx>
            <c:strRef>
              <c:f>Sheet1!$B$1</c:f>
              <c:strCache>
                <c:ptCount val="1"/>
                <c:pt idx="0">
                  <c:v>Employed no chronic condition</c:v>
                </c:pt>
              </c:strCache>
            </c:strRef>
          </c:tx>
          <c:spPr>
            <a:ln w="28563" cap="rnd" cmpd="sng" algn="ctr">
              <a:solidFill>
                <a:schemeClr val="accent1">
                  <a:shade val="95000"/>
                  <a:satMod val="105000"/>
                </a:schemeClr>
              </a:solidFill>
              <a:prstDash val="solid"/>
              <a:round/>
            </a:ln>
            <a:effectLst/>
          </c:spPr>
          <c:marker>
            <c:symbol val="none"/>
          </c:marker>
          <c:cat>
            <c:strRef>
              <c:f>Sheet1!$A$2:$A$5</c:f>
              <c:strCache>
                <c:ptCount val="4"/>
                <c:pt idx="0">
                  <c:v>25-34 </c:v>
                </c:pt>
                <c:pt idx="1">
                  <c:v>35-44</c:v>
                </c:pt>
                <c:pt idx="2">
                  <c:v>45-54</c:v>
                </c:pt>
                <c:pt idx="3">
                  <c:v>55-64</c:v>
                </c:pt>
              </c:strCache>
            </c:strRef>
          </c:cat>
          <c:val>
            <c:numRef>
              <c:f>Sheet1!$B$2:$B$5</c:f>
              <c:numCache>
                <c:formatCode>0.00%</c:formatCode>
                <c:ptCount val="4"/>
                <c:pt idx="0">
                  <c:v>0.83299999999999996</c:v>
                </c:pt>
                <c:pt idx="1">
                  <c:v>0.84699999999999998</c:v>
                </c:pt>
                <c:pt idx="2">
                  <c:v>0.84899999999999998</c:v>
                </c:pt>
                <c:pt idx="3">
                  <c:v>0.64100000000000001</c:v>
                </c:pt>
              </c:numCache>
            </c:numRef>
          </c:val>
          <c:smooth val="0"/>
          <c:extLst>
            <c:ext xmlns:c16="http://schemas.microsoft.com/office/drawing/2014/chart" uri="{C3380CC4-5D6E-409C-BE32-E72D297353CC}">
              <c16:uniqueId val="{00000000-EC01-49F0-8D6B-CFE0EB9FFA07}"/>
            </c:ext>
          </c:extLst>
        </c:ser>
        <c:ser>
          <c:idx val="1"/>
          <c:order val="1"/>
          <c:tx>
            <c:strRef>
              <c:f>Sheet1!$C$1</c:f>
              <c:strCache>
                <c:ptCount val="1"/>
                <c:pt idx="0">
                  <c:v>Employed chronic condition</c:v>
                </c:pt>
              </c:strCache>
            </c:strRef>
          </c:tx>
          <c:spPr>
            <a:ln w="28563" cap="rnd" cmpd="sng" algn="ctr">
              <a:solidFill>
                <a:schemeClr val="accent2">
                  <a:shade val="95000"/>
                  <a:satMod val="105000"/>
                </a:schemeClr>
              </a:solidFill>
              <a:prstDash val="solid"/>
              <a:round/>
            </a:ln>
            <a:effectLst/>
          </c:spPr>
          <c:marker>
            <c:symbol val="none"/>
          </c:marker>
          <c:cat>
            <c:strRef>
              <c:f>Sheet1!$A$2:$A$5</c:f>
              <c:strCache>
                <c:ptCount val="4"/>
                <c:pt idx="0">
                  <c:v>25-34 </c:v>
                </c:pt>
                <c:pt idx="1">
                  <c:v>35-44</c:v>
                </c:pt>
                <c:pt idx="2">
                  <c:v>45-54</c:v>
                </c:pt>
                <c:pt idx="3">
                  <c:v>55-64</c:v>
                </c:pt>
              </c:strCache>
            </c:strRef>
          </c:cat>
          <c:val>
            <c:numRef>
              <c:f>Sheet1!$C$2:$C$5</c:f>
              <c:numCache>
                <c:formatCode>0.00%</c:formatCode>
                <c:ptCount val="4"/>
                <c:pt idx="0">
                  <c:v>0.77700000000000002</c:v>
                </c:pt>
                <c:pt idx="1">
                  <c:v>0.73299999999999998</c:v>
                </c:pt>
                <c:pt idx="2" formatCode="0%">
                  <c:v>0.72699999999999998</c:v>
                </c:pt>
                <c:pt idx="3">
                  <c:v>0.46500000000000002</c:v>
                </c:pt>
              </c:numCache>
            </c:numRef>
          </c:val>
          <c:smooth val="0"/>
          <c:extLst>
            <c:ext xmlns:c16="http://schemas.microsoft.com/office/drawing/2014/chart" uri="{C3380CC4-5D6E-409C-BE32-E72D297353CC}">
              <c16:uniqueId val="{00000001-EC01-49F0-8D6B-CFE0EB9FFA07}"/>
            </c:ext>
          </c:extLst>
        </c:ser>
        <c:ser>
          <c:idx val="2"/>
          <c:order val="2"/>
          <c:tx>
            <c:strRef>
              <c:f>Sheet1!$D$1</c:f>
              <c:strCache>
                <c:ptCount val="1"/>
                <c:pt idx="0">
                  <c:v>NILF no chronic condition</c:v>
                </c:pt>
              </c:strCache>
            </c:strRef>
          </c:tx>
          <c:spPr>
            <a:ln w="28563" cap="rnd" cmpd="sng" algn="ctr">
              <a:solidFill>
                <a:schemeClr val="accent3">
                  <a:shade val="95000"/>
                  <a:satMod val="105000"/>
                </a:schemeClr>
              </a:solidFill>
              <a:prstDash val="solid"/>
              <a:round/>
            </a:ln>
            <a:effectLst/>
          </c:spPr>
          <c:marker>
            <c:symbol val="none"/>
          </c:marker>
          <c:cat>
            <c:strRef>
              <c:f>Sheet1!$A$2:$A$5</c:f>
              <c:strCache>
                <c:ptCount val="4"/>
                <c:pt idx="0">
                  <c:v>25-34 </c:v>
                </c:pt>
                <c:pt idx="1">
                  <c:v>35-44</c:v>
                </c:pt>
                <c:pt idx="2">
                  <c:v>45-54</c:v>
                </c:pt>
                <c:pt idx="3">
                  <c:v>55-64</c:v>
                </c:pt>
              </c:strCache>
            </c:strRef>
          </c:cat>
          <c:val>
            <c:numRef>
              <c:f>Sheet1!$D$2:$D$5</c:f>
              <c:numCache>
                <c:formatCode>0.00%</c:formatCode>
                <c:ptCount val="4"/>
                <c:pt idx="0">
                  <c:v>0.13300000000000001</c:v>
                </c:pt>
                <c:pt idx="1">
                  <c:v>0.13300000000000001</c:v>
                </c:pt>
                <c:pt idx="2">
                  <c:v>0.13100000000000001</c:v>
                </c:pt>
                <c:pt idx="3">
                  <c:v>0.34300000000000003</c:v>
                </c:pt>
              </c:numCache>
            </c:numRef>
          </c:val>
          <c:smooth val="0"/>
          <c:extLst>
            <c:ext xmlns:c16="http://schemas.microsoft.com/office/drawing/2014/chart" uri="{C3380CC4-5D6E-409C-BE32-E72D297353CC}">
              <c16:uniqueId val="{00000002-EC01-49F0-8D6B-CFE0EB9FFA07}"/>
            </c:ext>
          </c:extLst>
        </c:ser>
        <c:ser>
          <c:idx val="3"/>
          <c:order val="3"/>
          <c:tx>
            <c:strRef>
              <c:f>Sheet1!$E$1</c:f>
              <c:strCache>
                <c:ptCount val="1"/>
                <c:pt idx="0">
                  <c:v>NILF chronic condition</c:v>
                </c:pt>
              </c:strCache>
            </c:strRef>
          </c:tx>
          <c:spPr>
            <a:ln w="28563" cap="rnd" cmpd="sng" algn="ctr">
              <a:solidFill>
                <a:srgbClr val="7030A0"/>
              </a:solidFill>
              <a:prstDash val="solid"/>
              <a:round/>
            </a:ln>
            <a:effectLst/>
          </c:spPr>
          <c:marker>
            <c:symbol val="none"/>
          </c:marker>
          <c:cat>
            <c:strRef>
              <c:f>Sheet1!$A$2:$A$5</c:f>
              <c:strCache>
                <c:ptCount val="4"/>
                <c:pt idx="0">
                  <c:v>25-34 </c:v>
                </c:pt>
                <c:pt idx="1">
                  <c:v>35-44</c:v>
                </c:pt>
                <c:pt idx="2">
                  <c:v>45-54</c:v>
                </c:pt>
                <c:pt idx="3">
                  <c:v>55-64</c:v>
                </c:pt>
              </c:strCache>
            </c:strRef>
          </c:cat>
          <c:val>
            <c:numRef>
              <c:f>Sheet1!$E$2:$E$5</c:f>
              <c:numCache>
                <c:formatCode>0.00%</c:formatCode>
                <c:ptCount val="4"/>
                <c:pt idx="0">
                  <c:v>0.17199999999999999</c:v>
                </c:pt>
                <c:pt idx="1">
                  <c:v>0.22600000000000001</c:v>
                </c:pt>
                <c:pt idx="2">
                  <c:v>0.248</c:v>
                </c:pt>
                <c:pt idx="3">
                  <c:v>0.52800000000000002</c:v>
                </c:pt>
              </c:numCache>
            </c:numRef>
          </c:val>
          <c:smooth val="0"/>
          <c:extLst>
            <c:ext xmlns:c16="http://schemas.microsoft.com/office/drawing/2014/chart" uri="{C3380CC4-5D6E-409C-BE32-E72D297353CC}">
              <c16:uniqueId val="{00000003-EC01-49F0-8D6B-CFE0EB9FFA07}"/>
            </c:ext>
          </c:extLst>
        </c:ser>
        <c:ser>
          <c:idx val="4"/>
          <c:order val="4"/>
          <c:tx>
            <c:strRef>
              <c:f>Sheet1!$F$1</c:f>
              <c:strCache>
                <c:ptCount val="1"/>
                <c:pt idx="0">
                  <c:v>Unemployed no chronic condition</c:v>
                </c:pt>
              </c:strCache>
            </c:strRef>
          </c:tx>
          <c:spPr>
            <a:ln w="28563" cap="rnd" cmpd="sng" algn="ctr">
              <a:solidFill>
                <a:schemeClr val="accent5">
                  <a:shade val="95000"/>
                  <a:satMod val="105000"/>
                </a:schemeClr>
              </a:solidFill>
              <a:prstDash val="solid"/>
              <a:round/>
            </a:ln>
            <a:effectLst/>
          </c:spPr>
          <c:marker>
            <c:symbol val="none"/>
          </c:marker>
          <c:cat>
            <c:strRef>
              <c:f>Sheet1!$A$2:$A$5</c:f>
              <c:strCache>
                <c:ptCount val="4"/>
                <c:pt idx="0">
                  <c:v>25-34 </c:v>
                </c:pt>
                <c:pt idx="1">
                  <c:v>35-44</c:v>
                </c:pt>
                <c:pt idx="2">
                  <c:v>45-54</c:v>
                </c:pt>
                <c:pt idx="3">
                  <c:v>55-64</c:v>
                </c:pt>
              </c:strCache>
            </c:strRef>
          </c:cat>
          <c:val>
            <c:numRef>
              <c:f>Sheet1!$F$2:$F$5</c:f>
              <c:numCache>
                <c:formatCode>0.00%</c:formatCode>
                <c:ptCount val="4"/>
                <c:pt idx="0">
                  <c:v>3.3000000000000002E-2</c:v>
                </c:pt>
                <c:pt idx="1">
                  <c:v>0.02</c:v>
                </c:pt>
                <c:pt idx="2">
                  <c:v>1.9E-2</c:v>
                </c:pt>
                <c:pt idx="3">
                  <c:v>1.6E-2</c:v>
                </c:pt>
              </c:numCache>
            </c:numRef>
          </c:val>
          <c:smooth val="0"/>
          <c:extLst>
            <c:ext xmlns:c16="http://schemas.microsoft.com/office/drawing/2014/chart" uri="{C3380CC4-5D6E-409C-BE32-E72D297353CC}">
              <c16:uniqueId val="{00000004-EC01-49F0-8D6B-CFE0EB9FFA07}"/>
            </c:ext>
          </c:extLst>
        </c:ser>
        <c:ser>
          <c:idx val="5"/>
          <c:order val="5"/>
          <c:tx>
            <c:strRef>
              <c:f>Sheet1!$G$1</c:f>
              <c:strCache>
                <c:ptCount val="1"/>
                <c:pt idx="0">
                  <c:v>Unemployed chronic condition</c:v>
                </c:pt>
              </c:strCache>
            </c:strRef>
          </c:tx>
          <c:spPr>
            <a:ln w="28563" cap="rnd" cmpd="sng" algn="ctr">
              <a:solidFill>
                <a:schemeClr val="accent6">
                  <a:shade val="95000"/>
                  <a:satMod val="105000"/>
                </a:schemeClr>
              </a:solidFill>
              <a:prstDash val="solid"/>
              <a:round/>
            </a:ln>
            <a:effectLst/>
          </c:spPr>
          <c:marker>
            <c:symbol val="none"/>
          </c:marker>
          <c:cat>
            <c:strRef>
              <c:f>Sheet1!$A$2:$A$5</c:f>
              <c:strCache>
                <c:ptCount val="4"/>
                <c:pt idx="0">
                  <c:v>25-34 </c:v>
                </c:pt>
                <c:pt idx="1">
                  <c:v>35-44</c:v>
                </c:pt>
                <c:pt idx="2">
                  <c:v>45-54</c:v>
                </c:pt>
                <c:pt idx="3">
                  <c:v>55-64</c:v>
                </c:pt>
              </c:strCache>
            </c:strRef>
          </c:cat>
          <c:val>
            <c:numRef>
              <c:f>Sheet1!$G$2:$G$5</c:f>
              <c:numCache>
                <c:formatCode>0.00%</c:formatCode>
                <c:ptCount val="4"/>
                <c:pt idx="0" formatCode="0%">
                  <c:v>5.0999999999999997E-2</c:v>
                </c:pt>
                <c:pt idx="1">
                  <c:v>4.1000000000000002E-2</c:v>
                </c:pt>
                <c:pt idx="2">
                  <c:v>2.5000000000000001E-2</c:v>
                </c:pt>
                <c:pt idx="3">
                  <c:v>1.4E-2</c:v>
                </c:pt>
              </c:numCache>
            </c:numRef>
          </c:val>
          <c:smooth val="0"/>
          <c:extLst>
            <c:ext xmlns:c16="http://schemas.microsoft.com/office/drawing/2014/chart" uri="{C3380CC4-5D6E-409C-BE32-E72D297353CC}">
              <c16:uniqueId val="{00000005-EC01-49F0-8D6B-CFE0EB9FFA07}"/>
            </c:ext>
          </c:extLst>
        </c:ser>
        <c:dLbls>
          <c:showLegendKey val="0"/>
          <c:showVal val="0"/>
          <c:showCatName val="0"/>
          <c:showSerName val="0"/>
          <c:showPercent val="0"/>
          <c:showBubbleSize val="0"/>
        </c:dLbls>
        <c:smooth val="0"/>
        <c:axId val="220979976"/>
        <c:axId val="1"/>
      </c:lineChart>
      <c:catAx>
        <c:axId val="220979976"/>
        <c:scaling>
          <c:orientation val="minMax"/>
        </c:scaling>
        <c:delete val="0"/>
        <c:axPos val="b"/>
        <c:title>
          <c:tx>
            <c:rich>
              <a:bodyPr/>
              <a:lstStyle/>
              <a:p>
                <a:pPr>
                  <a:defRPr b="0"/>
                </a:pPr>
                <a:r>
                  <a:rPr lang="en-AU" b="0"/>
                  <a:t>Age group (years)</a:t>
                </a:r>
              </a:p>
            </c:rich>
          </c:tx>
          <c:layout/>
          <c:overlay val="0"/>
        </c:title>
        <c:numFmt formatCode="General" sourceLinked="1"/>
        <c:majorTickMark val="none"/>
        <c:minorTickMark val="none"/>
        <c:tickLblPos val="nextTo"/>
        <c:spPr>
          <a:noFill/>
          <a:ln w="952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prstDash val="solid"/>
              <a:round/>
            </a:ln>
            <a:effectLst/>
          </c:spPr>
        </c:majorGridlines>
        <c:title>
          <c:tx>
            <c:rich>
              <a:bodyPr/>
              <a:lstStyle/>
              <a:p>
                <a:pPr>
                  <a:defRPr b="0"/>
                </a:pPr>
                <a:r>
                  <a:rPr lang="en-AU" b="0"/>
                  <a:t>Percentage (%)</a:t>
                </a:r>
              </a:p>
            </c:rich>
          </c:tx>
          <c:layout>
            <c:manualLayout>
              <c:xMode val="edge"/>
              <c:yMode val="edge"/>
              <c:x val="2.0936639118457299E-2"/>
              <c:y val="0.52302944484880565"/>
            </c:manualLayout>
          </c:layout>
          <c:overlay val="0"/>
        </c:title>
        <c:numFmt formatCode="0%" sourceLinked="0"/>
        <c:majorTickMark val="none"/>
        <c:minorTickMark val="none"/>
        <c:tickLblPos val="nextTo"/>
        <c:spPr>
          <a:noFill/>
          <a:ln w="9521" cap="flat" cmpd="sng" algn="ctr">
            <a:no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0979976"/>
        <c:crosses val="autoZero"/>
        <c:crossBetween val="midCat"/>
      </c:valAx>
      <c:spPr>
        <a:noFill/>
        <a:ln w="25389">
          <a:noFill/>
        </a:ln>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rot="-5400000" vert="horz"/>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100" b="1"/>
              <a:t>Figure 3: Workforce participation of those with multiple chronic health conditions (45-64 years old, 2009)</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In the labour force</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No chronic health condition</c:v>
                </c:pt>
                <c:pt idx="1">
                  <c:v>1</c:v>
                </c:pt>
                <c:pt idx="2">
                  <c:v>2</c:v>
                </c:pt>
                <c:pt idx="3">
                  <c:v>3</c:v>
                </c:pt>
                <c:pt idx="4">
                  <c:v>4+</c:v>
                </c:pt>
              </c:strCache>
            </c:strRef>
          </c:cat>
          <c:val>
            <c:numRef>
              <c:f>Sheet1!$B$2:$B$6</c:f>
              <c:numCache>
                <c:formatCode>0%</c:formatCode>
                <c:ptCount val="5"/>
                <c:pt idx="0">
                  <c:v>0.83</c:v>
                </c:pt>
                <c:pt idx="1">
                  <c:v>0.71</c:v>
                </c:pt>
                <c:pt idx="2">
                  <c:v>0.62</c:v>
                </c:pt>
                <c:pt idx="3">
                  <c:v>0.49</c:v>
                </c:pt>
                <c:pt idx="4">
                  <c:v>0.34</c:v>
                </c:pt>
              </c:numCache>
            </c:numRef>
          </c:val>
          <c:extLst>
            <c:ext xmlns:c16="http://schemas.microsoft.com/office/drawing/2014/chart" uri="{C3380CC4-5D6E-409C-BE32-E72D297353CC}">
              <c16:uniqueId val="{00000000-1A90-4526-8543-DF718D0EE9B8}"/>
            </c:ext>
          </c:extLst>
        </c:ser>
        <c:ser>
          <c:idx val="1"/>
          <c:order val="1"/>
          <c:tx>
            <c:strRef>
              <c:f>Sheet1!$C$1</c:f>
              <c:strCache>
                <c:ptCount val="1"/>
                <c:pt idx="0">
                  <c:v>Not in the labour force due to ill health</c:v>
                </c:pt>
              </c:strCache>
            </c:strRef>
          </c:tx>
          <c:spPr>
            <a:solidFill>
              <a:schemeClr val="accent1"/>
            </a:solidFill>
            <a:ln>
              <a:noFill/>
            </a:ln>
            <a:effectLst/>
          </c:spPr>
          <c:invertIfNegative val="0"/>
          <c:dLbls>
            <c:dLbl>
              <c:idx val="0"/>
              <c:layout/>
              <c:tx>
                <c:rich>
                  <a:bodyPr/>
                  <a:lstStyle/>
                  <a:p>
                    <a:r>
                      <a:rPr lang="en-US"/>
                      <a:t>N/A</a:t>
                    </a:r>
                  </a:p>
                </c:rich>
              </c:tx>
              <c:dLblPos val="outEnd"/>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A90-4526-8543-DF718D0EE9B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No chronic health condition</c:v>
                </c:pt>
                <c:pt idx="1">
                  <c:v>1</c:v>
                </c:pt>
                <c:pt idx="2">
                  <c:v>2</c:v>
                </c:pt>
                <c:pt idx="3">
                  <c:v>3</c:v>
                </c:pt>
                <c:pt idx="4">
                  <c:v>4+</c:v>
                </c:pt>
              </c:strCache>
            </c:strRef>
          </c:cat>
          <c:val>
            <c:numRef>
              <c:f>Sheet1!$C$2:$C$6</c:f>
              <c:numCache>
                <c:formatCode>0%</c:formatCode>
                <c:ptCount val="5"/>
                <c:pt idx="0">
                  <c:v>0</c:v>
                </c:pt>
                <c:pt idx="1">
                  <c:v>0.06</c:v>
                </c:pt>
                <c:pt idx="2">
                  <c:v>0.1</c:v>
                </c:pt>
                <c:pt idx="3">
                  <c:v>0.19</c:v>
                </c:pt>
                <c:pt idx="4">
                  <c:v>0.31</c:v>
                </c:pt>
              </c:numCache>
            </c:numRef>
          </c:val>
          <c:extLst>
            <c:ext xmlns:c16="http://schemas.microsoft.com/office/drawing/2014/chart" uri="{C3380CC4-5D6E-409C-BE32-E72D297353CC}">
              <c16:uniqueId val="{00000002-1A90-4526-8543-DF718D0EE9B8}"/>
            </c:ext>
          </c:extLst>
        </c:ser>
        <c:ser>
          <c:idx val="2"/>
          <c:order val="2"/>
          <c:tx>
            <c:strRef>
              <c:f>Sheet1!$D$1</c:f>
              <c:strCache>
                <c:ptCount val="1"/>
                <c:pt idx="0">
                  <c:v>Not in the labour force due to other reasons</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No chronic health condition</c:v>
                </c:pt>
                <c:pt idx="1">
                  <c:v>1</c:v>
                </c:pt>
                <c:pt idx="2">
                  <c:v>2</c:v>
                </c:pt>
                <c:pt idx="3">
                  <c:v>3</c:v>
                </c:pt>
                <c:pt idx="4">
                  <c:v>4+</c:v>
                </c:pt>
              </c:strCache>
            </c:strRef>
          </c:cat>
          <c:val>
            <c:numRef>
              <c:f>Sheet1!$D$2:$D$6</c:f>
              <c:numCache>
                <c:formatCode>0%</c:formatCode>
                <c:ptCount val="5"/>
                <c:pt idx="0">
                  <c:v>0.17</c:v>
                </c:pt>
                <c:pt idx="1">
                  <c:v>0.23</c:v>
                </c:pt>
                <c:pt idx="2">
                  <c:v>0.28000000000000003</c:v>
                </c:pt>
                <c:pt idx="3">
                  <c:v>0.32</c:v>
                </c:pt>
                <c:pt idx="4">
                  <c:v>0.35</c:v>
                </c:pt>
              </c:numCache>
            </c:numRef>
          </c:val>
          <c:extLst>
            <c:ext xmlns:c16="http://schemas.microsoft.com/office/drawing/2014/chart" uri="{C3380CC4-5D6E-409C-BE32-E72D297353CC}">
              <c16:uniqueId val="{00000003-1A90-4526-8543-DF718D0EE9B8}"/>
            </c:ext>
          </c:extLst>
        </c:ser>
        <c:dLbls>
          <c:showLegendKey val="0"/>
          <c:showVal val="0"/>
          <c:showCatName val="0"/>
          <c:showSerName val="0"/>
          <c:showPercent val="0"/>
          <c:showBubbleSize val="0"/>
        </c:dLbls>
        <c:gapWidth val="219"/>
        <c:overlap val="-27"/>
        <c:axId val="178559440"/>
        <c:axId val="1"/>
      </c:barChart>
      <c:catAx>
        <c:axId val="178559440"/>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en-AU"/>
                  <a:t>Number of chronic health conditions</a:t>
                </a:r>
              </a:p>
            </c:rich>
          </c:tx>
          <c:layout/>
          <c:overlay val="0"/>
          <c:spPr>
            <a:noFill/>
            <a:ln>
              <a:noFill/>
            </a:ln>
            <a:effectLst/>
          </c:spPr>
        </c:title>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2"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Arial"/>
                    <a:ea typeface="Arial"/>
                    <a:cs typeface="Arial"/>
                  </a:defRPr>
                </a:pPr>
                <a:r>
                  <a:rPr lang="en-AU"/>
                  <a:t>Percentage (%)</a:t>
                </a:r>
              </a:p>
            </c:rich>
          </c:tx>
          <c:layout>
            <c:manualLayout>
              <c:xMode val="edge"/>
              <c:yMode val="edge"/>
              <c:x val="1.6203621606122764E-2"/>
              <c:y val="0.25015152247073408"/>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559440"/>
        <c:crosses val="autoZero"/>
        <c:crossBetween val="between"/>
      </c:valAx>
      <c:spPr>
        <a:noFill/>
        <a:ln w="25391">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99" b="1"/>
              <a:t>Figure 4: Probability of being out of the workforce by main chronic condition</a:t>
            </a: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Main chronic condition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Sheet1!$A$2:$A$9</c:f>
              <c:strCache>
                <c:ptCount val="8"/>
                <c:pt idx="0">
                  <c:v>Asthma</c:v>
                </c:pt>
                <c:pt idx="1">
                  <c:v>Back problems</c:v>
                </c:pt>
                <c:pt idx="2">
                  <c:v>Arthitis</c:v>
                </c:pt>
                <c:pt idx="3">
                  <c:v>Mental and behavioural disorders</c:v>
                </c:pt>
                <c:pt idx="4">
                  <c:v>Depression or mood affective disorders</c:v>
                </c:pt>
                <c:pt idx="5">
                  <c:v>Heart disease</c:v>
                </c:pt>
                <c:pt idx="6">
                  <c:v>Diabetes</c:v>
                </c:pt>
                <c:pt idx="7">
                  <c:v>Hypertension</c:v>
                </c:pt>
              </c:strCache>
            </c:strRef>
          </c:cat>
          <c:val>
            <c:numRef>
              <c:f>Sheet1!$B$2:$B$9</c:f>
              <c:numCache>
                <c:formatCode>General</c:formatCode>
                <c:ptCount val="8"/>
                <c:pt idx="0">
                  <c:v>1.44</c:v>
                </c:pt>
                <c:pt idx="1">
                  <c:v>3.59</c:v>
                </c:pt>
                <c:pt idx="2">
                  <c:v>3.06</c:v>
                </c:pt>
                <c:pt idx="3">
                  <c:v>5.71</c:v>
                </c:pt>
                <c:pt idx="4">
                  <c:v>6.71</c:v>
                </c:pt>
                <c:pt idx="5">
                  <c:v>4.21</c:v>
                </c:pt>
                <c:pt idx="6">
                  <c:v>2.52</c:v>
                </c:pt>
                <c:pt idx="7">
                  <c:v>1.29</c:v>
                </c:pt>
              </c:numCache>
            </c:numRef>
          </c:val>
          <c:extLst>
            <c:ext xmlns:c16="http://schemas.microsoft.com/office/drawing/2014/chart" uri="{C3380CC4-5D6E-409C-BE32-E72D297353CC}">
              <c16:uniqueId val="{00000000-93A2-482B-AC54-DDC8AC225A3B}"/>
            </c:ext>
          </c:extLst>
        </c:ser>
        <c:dLbls>
          <c:showLegendKey val="0"/>
          <c:showVal val="0"/>
          <c:showCatName val="0"/>
          <c:showSerName val="0"/>
          <c:showPercent val="0"/>
          <c:showBubbleSize val="0"/>
        </c:dLbls>
        <c:gapWidth val="219"/>
        <c:axId val="177831376"/>
        <c:axId val="1"/>
      </c:barChart>
      <c:catAx>
        <c:axId val="177831376"/>
        <c:scaling>
          <c:orientation val="minMax"/>
        </c:scaling>
        <c:delete val="0"/>
        <c:axPos val="l"/>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max val="7"/>
        </c:scaling>
        <c:delete val="0"/>
        <c:axPos val="b"/>
        <c:majorGridlines>
          <c:spPr>
            <a:ln w="9516" cap="flat" cmpd="sng" algn="ctr">
              <a:solidFill>
                <a:schemeClr val="tx1">
                  <a:lumMod val="15000"/>
                  <a:lumOff val="85000"/>
                </a:schemeClr>
              </a:solidFill>
              <a:round/>
            </a:ln>
            <a:effectLst/>
          </c:spPr>
        </c:majorGridlines>
        <c:title>
          <c:tx>
            <c:rich>
              <a:bodyPr/>
              <a:lstStyle/>
              <a:p>
                <a:pPr>
                  <a:defRPr sz="1098" b="0" i="0" u="none" strike="noStrike" baseline="0">
                    <a:solidFill>
                      <a:srgbClr val="000000"/>
                    </a:solidFill>
                    <a:latin typeface="Calibri"/>
                    <a:ea typeface="Calibri"/>
                    <a:cs typeface="Calibri"/>
                  </a:defRPr>
                </a:pPr>
                <a:r>
                  <a:rPr lang="en-AU" sz="999" b="0" i="0" u="none" strike="noStrike" baseline="0">
                    <a:solidFill>
                      <a:srgbClr val="000000"/>
                    </a:solidFill>
                    <a:latin typeface="Arial"/>
                    <a:cs typeface="Arial"/>
                  </a:rPr>
                  <a:t>Odds ratio of being out of the workforce. </a:t>
                </a:r>
              </a:p>
              <a:p>
                <a:pPr>
                  <a:defRPr sz="1098" b="0" i="0" u="none" strike="noStrike" baseline="0">
                    <a:solidFill>
                      <a:srgbClr val="000000"/>
                    </a:solidFill>
                    <a:latin typeface="Calibri"/>
                    <a:ea typeface="Calibri"/>
                    <a:cs typeface="Calibri"/>
                  </a:defRPr>
                </a:pPr>
                <a:r>
                  <a:rPr lang="en-AU" sz="999" b="0" i="0" u="none" strike="noStrike" baseline="0">
                    <a:solidFill>
                      <a:srgbClr val="000000"/>
                    </a:solidFill>
                    <a:latin typeface="Arial"/>
                    <a:cs typeface="Arial"/>
                  </a:rPr>
                  <a:t>The reference group was "no chronic condition"</a:t>
                </a:r>
              </a:p>
            </c:rich>
          </c:tx>
          <c:layout>
            <c:manualLayout>
              <c:xMode val="edge"/>
              <c:yMode val="edge"/>
              <c:x val="0.37207172928887244"/>
              <c:y val="0.880815835520559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7831376"/>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100" b="1"/>
              <a:t>Figure 5: Main chronic conditions of people aged 45-64 years not in the workforce for health reasons in 2010 and 2030</a:t>
            </a:r>
          </a:p>
        </c:rich>
      </c:tx>
      <c:layout/>
      <c:overlay val="0"/>
      <c:spPr>
        <a:noFill/>
        <a:ln w="25397">
          <a:noFill/>
        </a:ln>
      </c:spPr>
    </c:title>
    <c:autoTitleDeleted val="0"/>
    <c:plotArea>
      <c:layout/>
      <c:barChart>
        <c:barDir val="bar"/>
        <c:grouping val="clustered"/>
        <c:varyColors val="0"/>
        <c:ser>
          <c:idx val="0"/>
          <c:order val="0"/>
          <c:tx>
            <c:strRef>
              <c:f>Sheet1!$B$1</c:f>
              <c:strCache>
                <c:ptCount val="1"/>
                <c:pt idx="0">
                  <c:v>2030</c:v>
                </c:pt>
              </c:strCache>
            </c:strRef>
          </c:tx>
          <c:spPr>
            <a:solidFill>
              <a:schemeClr val="accent1">
                <a:tint val="65000"/>
              </a:schemeClr>
            </a:solidFill>
            <a:ln>
              <a:noFill/>
            </a:ln>
            <a:effectLst/>
          </c:spPr>
          <c:invertIfNegative val="0"/>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Chronic pulmonary obstructive disease</c:v>
                </c:pt>
                <c:pt idx="1">
                  <c:v>Diabetes</c:v>
                </c:pt>
                <c:pt idx="2">
                  <c:v>Depression</c:v>
                </c:pt>
                <c:pt idx="3">
                  <c:v>Mental and behavioural disorders</c:v>
                </c:pt>
                <c:pt idx="4">
                  <c:v>Arthritis</c:v>
                </c:pt>
                <c:pt idx="5">
                  <c:v>Back problems</c:v>
                </c:pt>
              </c:strCache>
            </c:strRef>
          </c:cat>
          <c:val>
            <c:numRef>
              <c:f>Sheet1!$B$2:$B$7</c:f>
              <c:numCache>
                <c:formatCode>#,##0</c:formatCode>
                <c:ptCount val="6"/>
                <c:pt idx="0">
                  <c:v>14000</c:v>
                </c:pt>
                <c:pt idx="1">
                  <c:v>22000</c:v>
                </c:pt>
                <c:pt idx="2">
                  <c:v>28000</c:v>
                </c:pt>
                <c:pt idx="3">
                  <c:v>43000</c:v>
                </c:pt>
                <c:pt idx="4">
                  <c:v>60000</c:v>
                </c:pt>
                <c:pt idx="5">
                  <c:v>96000</c:v>
                </c:pt>
              </c:numCache>
            </c:numRef>
          </c:val>
          <c:extLst>
            <c:ext xmlns:c16="http://schemas.microsoft.com/office/drawing/2014/chart" uri="{C3380CC4-5D6E-409C-BE32-E72D297353CC}">
              <c16:uniqueId val="{00000000-EDA6-4E9D-B9AA-657B5C05208B}"/>
            </c:ext>
          </c:extLst>
        </c:ser>
        <c:ser>
          <c:idx val="1"/>
          <c:order val="1"/>
          <c:tx>
            <c:strRef>
              <c:f>Sheet1!$C$1</c:f>
              <c:strCache>
                <c:ptCount val="1"/>
                <c:pt idx="0">
                  <c:v>2010</c:v>
                </c:pt>
              </c:strCache>
            </c:strRef>
          </c:tx>
          <c:spPr>
            <a:solidFill>
              <a:srgbClr val="5B9BD5"/>
            </a:solidFill>
            <a:ln w="25397">
              <a:noFill/>
            </a:ln>
          </c:spPr>
          <c:invertIfNegative val="0"/>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Chronic pulmonary obstructive disease</c:v>
                </c:pt>
                <c:pt idx="1">
                  <c:v>Diabetes</c:v>
                </c:pt>
                <c:pt idx="2">
                  <c:v>Depression</c:v>
                </c:pt>
                <c:pt idx="3">
                  <c:v>Mental and behavioural disorders</c:v>
                </c:pt>
                <c:pt idx="4">
                  <c:v>Arthritis</c:v>
                </c:pt>
                <c:pt idx="5">
                  <c:v>Back problems</c:v>
                </c:pt>
              </c:strCache>
            </c:strRef>
          </c:cat>
          <c:val>
            <c:numRef>
              <c:f>Sheet1!$C$2:$C$7</c:f>
              <c:numCache>
                <c:formatCode>#,##0</c:formatCode>
                <c:ptCount val="6"/>
                <c:pt idx="0">
                  <c:v>8000</c:v>
                </c:pt>
                <c:pt idx="1">
                  <c:v>14000</c:v>
                </c:pt>
                <c:pt idx="2">
                  <c:v>24000</c:v>
                </c:pt>
                <c:pt idx="3">
                  <c:v>32000</c:v>
                </c:pt>
                <c:pt idx="4">
                  <c:v>45000</c:v>
                </c:pt>
                <c:pt idx="5">
                  <c:v>79000</c:v>
                </c:pt>
              </c:numCache>
            </c:numRef>
          </c:val>
          <c:extLst>
            <c:ext xmlns:c16="http://schemas.microsoft.com/office/drawing/2014/chart" uri="{C3380CC4-5D6E-409C-BE32-E72D297353CC}">
              <c16:uniqueId val="{00000001-EDA6-4E9D-B9AA-657B5C05208B}"/>
            </c:ext>
          </c:extLst>
        </c:ser>
        <c:ser>
          <c:idx val="2"/>
          <c:order val="2"/>
          <c:spPr>
            <a:solidFill>
              <a:schemeClr val="accent1">
                <a:shade val="65000"/>
              </a:schemeClr>
            </a:solidFill>
            <a:ln>
              <a:noFill/>
            </a:ln>
            <a:effectLst/>
          </c:spPr>
          <c:invertIfNegative val="0"/>
          <c:cat>
            <c:strRef>
              <c:f>Sheet1!$A$2:$A$7</c:f>
              <c:strCache>
                <c:ptCount val="6"/>
                <c:pt idx="0">
                  <c:v>Chronic pulmonary obstructive disease</c:v>
                </c:pt>
                <c:pt idx="1">
                  <c:v>Diabetes</c:v>
                </c:pt>
                <c:pt idx="2">
                  <c:v>Depression</c:v>
                </c:pt>
                <c:pt idx="3">
                  <c:v>Mental and behavioural disorders</c:v>
                </c:pt>
                <c:pt idx="4">
                  <c:v>Arthritis</c:v>
                </c:pt>
                <c:pt idx="5">
                  <c:v>Back problems</c:v>
                </c:pt>
              </c:strCache>
            </c:strRef>
          </c:cat>
          <c:extLst>
            <c:ext xmlns:c16="http://schemas.microsoft.com/office/drawing/2014/chart" uri="{C3380CC4-5D6E-409C-BE32-E72D297353CC}">
              <c16:uniqueId val="{00000002-EDA6-4E9D-B9AA-657B5C05208B}"/>
            </c:ext>
          </c:extLst>
        </c:ser>
        <c:dLbls>
          <c:showLegendKey val="0"/>
          <c:showVal val="0"/>
          <c:showCatName val="0"/>
          <c:showSerName val="0"/>
          <c:showPercent val="0"/>
          <c:showBubbleSize val="0"/>
        </c:dLbls>
        <c:gapWidth val="150"/>
        <c:axId val="177830720"/>
        <c:axId val="1"/>
      </c:barChart>
      <c:catAx>
        <c:axId val="177830720"/>
        <c:scaling>
          <c:orientation val="minMax"/>
        </c:scaling>
        <c:delete val="0"/>
        <c:axPos val="l"/>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max val="100000"/>
        </c:scaling>
        <c:delete val="0"/>
        <c:axPos val="b"/>
        <c:majorGridlines>
          <c:spPr>
            <a:ln w="9524"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Arial"/>
                    <a:ea typeface="Arial"/>
                    <a:cs typeface="Arial"/>
                  </a:defRPr>
                </a:pPr>
                <a:r>
                  <a:rPr lang="en-AU"/>
                  <a:t>Number of people</a:t>
                </a:r>
              </a:p>
            </c:rich>
          </c:tx>
          <c:layout/>
          <c:overlay val="0"/>
          <c:spPr>
            <a:noFill/>
            <a:ln w="25397">
              <a:noFill/>
            </a:ln>
          </c:spPr>
        </c:title>
        <c:numFmt formatCode="#,##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7830720"/>
        <c:crosses val="autoZero"/>
        <c:crossBetween val="between"/>
      </c:valAx>
      <c:spPr>
        <a:noFill/>
        <a:ln w="25397">
          <a:noFill/>
        </a:ln>
      </c:spPr>
    </c:plotArea>
    <c:legend>
      <c:legendPos val="r"/>
      <c:legendEntry>
        <c:idx val="0"/>
        <c:delete val="1"/>
      </c:legendEntry>
      <c:layout/>
      <c:overlay val="0"/>
      <c:spPr>
        <a:noFill/>
        <a:ln w="25397">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099" b="1" i="0"/>
              <a:t>Figure 6: Selected main factor influencing decision about when to retire for people over the age of 45 who have not yet retired</a:t>
            </a:r>
          </a:p>
        </c:rich>
      </c:tx>
      <c:layout/>
      <c:overlay val="0"/>
      <c:spPr>
        <a:noFill/>
        <a:ln>
          <a:noFill/>
        </a:ln>
        <a:effectLst/>
      </c:spPr>
    </c:title>
    <c:autoTitleDeleted val="0"/>
    <c:plotArea>
      <c:layout>
        <c:manualLayout>
          <c:layoutTarget val="inner"/>
          <c:xMode val="edge"/>
          <c:yMode val="edge"/>
          <c:x val="0.40031428220099308"/>
          <c:y val="0.19811965811965812"/>
          <c:w val="0.55712787113242512"/>
          <c:h val="0.55631253785584489"/>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3"/>
            <c:invertIfNegative val="0"/>
            <c:bubble3D val="0"/>
            <c:spPr>
              <a:solidFill>
                <a:srgbClr val="ED7D31">
                  <a:lumMod val="75000"/>
                </a:srgbClr>
              </a:solidFill>
              <a:ln>
                <a:noFill/>
              </a:ln>
              <a:effectLst/>
            </c:spPr>
            <c:extLst>
              <c:ext xmlns:c16="http://schemas.microsoft.com/office/drawing/2014/chart" uri="{C3380CC4-5D6E-409C-BE32-E72D297353CC}">
                <c16:uniqueId val="{00000000-2187-49A4-98B2-0ED1BEACE683}"/>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Reaching the eligibility age for age pension</c:v>
                </c:pt>
                <c:pt idx="1">
                  <c:v>Access to superannuation fund</c:v>
                </c:pt>
                <c:pt idx="2">
                  <c:v>Financial security</c:v>
                </c:pt>
                <c:pt idx="3">
                  <c:v>Personal health or physical abilities</c:v>
                </c:pt>
                <c:pt idx="4">
                  <c:v>Need to care for partner or family</c:v>
                </c:pt>
                <c:pt idx="5">
                  <c:v>Have more leisure time</c:v>
                </c:pt>
              </c:strCache>
            </c:strRef>
          </c:cat>
          <c:val>
            <c:numRef>
              <c:f>Sheet1!$B$2:$B$7</c:f>
              <c:numCache>
                <c:formatCode>#,##0.0</c:formatCode>
                <c:ptCount val="6"/>
                <c:pt idx="0">
                  <c:v>13.2</c:v>
                </c:pt>
                <c:pt idx="1">
                  <c:v>3.3</c:v>
                </c:pt>
                <c:pt idx="2">
                  <c:v>37.700000000000003</c:v>
                </c:pt>
                <c:pt idx="3">
                  <c:v>23.2</c:v>
                </c:pt>
                <c:pt idx="4">
                  <c:v>1.5</c:v>
                </c:pt>
                <c:pt idx="5">
                  <c:v>3</c:v>
                </c:pt>
              </c:numCache>
            </c:numRef>
          </c:val>
          <c:extLst>
            <c:ext xmlns:c16="http://schemas.microsoft.com/office/drawing/2014/chart" uri="{C3380CC4-5D6E-409C-BE32-E72D297353CC}">
              <c16:uniqueId val="{00000001-2187-49A4-98B2-0ED1BEACE683}"/>
            </c:ext>
          </c:extLst>
        </c:ser>
        <c:dLbls>
          <c:showLegendKey val="0"/>
          <c:showVal val="0"/>
          <c:showCatName val="0"/>
          <c:showSerName val="0"/>
          <c:showPercent val="0"/>
          <c:showBubbleSize val="0"/>
        </c:dLbls>
        <c:gapWidth val="182"/>
        <c:axId val="180140592"/>
        <c:axId val="1"/>
      </c:barChart>
      <c:catAx>
        <c:axId val="180140592"/>
        <c:scaling>
          <c:orientation val="minMax"/>
        </c:scaling>
        <c:delete val="0"/>
        <c:axPos val="l"/>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max val="40"/>
          <c:min val="0"/>
        </c:scaling>
        <c:delete val="0"/>
        <c:axPos val="b"/>
        <c:majorGridlines>
          <c:spPr>
            <a:ln w="9517"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Arial"/>
                    <a:ea typeface="Arial"/>
                    <a:cs typeface="Arial"/>
                  </a:defRPr>
                </a:pPr>
                <a:r>
                  <a:rPr lang="en-AU"/>
                  <a:t>Percentage (%)</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140592"/>
        <c:crosses val="autoZero"/>
        <c:crossBetween val="between"/>
        <c:majorUnit val="10"/>
        <c:minorUnit val="2"/>
      </c:valAx>
      <c:spPr>
        <a:noFill/>
        <a:ln w="25378">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099" b="1"/>
              <a:t>Figure 7: National Costs of Chronic Conditions as a result of reduced</a:t>
            </a:r>
            <a:r>
              <a:rPr lang="en-AU" sz="1099" b="1" baseline="0"/>
              <a:t> workforce participation</a:t>
            </a:r>
            <a:endParaRPr lang="en-AU" sz="11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Extra Government Spending through transfer payments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Back problems</c:v>
                </c:pt>
                <c:pt idx="1">
                  <c:v>Arthritis</c:v>
                </c:pt>
                <c:pt idx="2">
                  <c:v>Mental Health Conditions</c:v>
                </c:pt>
                <c:pt idx="3">
                  <c:v>Cardiovascular Disease</c:v>
                </c:pt>
              </c:strCache>
            </c:strRef>
          </c:cat>
          <c:val>
            <c:numRef>
              <c:f>Sheet1!$B$2:$B$5</c:f>
              <c:numCache>
                <c:formatCode>General</c:formatCode>
                <c:ptCount val="4"/>
                <c:pt idx="0">
                  <c:v>622</c:v>
                </c:pt>
                <c:pt idx="1">
                  <c:v>291</c:v>
                </c:pt>
                <c:pt idx="2">
                  <c:v>407</c:v>
                </c:pt>
                <c:pt idx="3">
                  <c:v>85</c:v>
                </c:pt>
              </c:numCache>
            </c:numRef>
          </c:val>
          <c:extLst>
            <c:ext xmlns:c16="http://schemas.microsoft.com/office/drawing/2014/chart" uri="{C3380CC4-5D6E-409C-BE32-E72D297353CC}">
              <c16:uniqueId val="{00000000-1359-4A75-88BC-ED06A501BF91}"/>
            </c:ext>
          </c:extLst>
        </c:ser>
        <c:ser>
          <c:idx val="1"/>
          <c:order val="1"/>
          <c:tx>
            <c:strRef>
              <c:f>Sheet1!$C$1</c:f>
              <c:strCache>
                <c:ptCount val="1"/>
                <c:pt idx="0">
                  <c:v>Lost taxation revenue</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Back problems</c:v>
                </c:pt>
                <c:pt idx="1">
                  <c:v>Arthritis</c:v>
                </c:pt>
                <c:pt idx="2">
                  <c:v>Mental Health Conditions</c:v>
                </c:pt>
                <c:pt idx="3">
                  <c:v>Cardiovascular Disease</c:v>
                </c:pt>
              </c:strCache>
            </c:strRef>
          </c:cat>
          <c:val>
            <c:numRef>
              <c:f>Sheet1!$C$2:$C$5</c:f>
              <c:numCache>
                <c:formatCode>General</c:formatCode>
                <c:ptCount val="4"/>
                <c:pt idx="0">
                  <c:v>497</c:v>
                </c:pt>
                <c:pt idx="1">
                  <c:v>394</c:v>
                </c:pt>
                <c:pt idx="2">
                  <c:v>278</c:v>
                </c:pt>
                <c:pt idx="3">
                  <c:v>225</c:v>
                </c:pt>
              </c:numCache>
            </c:numRef>
          </c:val>
          <c:extLst>
            <c:ext xmlns:c16="http://schemas.microsoft.com/office/drawing/2014/chart" uri="{C3380CC4-5D6E-409C-BE32-E72D297353CC}">
              <c16:uniqueId val="{00000001-1359-4A75-88BC-ED06A501BF91}"/>
            </c:ext>
          </c:extLst>
        </c:ser>
        <c:dLbls>
          <c:showLegendKey val="0"/>
          <c:showVal val="0"/>
          <c:showCatName val="0"/>
          <c:showSerName val="0"/>
          <c:showPercent val="0"/>
          <c:showBubbleSize val="0"/>
        </c:dLbls>
        <c:gapWidth val="219"/>
        <c:overlap val="-27"/>
        <c:axId val="180448016"/>
        <c:axId val="1"/>
      </c:barChart>
      <c:catAx>
        <c:axId val="180448016"/>
        <c:scaling>
          <c:orientation val="minMax"/>
        </c:scaling>
        <c:delete val="0"/>
        <c:axPos val="b"/>
        <c:numFmt formatCode="General" sourceLinked="1"/>
        <c:majorTickMark val="none"/>
        <c:min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14"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$Million</a:t>
                </a:r>
              </a:p>
            </c:rich>
          </c:tx>
          <c:layout>
            <c:manualLayout>
              <c:xMode val="edge"/>
              <c:yMode val="edge"/>
              <c:x val="1.5089458935115327E-2"/>
              <c:y val="0.44678137531977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8016"/>
        <c:crosses val="autoZero"/>
        <c:crossBetween val="between"/>
      </c:valAx>
      <c:spPr>
        <a:noFill/>
        <a:ln w="25372">
          <a:noFill/>
        </a:ln>
      </c:spPr>
    </c:plotArea>
    <c:legend>
      <c:legendPos val="r"/>
      <c:layou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1"/>
              <a:t>Figure 8: Projected</a:t>
            </a:r>
            <a:r>
              <a:rPr lang="en-US" sz="1100" b="1" baseline="0"/>
              <a:t> GDP lost due to reduced workforce participation of older people with chronic condition (2010 to 2030)</a:t>
            </a:r>
            <a:endParaRPr lang="en-US" sz="11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Lost GDP</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Sheet1!$A$2:$A$6</c:f>
              <c:numCache>
                <c:formatCode>General</c:formatCode>
                <c:ptCount val="5"/>
                <c:pt idx="0">
                  <c:v>2010</c:v>
                </c:pt>
                <c:pt idx="1">
                  <c:v>2015</c:v>
                </c:pt>
                <c:pt idx="2">
                  <c:v>2020</c:v>
                </c:pt>
                <c:pt idx="3">
                  <c:v>2025</c:v>
                </c:pt>
                <c:pt idx="4">
                  <c:v>2030</c:v>
                </c:pt>
              </c:numCache>
            </c:numRef>
          </c:cat>
          <c:val>
            <c:numRef>
              <c:f>Sheet1!$B$2:$B$6</c:f>
              <c:numCache>
                <c:formatCode>General</c:formatCode>
                <c:ptCount val="5"/>
                <c:pt idx="0">
                  <c:v>37.799999999999997</c:v>
                </c:pt>
                <c:pt idx="1">
                  <c:v>44.5</c:v>
                </c:pt>
                <c:pt idx="2">
                  <c:v>50.5</c:v>
                </c:pt>
                <c:pt idx="3">
                  <c:v>56.4</c:v>
                </c:pt>
                <c:pt idx="4">
                  <c:v>63.7</c:v>
                </c:pt>
              </c:numCache>
            </c:numRef>
          </c:val>
          <c:extLst>
            <c:ext xmlns:c16="http://schemas.microsoft.com/office/drawing/2014/chart" uri="{C3380CC4-5D6E-409C-BE32-E72D297353CC}">
              <c16:uniqueId val="{00000005-B40B-4E32-AE44-F0144BBC8E45}"/>
            </c:ext>
          </c:extLst>
        </c:ser>
        <c:dLbls>
          <c:dLblPos val="outEnd"/>
          <c:showLegendKey val="0"/>
          <c:showVal val="1"/>
          <c:showCatName val="0"/>
          <c:showSerName val="0"/>
          <c:showPercent val="0"/>
          <c:showBubbleSize val="0"/>
        </c:dLbls>
        <c:gapWidth val="219"/>
        <c:axId val="180447360"/>
        <c:axId val="1"/>
      </c:barChart>
      <c:catAx>
        <c:axId val="1804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Lost GDP $Billion</a:t>
                </a:r>
              </a:p>
            </c:rich>
          </c:tx>
          <c:layout>
            <c:manualLayout>
              <c:xMode val="edge"/>
              <c:yMode val="edge"/>
              <c:x val="1.7578554163920016E-2"/>
              <c:y val="0.355969797074091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447360"/>
        <c:crosses val="autoZero"/>
        <c:crossBetween val="between"/>
      </c:valAx>
      <c:spPr>
        <a:noFill/>
        <a:ln w="25400">
          <a:noFill/>
        </a:ln>
      </c:spPr>
    </c:plotArea>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100" b="1"/>
              <a:t>Figure 9: Selected reasons for retirement of people aged 45 years and over who have retired</a:t>
            </a:r>
          </a:p>
        </c:rich>
      </c:tx>
      <c:layout/>
      <c:overlay val="0"/>
      <c:spPr>
        <a:noFill/>
        <a:ln>
          <a:noFill/>
        </a:ln>
        <a:effectLst/>
      </c:spPr>
    </c:title>
    <c:autoTitleDeleted val="0"/>
    <c:plotArea>
      <c:layout>
        <c:manualLayout>
          <c:layoutTarget val="inner"/>
          <c:xMode val="edge"/>
          <c:yMode val="edge"/>
          <c:x val="0.47849380378085649"/>
          <c:y val="0.15097483752707883"/>
          <c:w val="0.49037227150403667"/>
          <c:h val="0.71711176861766213"/>
        </c:manualLayout>
      </c:layout>
      <c:barChart>
        <c:barDir val="bar"/>
        <c:grouping val="clustered"/>
        <c:varyColors val="0"/>
        <c:ser>
          <c:idx val="0"/>
          <c:order val="0"/>
          <c:tx>
            <c:strRef>
              <c:f>Sheet1!$B$1</c:f>
              <c:strCache>
                <c:ptCount val="1"/>
                <c:pt idx="0">
                  <c:v>Male</c:v>
                </c:pt>
              </c:strCache>
            </c:strRef>
          </c:tx>
          <c:spPr>
            <a:solidFill>
              <a:schemeClr val="accent1">
                <a:shade val="76000"/>
              </a:schemeClr>
            </a:solidFill>
            <a:ln>
              <a:noFill/>
            </a:ln>
            <a:effectLst/>
          </c:spPr>
          <c:invertIfNegative val="0"/>
          <c:dPt>
            <c:idx val="3"/>
            <c:invertIfNegative val="0"/>
            <c:bubble3D val="0"/>
            <c:spPr>
              <a:solidFill>
                <a:srgbClr val="ED7D31">
                  <a:lumMod val="75000"/>
                </a:srgbClr>
              </a:solidFill>
              <a:ln>
                <a:noFill/>
              </a:ln>
              <a:effectLst/>
            </c:spPr>
            <c:extLst>
              <c:ext xmlns:c16="http://schemas.microsoft.com/office/drawing/2014/chart" uri="{C3380CC4-5D6E-409C-BE32-E72D297353CC}">
                <c16:uniqueId val="{00000000-C335-47EC-A193-D5B1C6DFB78D}"/>
              </c:ext>
            </c:extLst>
          </c:dPt>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1-C335-47EC-A193-D5B1C6DFB78D}"/>
              </c:ext>
            </c:extLst>
          </c:dPt>
          <c:dPt>
            <c:idx val="6"/>
            <c:invertIfNegative val="0"/>
            <c:bubble3D val="0"/>
            <c:spPr>
              <a:solidFill>
                <a:schemeClr val="accent4">
                  <a:lumMod val="75000"/>
                </a:schemeClr>
              </a:solidFill>
              <a:ln>
                <a:noFill/>
              </a:ln>
              <a:effectLst/>
            </c:spPr>
            <c:extLst>
              <c:ext xmlns:c16="http://schemas.microsoft.com/office/drawing/2014/chart" uri="{C3380CC4-5D6E-409C-BE32-E72D297353CC}">
                <c16:uniqueId val="{00000002-C335-47EC-A193-D5B1C6DFB78D}"/>
              </c:ext>
            </c:extLst>
          </c:dPt>
          <c:dLbls>
            <c:spPr>
              <a:noFill/>
              <a:ln>
                <a:noFill/>
              </a:ln>
              <a:effectLst/>
            </c:spPr>
            <c:txPr>
              <a:bodyPr rot="0" spcFirstLastPara="1" vertOverflow="ellipsis" vert="horz" wrap="square" lIns="38100" tIns="19050" rIns="38100" bIns="19050" anchor="ctr" anchorCtr="0">
                <a:spAutoFit/>
              </a:bodyPr>
              <a:lstStyle/>
              <a:p>
                <a:pPr algn="ct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Retrenched/dismissed/no work available</c:v>
                </c:pt>
                <c:pt idx="1">
                  <c:v>Temporary/seasonal/holiday job</c:v>
                </c:pt>
                <c:pt idx="2">
                  <c:v>Reached retirement age/eligible for superannuation/pension</c:v>
                </c:pt>
                <c:pt idx="3">
                  <c:v>Own sickness, injury or disability</c:v>
                </c:pt>
                <c:pt idx="4">
                  <c:v>To care for ill/disabled/elderly person</c:v>
                </c:pt>
              </c:strCache>
            </c:strRef>
          </c:cat>
          <c:val>
            <c:numRef>
              <c:f>Sheet1!$B$2:$B$6</c:f>
              <c:numCache>
                <c:formatCode>#,##0.0</c:formatCode>
                <c:ptCount val="5"/>
                <c:pt idx="0">
                  <c:v>9.1</c:v>
                </c:pt>
                <c:pt idx="1">
                  <c:v>1.9</c:v>
                </c:pt>
                <c:pt idx="2">
                  <c:v>36.799999999999997</c:v>
                </c:pt>
                <c:pt idx="3">
                  <c:v>19.100000000000001</c:v>
                </c:pt>
                <c:pt idx="4">
                  <c:v>1.7</c:v>
                </c:pt>
              </c:numCache>
            </c:numRef>
          </c:val>
          <c:extLst>
            <c:ext xmlns:c16="http://schemas.microsoft.com/office/drawing/2014/chart" uri="{C3380CC4-5D6E-409C-BE32-E72D297353CC}">
              <c16:uniqueId val="{00000003-C335-47EC-A193-D5B1C6DFB78D}"/>
            </c:ext>
          </c:extLst>
        </c:ser>
        <c:ser>
          <c:idx val="1"/>
          <c:order val="1"/>
          <c:tx>
            <c:strRef>
              <c:f>Sheet1!$C$1</c:f>
              <c:strCache>
                <c:ptCount val="1"/>
                <c:pt idx="0">
                  <c:v>Female</c:v>
                </c:pt>
              </c:strCache>
            </c:strRef>
          </c:tx>
          <c:spPr>
            <a:solidFill>
              <a:schemeClr val="accent1">
                <a:tint val="77000"/>
              </a:schemeClr>
            </a:solidFill>
            <a:ln>
              <a:noFill/>
            </a:ln>
            <a:effectLst/>
          </c:spPr>
          <c:invertIfNegative val="0"/>
          <c:dPt>
            <c:idx val="3"/>
            <c:invertIfNegative val="0"/>
            <c:bubble3D val="0"/>
            <c:spPr>
              <a:solidFill>
                <a:srgbClr val="ED7D31">
                  <a:lumMod val="60000"/>
                  <a:lumOff val="40000"/>
                </a:srgbClr>
              </a:solidFill>
              <a:ln>
                <a:noFill/>
              </a:ln>
              <a:effectLst/>
            </c:spPr>
            <c:extLst>
              <c:ext xmlns:c16="http://schemas.microsoft.com/office/drawing/2014/chart" uri="{C3380CC4-5D6E-409C-BE32-E72D297353CC}">
                <c16:uniqueId val="{00000004-C335-47EC-A193-D5B1C6DFB78D}"/>
              </c:ext>
            </c:extLst>
          </c:dPt>
          <c:dPt>
            <c:idx val="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C335-47EC-A193-D5B1C6DFB78D}"/>
              </c:ext>
            </c:extLst>
          </c:dPt>
          <c:dPt>
            <c:idx val="6"/>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6-C335-47EC-A193-D5B1C6DFB78D}"/>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Retrenched/dismissed/no work available</c:v>
                </c:pt>
                <c:pt idx="1">
                  <c:v>Temporary/seasonal/holiday job</c:v>
                </c:pt>
                <c:pt idx="2">
                  <c:v>Reached retirement age/eligible for superannuation/pension</c:v>
                </c:pt>
                <c:pt idx="3">
                  <c:v>Own sickness, injury or disability</c:v>
                </c:pt>
                <c:pt idx="4">
                  <c:v>To care for ill/disabled/elderly person</c:v>
                </c:pt>
              </c:strCache>
            </c:strRef>
          </c:cat>
          <c:val>
            <c:numRef>
              <c:f>Sheet1!$C$2:$C$6</c:f>
              <c:numCache>
                <c:formatCode>#,##0.0</c:formatCode>
                <c:ptCount val="5"/>
                <c:pt idx="0">
                  <c:v>5.3</c:v>
                </c:pt>
                <c:pt idx="1">
                  <c:v>2.7</c:v>
                </c:pt>
                <c:pt idx="2">
                  <c:v>18.899999999999999</c:v>
                </c:pt>
                <c:pt idx="3">
                  <c:v>13.8</c:v>
                </c:pt>
                <c:pt idx="4">
                  <c:v>4.3</c:v>
                </c:pt>
              </c:numCache>
            </c:numRef>
          </c:val>
          <c:extLst>
            <c:ext xmlns:c16="http://schemas.microsoft.com/office/drawing/2014/chart" uri="{C3380CC4-5D6E-409C-BE32-E72D297353CC}">
              <c16:uniqueId val="{00000007-C335-47EC-A193-D5B1C6DFB78D}"/>
            </c:ext>
          </c:extLst>
        </c:ser>
        <c:dLbls>
          <c:showLegendKey val="0"/>
          <c:showVal val="0"/>
          <c:showCatName val="0"/>
          <c:showSerName val="0"/>
          <c:showPercent val="0"/>
          <c:showBubbleSize val="0"/>
        </c:dLbls>
        <c:gapWidth val="182"/>
        <c:axId val="131917832"/>
        <c:axId val="1"/>
      </c:barChart>
      <c:catAx>
        <c:axId val="131917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sz="900" b="0" i="0" u="none" strike="noStrike" baseline="0">
                    <a:solidFill>
                      <a:srgbClr val="000000"/>
                    </a:solidFill>
                    <a:latin typeface="Arial"/>
                    <a:ea typeface="Arial"/>
                    <a:cs typeface="Arial"/>
                  </a:defRPr>
                </a:pPr>
                <a:r>
                  <a:rPr lang="en-AU" sz="900"/>
                  <a:t>Percentage (%)</a:t>
                </a:r>
              </a:p>
            </c:rich>
          </c:tx>
          <c:layout>
            <c:manualLayout>
              <c:xMode val="edge"/>
              <c:yMode val="edge"/>
              <c:x val="0.64407018254550974"/>
              <c:y val="0.95450980392156859"/>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917832"/>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a:no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Submission.dot</Template>
  <TotalTime>236</TotalTime>
  <Pages>21</Pages>
  <Words>5632</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39019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Liz Drakopoulos</dc:creator>
  <cp:keywords/>
  <cp:lastModifiedBy>Liz Drakopoulos</cp:lastModifiedBy>
  <cp:revision>38</cp:revision>
  <cp:lastPrinted>2016-05-26T00:18:00Z</cp:lastPrinted>
  <dcterms:created xsi:type="dcterms:W3CDTF">2016-05-25T03:14:00Z</dcterms:created>
  <dcterms:modified xsi:type="dcterms:W3CDTF">2016-05-26T00:18:00Z</dcterms:modified>
</cp:coreProperties>
</file>