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93D77C" w14:textId="77777777" w:rsidR="00E46837" w:rsidRDefault="00E46837">
      <w:pPr>
        <w:spacing w:after="0" w:line="240" w:lineRule="auto"/>
      </w:pPr>
      <w:bookmarkStart w:id="0" w:name="_GoBack"/>
      <w:bookmarkEnd w:id="0"/>
    </w:p>
    <w:p w14:paraId="67C02A3B" w14:textId="3C4BA8B4" w:rsidR="00155A60" w:rsidRDefault="00155A60">
      <w:pPr>
        <w:spacing w:after="0" w:line="240" w:lineRule="auto"/>
      </w:pPr>
      <w:r w:rsidRPr="00522CA9">
        <w:rPr>
          <w:noProof/>
          <w:lang w:val="en-AU" w:eastAsia="en-AU"/>
        </w:rPr>
        <w:drawing>
          <wp:anchor distT="0" distB="0" distL="114300" distR="114300" simplePos="0" relativeHeight="251659264" behindDoc="1" locked="0" layoutInCell="0" allowOverlap="1" wp14:anchorId="5812B438" wp14:editId="0A1BF27E">
            <wp:simplePos x="0" y="0"/>
            <wp:positionH relativeFrom="margin">
              <wp:posOffset>-1129665</wp:posOffset>
            </wp:positionH>
            <wp:positionV relativeFrom="margin">
              <wp:posOffset>-1108710</wp:posOffset>
            </wp:positionV>
            <wp:extent cx="7810500" cy="11168380"/>
            <wp:effectExtent l="0" t="0" r="12700"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10836" cy="1116886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58500F0" w14:textId="48E6821B" w:rsidR="00155A60" w:rsidRDefault="00E46837">
      <w:pPr>
        <w:spacing w:after="0" w:line="240" w:lineRule="auto"/>
      </w:pPr>
      <w:r>
        <w:rPr>
          <w:noProof/>
          <w:lang w:val="en-AU" w:eastAsia="en-AU"/>
        </w:rPr>
        <mc:AlternateContent>
          <mc:Choice Requires="wps">
            <w:drawing>
              <wp:anchor distT="0" distB="0" distL="114300" distR="114300" simplePos="0" relativeHeight="251660288" behindDoc="0" locked="0" layoutInCell="1" allowOverlap="1" wp14:anchorId="52AFC553" wp14:editId="06CFF073">
                <wp:simplePos x="0" y="0"/>
                <wp:positionH relativeFrom="column">
                  <wp:posOffset>2226945</wp:posOffset>
                </wp:positionH>
                <wp:positionV relativeFrom="paragraph">
                  <wp:posOffset>64135</wp:posOffset>
                </wp:positionV>
                <wp:extent cx="3425190" cy="1943100"/>
                <wp:effectExtent l="0" t="0" r="0" b="12700"/>
                <wp:wrapSquare wrapText="bothSides"/>
                <wp:docPr id="5" name="Text Box 5"/>
                <wp:cNvGraphicFramePr/>
                <a:graphic xmlns:a="http://schemas.openxmlformats.org/drawingml/2006/main">
                  <a:graphicData uri="http://schemas.microsoft.com/office/word/2010/wordprocessingShape">
                    <wps:wsp>
                      <wps:cNvSpPr txBox="1"/>
                      <wps:spPr>
                        <a:xfrm>
                          <a:off x="0" y="0"/>
                          <a:ext cx="3425190" cy="19431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48E310E" w14:textId="20C78A93" w:rsidR="00846A49" w:rsidRDefault="00846A49" w:rsidP="004B2F40">
                            <w:pPr>
                              <w:spacing w:after="80"/>
                              <w:jc w:val="right"/>
                              <w:rPr>
                                <w:rFonts w:cs="Arial"/>
                                <w:b/>
                                <w:color w:val="548DD4" w:themeColor="text2" w:themeTint="99"/>
                                <w:sz w:val="48"/>
                                <w:szCs w:val="48"/>
                              </w:rPr>
                            </w:pPr>
                            <w:r>
                              <w:rPr>
                                <w:rFonts w:cs="Arial"/>
                                <w:b/>
                                <w:color w:val="548DD4" w:themeColor="text2" w:themeTint="99"/>
                                <w:sz w:val="48"/>
                                <w:szCs w:val="48"/>
                              </w:rPr>
                              <w:t>TM v</w:t>
                            </w:r>
                          </w:p>
                          <w:p w14:paraId="5A4AA25B" w14:textId="225A10E3" w:rsidR="00846A49" w:rsidRPr="00833542" w:rsidRDefault="00846A49" w:rsidP="004B2F40">
                            <w:pPr>
                              <w:spacing w:after="80"/>
                              <w:jc w:val="right"/>
                              <w:rPr>
                                <w:rFonts w:cs="Arial"/>
                                <w:b/>
                                <w:color w:val="548DD4" w:themeColor="text2" w:themeTint="99"/>
                                <w:sz w:val="48"/>
                                <w:szCs w:val="48"/>
                              </w:rPr>
                            </w:pPr>
                            <w:r>
                              <w:rPr>
                                <w:rFonts w:cs="Arial"/>
                                <w:b/>
                                <w:color w:val="548DD4" w:themeColor="text2" w:themeTint="99"/>
                                <w:sz w:val="48"/>
                                <w:szCs w:val="48"/>
                              </w:rPr>
                              <w:t>Linfox Australia</w:t>
                            </w:r>
                          </w:p>
                          <w:p w14:paraId="3F624239" w14:textId="522A4B17" w:rsidR="00846A49" w:rsidRPr="00A232E4" w:rsidRDefault="00846A49" w:rsidP="004B2F40">
                            <w:pPr>
                              <w:jc w:val="right"/>
                              <w:rPr>
                                <w:rFonts w:cs="Arial"/>
                                <w:b/>
                                <w:color w:val="548DD4" w:themeColor="text2" w:themeTint="99"/>
                                <w:sz w:val="48"/>
                                <w:szCs w:val="48"/>
                              </w:rPr>
                            </w:pPr>
                            <w:r>
                              <w:rPr>
                                <w:rFonts w:cs="Arial"/>
                                <w:b/>
                                <w:color w:val="548DD4" w:themeColor="text2" w:themeTint="99"/>
                                <w:sz w:val="48"/>
                                <w:szCs w:val="48"/>
                              </w:rPr>
                              <w:t>Pty Ltd</w:t>
                            </w:r>
                          </w:p>
                          <w:p w14:paraId="2128B77C" w14:textId="0F48B2E8" w:rsidR="00846A49" w:rsidRPr="00E46837" w:rsidRDefault="00846A49" w:rsidP="00E46837">
                            <w:pPr>
                              <w:spacing w:after="0"/>
                              <w:jc w:val="right"/>
                              <w:rPr>
                                <w:rFonts w:ascii="Arial Narrow Bold" w:hAnsi="Arial Narrow Bold"/>
                                <w:sz w:val="32"/>
                                <w:szCs w:val="32"/>
                              </w:rPr>
                            </w:pPr>
                            <w:r>
                              <w:rPr>
                                <w:rFonts w:ascii="Arial Narrow Bold" w:hAnsi="Arial Narrow Bold"/>
                                <w:sz w:val="32"/>
                                <w:szCs w:val="32"/>
                              </w:rPr>
                              <w:t>[2014] AusHRC 81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type id="_x0000_t202" coordsize="21600,21600" o:spt="202" path="m0,0l0,21600,21600,21600,21600,0xe">
                <v:stroke joinstyle="miter"/>
                <v:path gradientshapeok="t" o:connecttype="rect"/>
              </v:shapetype>
              <v:shape id="Text Box 5" o:spid="_x0000_s1026" type="#_x0000_t202" style="position:absolute;margin-left:175.35pt;margin-top:5.05pt;width:269.7pt;height:15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" filled="f" stroked="f">
                <v:textbox>
                  <w:txbxContent>
                    <w:p w14:paraId="248E310E" w14:textId="20C78A93" w:rsidR="00846A49" w:rsidRDefault="00846A49" w:rsidP="004B2F40">
                      <w:pPr>
                        <w:spacing w:after="80"/>
                        <w:jc w:val="right"/>
                        <w:rPr>
                          <w:rFonts w:cs="Arial"/>
                          <w:b/>
                          <w:color w:val="548DD4" w:themeColor="text2" w:themeTint="99"/>
                          <w:sz w:val="48"/>
                          <w:szCs w:val="48"/>
                        </w:rPr>
                      </w:pPr>
                      <w:r>
                        <w:rPr>
                          <w:rFonts w:cs="Arial"/>
                          <w:b/>
                          <w:color w:val="548DD4" w:themeColor="text2" w:themeTint="99"/>
                          <w:sz w:val="48"/>
                          <w:szCs w:val="48"/>
                        </w:rPr>
                        <w:t>TM v</w:t>
                      </w:r>
                    </w:p>
                    <w:p w14:paraId="5A4AA25B" w14:textId="225A10E3" w:rsidR="00846A49" w:rsidRPr="00833542" w:rsidRDefault="00846A49" w:rsidP="004B2F40">
                      <w:pPr>
                        <w:spacing w:after="80"/>
                        <w:jc w:val="right"/>
                        <w:rPr>
                          <w:rFonts w:cs="Arial"/>
                          <w:b/>
                          <w:color w:val="548DD4" w:themeColor="text2" w:themeTint="99"/>
                          <w:sz w:val="48"/>
                          <w:szCs w:val="48"/>
                        </w:rPr>
                      </w:pPr>
                      <w:r>
                        <w:rPr>
                          <w:rFonts w:cs="Arial"/>
                          <w:b/>
                          <w:color w:val="548DD4" w:themeColor="text2" w:themeTint="99"/>
                          <w:sz w:val="48"/>
                          <w:szCs w:val="48"/>
                        </w:rPr>
                        <w:t>Linfox Australia</w:t>
                      </w:r>
                    </w:p>
                    <w:p w14:paraId="3F624239" w14:textId="522A4B17" w:rsidR="00846A49" w:rsidRPr="00A232E4" w:rsidRDefault="00846A49" w:rsidP="004B2F40">
                      <w:pPr>
                        <w:jc w:val="right"/>
                        <w:rPr>
                          <w:rFonts w:cs="Arial"/>
                          <w:b/>
                          <w:color w:val="548DD4" w:themeColor="text2" w:themeTint="99"/>
                          <w:sz w:val="48"/>
                          <w:szCs w:val="48"/>
                        </w:rPr>
                      </w:pPr>
                      <w:r>
                        <w:rPr>
                          <w:rFonts w:cs="Arial"/>
                          <w:b/>
                          <w:color w:val="548DD4" w:themeColor="text2" w:themeTint="99"/>
                          <w:sz w:val="48"/>
                          <w:szCs w:val="48"/>
                        </w:rPr>
                        <w:t>Pty Ltd</w:t>
                      </w:r>
                    </w:p>
                    <w:p w14:paraId="2128B77C" w14:textId="0F48B2E8" w:rsidR="00846A49" w:rsidRPr="00E46837" w:rsidRDefault="00846A49" w:rsidP="00E46837">
                      <w:pPr>
                        <w:spacing w:after="0"/>
                        <w:jc w:val="right"/>
                        <w:rPr>
                          <w:rFonts w:ascii="Arial Narrow Bold" w:hAnsi="Arial Narrow Bold"/>
                          <w:sz w:val="32"/>
                          <w:szCs w:val="32"/>
                        </w:rPr>
                      </w:pPr>
                      <w:r>
                        <w:rPr>
                          <w:rFonts w:ascii="Arial Narrow Bold" w:hAnsi="Arial Narrow Bold"/>
                          <w:sz w:val="32"/>
                          <w:szCs w:val="32"/>
                        </w:rPr>
                        <w:t>[2014] AusHRC 81</w:t>
                      </w:r>
                    </w:p>
                  </w:txbxContent>
                </v:textbox>
                <w10:wrap type="square"/>
              </v:shape>
            </w:pict>
          </mc:Fallback>
        </mc:AlternateContent>
      </w:r>
      <w:r w:rsidR="00155A60">
        <w:br w:type="page"/>
      </w:r>
    </w:p>
    <w:p w14:paraId="28571CE9" w14:textId="77777777" w:rsidR="00350BA1" w:rsidRDefault="00350BA1" w:rsidP="00350BA1"/>
    <w:p w14:paraId="30FCE28C" w14:textId="77777777" w:rsidR="00350BA1" w:rsidRDefault="00350BA1" w:rsidP="00350BA1"/>
    <w:p w14:paraId="708BEEC5" w14:textId="77777777" w:rsidR="00350BA1" w:rsidRDefault="00350BA1" w:rsidP="00350BA1"/>
    <w:p w14:paraId="4353FA92" w14:textId="77777777" w:rsidR="00350BA1" w:rsidRDefault="00350BA1" w:rsidP="00350BA1"/>
    <w:p w14:paraId="07C08863" w14:textId="77777777" w:rsidR="00350BA1" w:rsidRDefault="00350BA1" w:rsidP="00350BA1"/>
    <w:p w14:paraId="003CED2D" w14:textId="77777777" w:rsidR="00350BA1" w:rsidRDefault="00350BA1" w:rsidP="00350BA1"/>
    <w:p w14:paraId="3C637518" w14:textId="77777777" w:rsidR="00350BA1" w:rsidRDefault="00350BA1" w:rsidP="00350BA1"/>
    <w:p w14:paraId="4E8FF7D4" w14:textId="77777777" w:rsidR="00350BA1" w:rsidRPr="00F20955" w:rsidRDefault="00350BA1" w:rsidP="00350BA1">
      <w:pPr>
        <w:widowControl w:val="0"/>
        <w:tabs>
          <w:tab w:val="left" w:pos="567"/>
        </w:tabs>
        <w:suppressAutoHyphens/>
        <w:autoSpaceDE w:val="0"/>
        <w:autoSpaceDN w:val="0"/>
        <w:adjustRightInd w:val="0"/>
        <w:spacing w:after="113"/>
        <w:textAlignment w:val="center"/>
        <w:rPr>
          <w:rFonts w:cs="Arial"/>
          <w:b/>
          <w:bCs/>
          <w:color w:val="000000"/>
          <w:sz w:val="20"/>
          <w:szCs w:val="20"/>
          <w:u w:color="000000"/>
          <w:lang w:val="en-US" w:eastAsia="en-AU"/>
        </w:rPr>
      </w:pPr>
      <w:r w:rsidRPr="00F20955">
        <w:rPr>
          <w:rFonts w:cs="Arial"/>
          <w:b/>
          <w:bCs/>
          <w:color w:val="000000"/>
          <w:sz w:val="20"/>
          <w:szCs w:val="20"/>
          <w:u w:color="000000"/>
          <w:lang w:val="en-AU" w:eastAsia="en-AU"/>
        </w:rPr>
        <w:t>© Australian Human Rights Commission 2014.</w:t>
      </w:r>
    </w:p>
    <w:p w14:paraId="04236DA4" w14:textId="77777777" w:rsidR="00350BA1" w:rsidRPr="00F20955" w:rsidRDefault="00350BA1" w:rsidP="00350BA1">
      <w:pPr>
        <w:keepLines/>
        <w:widowControl w:val="0"/>
        <w:autoSpaceDE w:val="0"/>
        <w:autoSpaceDN w:val="0"/>
        <w:adjustRightInd w:val="0"/>
        <w:spacing w:after="113"/>
        <w:textAlignment w:val="center"/>
        <w:rPr>
          <w:rFonts w:cs="Arial"/>
          <w:color w:val="000000"/>
          <w:sz w:val="20"/>
          <w:szCs w:val="20"/>
          <w:lang w:val="en-US" w:eastAsia="en-AU"/>
        </w:rPr>
      </w:pPr>
      <w:r>
        <w:rPr>
          <w:rFonts w:cs="Arial"/>
          <w:noProof/>
          <w:color w:val="000000"/>
          <w:sz w:val="20"/>
          <w:szCs w:val="20"/>
          <w:lang w:val="en-AU" w:eastAsia="en-AU"/>
        </w:rPr>
        <w:drawing>
          <wp:inline distT="0" distB="0" distL="0" distR="0" wp14:anchorId="59E9D2AA" wp14:editId="7A43980D">
            <wp:extent cx="1075055" cy="38204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eps.pdf"/>
                    <pic:cNvPicPr/>
                  </pic:nvPicPr>
                  <pic:blipFill>
                    <a:blip r:embed="rId10">
                      <a:extLst>
                        <a:ext uri="{28A0092B-C50C-407E-A947-70E740481C1C}">
                          <a14:useLocalDpi xmlns:a14="http://schemas.microsoft.com/office/drawing/2010/main" val="0"/>
                        </a:ext>
                      </a:extLst>
                    </a:blip>
                    <a:stretch>
                      <a:fillRect/>
                    </a:stretch>
                  </pic:blipFill>
                  <pic:spPr>
                    <a:xfrm>
                      <a:off x="0" y="0"/>
                      <a:ext cx="1076043" cy="382395"/>
                    </a:xfrm>
                    <a:prstGeom prst="rect">
                      <a:avLst/>
                    </a:prstGeom>
                  </pic:spPr>
                </pic:pic>
              </a:graphicData>
            </a:graphic>
          </wp:inline>
        </w:drawing>
      </w:r>
    </w:p>
    <w:p w14:paraId="5E31D616" w14:textId="77777777" w:rsidR="00350BA1" w:rsidRPr="00F20955" w:rsidRDefault="00350BA1" w:rsidP="00350BA1">
      <w:pPr>
        <w:widowControl w:val="0"/>
        <w:tabs>
          <w:tab w:val="left" w:pos="567"/>
        </w:tabs>
        <w:suppressAutoHyphens/>
        <w:autoSpaceDE w:val="0"/>
        <w:autoSpaceDN w:val="0"/>
        <w:adjustRightInd w:val="0"/>
        <w:spacing w:after="113"/>
        <w:textAlignment w:val="center"/>
        <w:rPr>
          <w:rFonts w:cs="Arial"/>
          <w:color w:val="000000"/>
          <w:sz w:val="20"/>
          <w:szCs w:val="20"/>
          <w:u w:color="000000"/>
          <w:lang w:val="en-AU" w:eastAsia="en-AU"/>
        </w:rPr>
      </w:pPr>
      <w:r w:rsidRPr="00F20955">
        <w:rPr>
          <w:rFonts w:cs="Arial"/>
          <w:b/>
          <w:bCs/>
          <w:color w:val="000000"/>
          <w:sz w:val="20"/>
          <w:szCs w:val="20"/>
          <w:u w:color="000000"/>
          <w:lang w:val="en-AU" w:eastAsia="en-AU"/>
        </w:rPr>
        <w:t>ISSN 1837-1183</w:t>
      </w:r>
    </w:p>
    <w:p w14:paraId="38EEFBF5" w14:textId="77777777" w:rsidR="00350BA1" w:rsidRPr="00F20955" w:rsidRDefault="00350BA1" w:rsidP="00350BA1">
      <w:pPr>
        <w:widowControl w:val="0"/>
        <w:tabs>
          <w:tab w:val="left" w:pos="567"/>
        </w:tabs>
        <w:suppressAutoHyphens/>
        <w:autoSpaceDE w:val="0"/>
        <w:autoSpaceDN w:val="0"/>
        <w:adjustRightInd w:val="0"/>
        <w:spacing w:after="57"/>
        <w:textAlignment w:val="center"/>
        <w:rPr>
          <w:rFonts w:cs="Arial"/>
          <w:color w:val="000000"/>
          <w:sz w:val="20"/>
          <w:szCs w:val="20"/>
          <w:u w:color="000000"/>
          <w:lang w:val="en-AU" w:eastAsia="en-AU"/>
        </w:rPr>
      </w:pPr>
      <w:r w:rsidRPr="00F20955">
        <w:rPr>
          <w:rFonts w:cs="Arial"/>
          <w:color w:val="000000"/>
          <w:sz w:val="20"/>
          <w:szCs w:val="20"/>
          <w:u w:color="000000"/>
          <w:lang w:val="en-AU" w:eastAsia="en-AU"/>
        </w:rPr>
        <w:t>The Australian Human Rights Commission encourages the dissemination and exchange of information presented in this publication.</w:t>
      </w:r>
    </w:p>
    <w:p w14:paraId="4344CA68" w14:textId="77777777" w:rsidR="00350BA1" w:rsidRPr="00F20955" w:rsidRDefault="00350BA1" w:rsidP="00350BA1">
      <w:pPr>
        <w:widowControl w:val="0"/>
        <w:tabs>
          <w:tab w:val="left" w:pos="567"/>
        </w:tabs>
        <w:suppressAutoHyphens/>
        <w:autoSpaceDE w:val="0"/>
        <w:autoSpaceDN w:val="0"/>
        <w:adjustRightInd w:val="0"/>
        <w:spacing w:after="57"/>
        <w:textAlignment w:val="center"/>
        <w:rPr>
          <w:rFonts w:cs="Arial"/>
          <w:color w:val="000000"/>
          <w:sz w:val="20"/>
          <w:szCs w:val="20"/>
          <w:u w:color="000000"/>
          <w:lang w:val="en-AU" w:eastAsia="en-AU"/>
        </w:rPr>
      </w:pPr>
      <w:r w:rsidRPr="00F20955">
        <w:rPr>
          <w:rFonts w:cs="Arial"/>
          <w:color w:val="000000"/>
          <w:sz w:val="20"/>
          <w:szCs w:val="20"/>
          <w:u w:color="000000"/>
          <w:lang w:val="en-AU" w:eastAsia="en-AU"/>
        </w:rPr>
        <w:t>All material presented in this publication is licenced under a Creative Commons Attribution 3.0 Australia licence, with the exception of the Australian Human Rights Commission Logo.</w:t>
      </w:r>
    </w:p>
    <w:p w14:paraId="4115E0E8" w14:textId="77777777" w:rsidR="00350BA1" w:rsidRPr="00F20955" w:rsidRDefault="00350BA1" w:rsidP="00350BA1">
      <w:pPr>
        <w:widowControl w:val="0"/>
        <w:tabs>
          <w:tab w:val="left" w:pos="567"/>
        </w:tabs>
        <w:suppressAutoHyphens/>
        <w:autoSpaceDE w:val="0"/>
        <w:autoSpaceDN w:val="0"/>
        <w:adjustRightInd w:val="0"/>
        <w:spacing w:after="57"/>
        <w:textAlignment w:val="center"/>
        <w:rPr>
          <w:rFonts w:cs="Arial"/>
          <w:color w:val="000000"/>
          <w:sz w:val="20"/>
          <w:szCs w:val="20"/>
          <w:u w:color="000000"/>
          <w:lang w:val="en-AU" w:eastAsia="en-AU"/>
        </w:rPr>
      </w:pPr>
      <w:r w:rsidRPr="00F20955">
        <w:rPr>
          <w:rFonts w:cs="Arial"/>
          <w:color w:val="000000"/>
          <w:sz w:val="20"/>
          <w:szCs w:val="20"/>
          <w:u w:color="000000"/>
          <w:lang w:val="en-AU" w:eastAsia="en-AU"/>
        </w:rPr>
        <w:t xml:space="preserve">To view a copy of this licence, visit </w:t>
      </w:r>
      <w:hyperlink r:id="rId11" w:history="1">
        <w:r w:rsidRPr="00EA571C">
          <w:rPr>
            <w:rStyle w:val="Hyperlink"/>
            <w:rFonts w:cs="Arial"/>
            <w:b/>
            <w:sz w:val="20"/>
            <w:szCs w:val="20"/>
            <w:u w:color="000000"/>
            <w:lang w:val="en-AU" w:eastAsia="en-AU"/>
          </w:rPr>
          <w:t>http://creativecommons.org/licences/by/3.0/au</w:t>
        </w:r>
      </w:hyperlink>
      <w:r>
        <w:rPr>
          <w:rFonts w:cs="Arial"/>
          <w:color w:val="000000"/>
          <w:sz w:val="20"/>
          <w:szCs w:val="20"/>
          <w:u w:color="000000"/>
          <w:lang w:val="en-AU" w:eastAsia="en-AU"/>
        </w:rPr>
        <w:t>.</w:t>
      </w:r>
    </w:p>
    <w:p w14:paraId="7F61F80C" w14:textId="77777777" w:rsidR="00350BA1" w:rsidRPr="00F20955" w:rsidRDefault="00350BA1" w:rsidP="00350BA1">
      <w:pPr>
        <w:widowControl w:val="0"/>
        <w:tabs>
          <w:tab w:val="left" w:pos="567"/>
        </w:tabs>
        <w:suppressAutoHyphens/>
        <w:autoSpaceDE w:val="0"/>
        <w:autoSpaceDN w:val="0"/>
        <w:adjustRightInd w:val="0"/>
        <w:spacing w:after="340"/>
        <w:textAlignment w:val="center"/>
        <w:rPr>
          <w:rFonts w:cs="Arial"/>
          <w:color w:val="000000"/>
          <w:sz w:val="20"/>
          <w:szCs w:val="20"/>
          <w:u w:color="000000"/>
          <w:lang w:val="en-AU" w:eastAsia="en-AU"/>
        </w:rPr>
      </w:pPr>
      <w:r w:rsidRPr="00F20955">
        <w:rPr>
          <w:rFonts w:cs="Arial"/>
          <w:color w:val="000000"/>
          <w:sz w:val="20"/>
          <w:szCs w:val="20"/>
          <w:u w:color="000000"/>
          <w:lang w:val="en-AU" w:eastAsia="en-AU"/>
        </w:rPr>
        <w:t>In essence, you are free to copy, communicate and adapt the work, as long as you attribute the work to the Australian Human Rights Commission and abide by the other licence terms.</w:t>
      </w:r>
    </w:p>
    <w:p w14:paraId="6C75E768" w14:textId="77777777" w:rsidR="00350BA1" w:rsidRPr="00F20955" w:rsidRDefault="00350BA1" w:rsidP="00350BA1">
      <w:pPr>
        <w:widowControl w:val="0"/>
        <w:tabs>
          <w:tab w:val="left" w:pos="567"/>
        </w:tabs>
        <w:suppressAutoHyphens/>
        <w:autoSpaceDE w:val="0"/>
        <w:autoSpaceDN w:val="0"/>
        <w:adjustRightInd w:val="0"/>
        <w:spacing w:before="113" w:after="57"/>
        <w:textAlignment w:val="center"/>
        <w:rPr>
          <w:rFonts w:cs="Arial"/>
          <w:b/>
          <w:bCs/>
          <w:color w:val="000000"/>
          <w:sz w:val="20"/>
          <w:szCs w:val="20"/>
          <w:u w:color="000000"/>
          <w:lang w:val="en-AU" w:eastAsia="en-AU"/>
        </w:rPr>
      </w:pPr>
      <w:r w:rsidRPr="00F20955">
        <w:rPr>
          <w:rFonts w:cs="Arial"/>
          <w:b/>
          <w:bCs/>
          <w:color w:val="000000"/>
          <w:sz w:val="20"/>
          <w:szCs w:val="20"/>
          <w:u w:color="000000"/>
          <w:lang w:val="en-AU" w:eastAsia="en-AU"/>
        </w:rPr>
        <w:t>Electronic format</w:t>
      </w:r>
    </w:p>
    <w:p w14:paraId="023B7526" w14:textId="77777777" w:rsidR="00350BA1" w:rsidRPr="00F20955" w:rsidRDefault="00350BA1" w:rsidP="00350BA1">
      <w:pPr>
        <w:widowControl w:val="0"/>
        <w:tabs>
          <w:tab w:val="left" w:pos="567"/>
        </w:tabs>
        <w:suppressAutoHyphens/>
        <w:autoSpaceDE w:val="0"/>
        <w:autoSpaceDN w:val="0"/>
        <w:adjustRightInd w:val="0"/>
        <w:spacing w:after="57"/>
        <w:textAlignment w:val="center"/>
        <w:rPr>
          <w:rFonts w:cs="Arial"/>
          <w:color w:val="000000"/>
          <w:sz w:val="20"/>
          <w:szCs w:val="20"/>
          <w:u w:color="000000"/>
          <w:lang w:val="en-AU" w:eastAsia="en-AU"/>
        </w:rPr>
      </w:pPr>
      <w:r w:rsidRPr="00F20955">
        <w:rPr>
          <w:rFonts w:cs="Arial"/>
          <w:color w:val="000000"/>
          <w:sz w:val="20"/>
          <w:szCs w:val="20"/>
          <w:u w:color="000000"/>
          <w:lang w:val="en-AU" w:eastAsia="en-AU"/>
        </w:rPr>
        <w:t xml:space="preserve">This publication can be found in electronic format on the website of the Australian Human Rights Commission: </w:t>
      </w:r>
      <w:hyperlink r:id="rId12" w:history="1">
        <w:r w:rsidRPr="00EA571C">
          <w:rPr>
            <w:rStyle w:val="Hyperlink"/>
            <w:rFonts w:cs="Arial"/>
            <w:b/>
            <w:sz w:val="20"/>
            <w:szCs w:val="20"/>
            <w:u w:color="000000"/>
            <w:lang w:val="en-AU" w:eastAsia="en-AU"/>
          </w:rPr>
          <w:t>http://www.humanrights.gov.au/publications/index.html</w:t>
        </w:r>
      </w:hyperlink>
      <w:r w:rsidRPr="00F20955">
        <w:rPr>
          <w:rFonts w:cs="Arial"/>
          <w:color w:val="000000"/>
          <w:sz w:val="20"/>
          <w:szCs w:val="20"/>
          <w:u w:color="000000"/>
          <w:lang w:val="en-AU" w:eastAsia="en-AU"/>
        </w:rPr>
        <w:t>.</w:t>
      </w:r>
    </w:p>
    <w:p w14:paraId="3E09E9BA" w14:textId="77777777" w:rsidR="00350BA1" w:rsidRPr="00F20955" w:rsidRDefault="00350BA1" w:rsidP="00350BA1">
      <w:pPr>
        <w:widowControl w:val="0"/>
        <w:tabs>
          <w:tab w:val="left" w:pos="567"/>
        </w:tabs>
        <w:suppressAutoHyphens/>
        <w:autoSpaceDE w:val="0"/>
        <w:autoSpaceDN w:val="0"/>
        <w:adjustRightInd w:val="0"/>
        <w:spacing w:before="113" w:after="57"/>
        <w:textAlignment w:val="center"/>
        <w:rPr>
          <w:rFonts w:cs="Arial"/>
          <w:b/>
          <w:bCs/>
          <w:color w:val="000000"/>
          <w:sz w:val="20"/>
          <w:szCs w:val="20"/>
          <w:u w:color="000000"/>
          <w:lang w:val="en-AU" w:eastAsia="en-AU"/>
        </w:rPr>
      </w:pPr>
      <w:r w:rsidRPr="00F20955">
        <w:rPr>
          <w:rFonts w:cs="Arial"/>
          <w:b/>
          <w:bCs/>
          <w:color w:val="000000"/>
          <w:sz w:val="20"/>
          <w:szCs w:val="20"/>
          <w:u w:color="000000"/>
          <w:lang w:val="en-AU" w:eastAsia="en-AU"/>
        </w:rPr>
        <w:t>Contact details</w:t>
      </w:r>
    </w:p>
    <w:p w14:paraId="1D5863E2" w14:textId="77777777" w:rsidR="00350BA1" w:rsidRDefault="00350BA1" w:rsidP="00350BA1">
      <w:pPr>
        <w:widowControl w:val="0"/>
        <w:tabs>
          <w:tab w:val="left" w:pos="567"/>
        </w:tabs>
        <w:suppressAutoHyphens/>
        <w:autoSpaceDE w:val="0"/>
        <w:autoSpaceDN w:val="0"/>
        <w:adjustRightInd w:val="0"/>
        <w:spacing w:after="57"/>
        <w:textAlignment w:val="center"/>
        <w:rPr>
          <w:rFonts w:cs="Arial"/>
          <w:color w:val="000000"/>
          <w:sz w:val="20"/>
          <w:szCs w:val="20"/>
          <w:u w:color="000000"/>
          <w:lang w:val="en-AU" w:eastAsia="en-AU"/>
        </w:rPr>
      </w:pPr>
      <w:r w:rsidRPr="00F20955">
        <w:rPr>
          <w:rFonts w:cs="Arial"/>
          <w:color w:val="000000"/>
          <w:sz w:val="20"/>
          <w:szCs w:val="20"/>
          <w:u w:color="000000"/>
          <w:lang w:val="en-AU" w:eastAsia="en-AU"/>
        </w:rPr>
        <w:t xml:space="preserve">For further information about the Australian Human Rights Commission, please visit </w:t>
      </w:r>
      <w:hyperlink r:id="rId13" w:history="1">
        <w:r w:rsidRPr="00EA571C">
          <w:rPr>
            <w:rStyle w:val="Hyperlink"/>
            <w:rFonts w:cs="Arial"/>
            <w:b/>
            <w:sz w:val="20"/>
            <w:szCs w:val="20"/>
            <w:u w:color="000000"/>
            <w:lang w:val="en-AU" w:eastAsia="en-AU"/>
          </w:rPr>
          <w:t>http://www.humanrights.gov.au</w:t>
        </w:r>
      </w:hyperlink>
      <w:r>
        <w:rPr>
          <w:rFonts w:cs="Arial"/>
          <w:color w:val="000000"/>
          <w:sz w:val="20"/>
          <w:szCs w:val="20"/>
          <w:u w:color="000000"/>
          <w:lang w:val="en-AU" w:eastAsia="en-AU"/>
        </w:rPr>
        <w:t xml:space="preserve"> </w:t>
      </w:r>
      <w:r w:rsidRPr="00F20955">
        <w:rPr>
          <w:rFonts w:cs="Arial"/>
          <w:color w:val="000000"/>
          <w:sz w:val="20"/>
          <w:szCs w:val="20"/>
          <w:u w:color="000000"/>
          <w:lang w:val="en-AU" w:eastAsia="en-AU"/>
        </w:rPr>
        <w:t xml:space="preserve">or email </w:t>
      </w:r>
      <w:hyperlink r:id="rId14" w:history="1">
        <w:r>
          <w:rPr>
            <w:rStyle w:val="Hyperlink"/>
            <w:rFonts w:cs="Arial"/>
            <w:b/>
            <w:sz w:val="20"/>
            <w:szCs w:val="20"/>
            <w:u w:color="000000"/>
            <w:lang w:val="en-AU" w:eastAsia="en-AU"/>
          </w:rPr>
          <w:t>communications@humanrights.gov.au</w:t>
        </w:r>
      </w:hyperlink>
      <w:r>
        <w:rPr>
          <w:rFonts w:cs="Arial"/>
          <w:color w:val="000000"/>
          <w:sz w:val="20"/>
          <w:szCs w:val="20"/>
          <w:u w:color="000000"/>
          <w:lang w:val="en-AU" w:eastAsia="en-AU"/>
        </w:rPr>
        <w:t>.</w:t>
      </w:r>
    </w:p>
    <w:p w14:paraId="62FCA160" w14:textId="77777777" w:rsidR="00350BA1" w:rsidRPr="00F20955" w:rsidRDefault="00350BA1" w:rsidP="00350BA1">
      <w:pPr>
        <w:widowControl w:val="0"/>
        <w:tabs>
          <w:tab w:val="left" w:pos="567"/>
        </w:tabs>
        <w:suppressAutoHyphens/>
        <w:autoSpaceDE w:val="0"/>
        <w:autoSpaceDN w:val="0"/>
        <w:adjustRightInd w:val="0"/>
        <w:spacing w:after="57"/>
        <w:textAlignment w:val="center"/>
        <w:rPr>
          <w:rFonts w:cs="Arial"/>
          <w:color w:val="000000"/>
          <w:sz w:val="20"/>
          <w:szCs w:val="20"/>
          <w:u w:color="000000"/>
          <w:lang w:val="en-AU" w:eastAsia="en-AU"/>
        </w:rPr>
      </w:pPr>
      <w:r w:rsidRPr="00F20955">
        <w:rPr>
          <w:rFonts w:cs="Arial"/>
          <w:color w:val="000000"/>
          <w:sz w:val="20"/>
          <w:szCs w:val="20"/>
          <w:u w:color="000000"/>
          <w:lang w:val="en-AU" w:eastAsia="en-AU"/>
        </w:rPr>
        <w:t>You can also write to:</w:t>
      </w:r>
    </w:p>
    <w:p w14:paraId="10C7DCA2" w14:textId="77777777" w:rsidR="00350BA1" w:rsidRPr="00F20955" w:rsidRDefault="00350BA1" w:rsidP="00350BA1">
      <w:pPr>
        <w:pStyle w:val="CopyrightText"/>
        <w:rPr>
          <w:rFonts w:cs="Arial"/>
          <w:szCs w:val="20"/>
          <w:lang w:val="en-AU"/>
        </w:rPr>
      </w:pPr>
      <w:r w:rsidRPr="00F20955">
        <w:rPr>
          <w:rFonts w:cs="Arial"/>
          <w:color w:val="000000"/>
          <w:szCs w:val="20"/>
          <w:lang w:val="en-AU"/>
        </w:rPr>
        <w:tab/>
      </w:r>
      <w:r>
        <w:rPr>
          <w:rFonts w:cs="Arial"/>
          <w:color w:val="000000"/>
          <w:szCs w:val="20"/>
          <w:lang w:val="en-AU"/>
        </w:rPr>
        <w:tab/>
      </w:r>
      <w:r w:rsidRPr="00F20955">
        <w:rPr>
          <w:rFonts w:cs="Arial"/>
          <w:color w:val="000000"/>
          <w:szCs w:val="20"/>
          <w:lang w:val="en-AU"/>
        </w:rPr>
        <w:t>Communications Team</w:t>
      </w:r>
      <w:r w:rsidRPr="00F20955">
        <w:rPr>
          <w:rFonts w:cs="Arial"/>
          <w:color w:val="000000"/>
          <w:szCs w:val="20"/>
          <w:lang w:val="en-AU"/>
        </w:rPr>
        <w:br/>
      </w:r>
      <w:r w:rsidRPr="00F20955">
        <w:rPr>
          <w:rFonts w:cs="Arial"/>
          <w:color w:val="000000"/>
          <w:szCs w:val="20"/>
          <w:lang w:val="en-AU"/>
        </w:rPr>
        <w:tab/>
      </w:r>
      <w:r>
        <w:rPr>
          <w:rFonts w:cs="Arial"/>
          <w:color w:val="000000"/>
          <w:szCs w:val="20"/>
          <w:lang w:val="en-AU"/>
        </w:rPr>
        <w:tab/>
      </w:r>
      <w:r w:rsidRPr="00F20955">
        <w:rPr>
          <w:rFonts w:cs="Arial"/>
          <w:color w:val="000000"/>
          <w:szCs w:val="20"/>
          <w:lang w:val="en-AU"/>
        </w:rPr>
        <w:t>Australian Human Rights Commission</w:t>
      </w:r>
      <w:r w:rsidRPr="00F20955">
        <w:rPr>
          <w:rFonts w:cs="Arial"/>
          <w:color w:val="000000"/>
          <w:szCs w:val="20"/>
          <w:lang w:val="en-AU"/>
        </w:rPr>
        <w:br/>
      </w:r>
      <w:r w:rsidRPr="00F20955">
        <w:rPr>
          <w:rFonts w:cs="Arial"/>
          <w:color w:val="000000"/>
          <w:szCs w:val="20"/>
          <w:lang w:val="en-AU"/>
        </w:rPr>
        <w:tab/>
      </w:r>
      <w:r>
        <w:rPr>
          <w:rFonts w:cs="Arial"/>
          <w:color w:val="000000"/>
          <w:szCs w:val="20"/>
          <w:lang w:val="en-AU"/>
        </w:rPr>
        <w:tab/>
      </w:r>
      <w:r w:rsidRPr="00F20955">
        <w:rPr>
          <w:rFonts w:cs="Arial"/>
          <w:color w:val="000000"/>
          <w:szCs w:val="20"/>
          <w:lang w:val="en-AU"/>
        </w:rPr>
        <w:t>GPO Box 5218</w:t>
      </w:r>
      <w:r w:rsidRPr="00F20955">
        <w:rPr>
          <w:rFonts w:cs="Arial"/>
          <w:color w:val="000000"/>
          <w:szCs w:val="20"/>
          <w:lang w:val="en-AU"/>
        </w:rPr>
        <w:br/>
      </w:r>
      <w:r w:rsidRPr="00F20955">
        <w:rPr>
          <w:rFonts w:cs="Arial"/>
          <w:color w:val="000000"/>
          <w:szCs w:val="20"/>
          <w:lang w:val="en-AU"/>
        </w:rPr>
        <w:tab/>
      </w:r>
      <w:r>
        <w:rPr>
          <w:rFonts w:cs="Arial"/>
          <w:color w:val="000000"/>
          <w:szCs w:val="20"/>
          <w:lang w:val="en-AU"/>
        </w:rPr>
        <w:tab/>
      </w:r>
      <w:r w:rsidRPr="00F20955">
        <w:rPr>
          <w:rFonts w:cs="Arial"/>
          <w:color w:val="000000"/>
          <w:szCs w:val="20"/>
          <w:lang w:val="en-AU"/>
        </w:rPr>
        <w:t>Sydney NSW 2001</w:t>
      </w:r>
    </w:p>
    <w:p w14:paraId="5E67F6E3" w14:textId="77777777" w:rsidR="00350BA1" w:rsidRDefault="00350BA1" w:rsidP="00350BA1">
      <w:pPr>
        <w:pStyle w:val="CopyrightText"/>
        <w:rPr>
          <w:rFonts w:cs="Arial"/>
          <w:lang w:val="en-AU"/>
        </w:rPr>
      </w:pPr>
    </w:p>
    <w:p w14:paraId="5577399B" w14:textId="77777777" w:rsidR="00350BA1" w:rsidRDefault="00350BA1" w:rsidP="00350BA1">
      <w:pPr>
        <w:spacing w:after="0" w:line="240" w:lineRule="auto"/>
        <w:rPr>
          <w:rFonts w:cs="Arial"/>
          <w:sz w:val="20"/>
          <w:szCs w:val="16"/>
          <w:u w:color="000000"/>
          <w:lang w:val="en-AU" w:eastAsia="en-AU"/>
        </w:rPr>
      </w:pPr>
      <w:r>
        <w:rPr>
          <w:rFonts w:cs="Arial"/>
          <w:lang w:val="en-AU"/>
        </w:rPr>
        <w:br w:type="page"/>
      </w:r>
    </w:p>
    <w:p w14:paraId="1FC38552" w14:textId="77777777" w:rsidR="00651527" w:rsidRDefault="00651527"/>
    <w:p w14:paraId="0A81F84B" w14:textId="77777777" w:rsidR="000E3DC1" w:rsidRDefault="000E3DC1"/>
    <w:p w14:paraId="6A3FD131" w14:textId="181E4AAC" w:rsidR="00A44514" w:rsidRPr="003B3FD3" w:rsidRDefault="00D34895" w:rsidP="00A44514">
      <w:pPr>
        <w:pStyle w:val="InternalTitleBold"/>
        <w:spacing w:after="600"/>
        <w:rPr>
          <w:rFonts w:ascii="Arial" w:hAnsi="Arial" w:cs="Arial"/>
          <w:color w:val="808080" w:themeColor="background1" w:themeShade="80"/>
          <w:sz w:val="44"/>
          <w:szCs w:val="44"/>
        </w:rPr>
      </w:pPr>
      <w:r>
        <w:rPr>
          <w:rFonts w:ascii="Arial" w:hAnsi="Arial" w:cs="Arial"/>
          <w:bCs w:val="0"/>
          <w:color w:val="808080" w:themeColor="background1" w:themeShade="80"/>
          <w:sz w:val="44"/>
          <w:szCs w:val="44"/>
        </w:rPr>
        <w:t>TM v Linfox Australia Pty Ltd</w:t>
      </w:r>
    </w:p>
    <w:p w14:paraId="7DDC134E" w14:textId="7EDD9417" w:rsidR="00D34895" w:rsidRPr="00D34895" w:rsidRDefault="00A44514" w:rsidP="00D34895">
      <w:pPr>
        <w:pStyle w:val="InternalSubTitlePlain"/>
        <w:rPr>
          <w:rFonts w:ascii="Arial" w:hAnsi="Arial" w:cs="Arial"/>
          <w:color w:val="808080" w:themeColor="background1" w:themeShade="80"/>
          <w:sz w:val="40"/>
          <w:szCs w:val="40"/>
        </w:rPr>
      </w:pPr>
      <w:r w:rsidRPr="003B3FD3">
        <w:rPr>
          <w:rFonts w:ascii="Arial" w:hAnsi="Arial" w:cs="Arial"/>
          <w:color w:val="808080" w:themeColor="background1" w:themeShade="80"/>
          <w:sz w:val="40"/>
          <w:szCs w:val="40"/>
        </w:rPr>
        <w:t xml:space="preserve">Report </w:t>
      </w:r>
      <w:r w:rsidRPr="00D34895">
        <w:rPr>
          <w:rFonts w:ascii="Arial" w:hAnsi="Arial" w:cs="Arial"/>
          <w:color w:val="808080" w:themeColor="background1" w:themeShade="80"/>
          <w:sz w:val="40"/>
          <w:szCs w:val="40"/>
        </w:rPr>
        <w:t xml:space="preserve">into </w:t>
      </w:r>
      <w:r w:rsidR="00D34895" w:rsidRPr="00D34895">
        <w:rPr>
          <w:rFonts w:ascii="Arial" w:hAnsi="Arial" w:cs="Arial"/>
          <w:color w:val="808080" w:themeColor="background1" w:themeShade="80"/>
          <w:sz w:val="40"/>
          <w:szCs w:val="40"/>
        </w:rPr>
        <w:t xml:space="preserve"> discrimination in employment </w:t>
      </w:r>
      <w:r w:rsidR="00D34895">
        <w:rPr>
          <w:rFonts w:ascii="Arial" w:hAnsi="Arial" w:cs="Arial"/>
          <w:color w:val="808080" w:themeColor="background1" w:themeShade="80"/>
          <w:sz w:val="40"/>
          <w:szCs w:val="40"/>
        </w:rPr>
        <w:br/>
      </w:r>
      <w:r w:rsidR="00D34895" w:rsidRPr="00D34895">
        <w:rPr>
          <w:rFonts w:ascii="Arial" w:hAnsi="Arial" w:cs="Arial"/>
          <w:color w:val="808080" w:themeColor="background1" w:themeShade="80"/>
          <w:sz w:val="40"/>
          <w:szCs w:val="40"/>
        </w:rPr>
        <w:t>on the basis of criminal record</w:t>
      </w:r>
    </w:p>
    <w:p w14:paraId="6CC0679A" w14:textId="2435E1BB" w:rsidR="00095F05" w:rsidRPr="00A44514" w:rsidRDefault="00D34895" w:rsidP="009F3D05">
      <w:pPr>
        <w:keepNext/>
        <w:widowControl w:val="0"/>
        <w:tabs>
          <w:tab w:val="left" w:pos="567"/>
        </w:tabs>
        <w:suppressAutoHyphens/>
        <w:autoSpaceDE w:val="0"/>
        <w:autoSpaceDN w:val="0"/>
        <w:adjustRightInd w:val="0"/>
        <w:spacing w:after="283"/>
        <w:textAlignment w:val="center"/>
        <w:rPr>
          <w:rFonts w:cs="Arial"/>
          <w:color w:val="808080" w:themeColor="background1" w:themeShade="80"/>
          <w:sz w:val="48"/>
          <w:szCs w:val="48"/>
          <w:lang w:val="en-AU" w:eastAsia="en-AU"/>
        </w:rPr>
      </w:pPr>
      <w:r w:rsidRPr="00A44514">
        <w:rPr>
          <w:rFonts w:cs="Arial"/>
          <w:color w:val="808080" w:themeColor="background1" w:themeShade="80"/>
          <w:sz w:val="48"/>
          <w:szCs w:val="48"/>
          <w:lang w:val="en-AU" w:eastAsia="en-AU"/>
        </w:rPr>
        <w:t xml:space="preserve"> </w:t>
      </w:r>
      <w:r w:rsidR="00A232E4" w:rsidRPr="00A44514">
        <w:rPr>
          <w:rFonts w:cs="Arial"/>
          <w:color w:val="808080" w:themeColor="background1" w:themeShade="80"/>
          <w:sz w:val="48"/>
          <w:szCs w:val="48"/>
          <w:lang w:val="en-AU" w:eastAsia="en-AU"/>
        </w:rPr>
        <w:t xml:space="preserve">[2014] AusHRC </w:t>
      </w:r>
      <w:r w:rsidR="00A44514" w:rsidRPr="00A44514">
        <w:rPr>
          <w:rFonts w:cs="Arial"/>
          <w:color w:val="808080" w:themeColor="background1" w:themeShade="80"/>
          <w:sz w:val="48"/>
          <w:szCs w:val="48"/>
          <w:lang w:val="en-AU" w:eastAsia="en-AU"/>
        </w:rPr>
        <w:t>8</w:t>
      </w:r>
      <w:r>
        <w:rPr>
          <w:rFonts w:cs="Arial"/>
          <w:color w:val="808080" w:themeColor="background1" w:themeShade="80"/>
          <w:sz w:val="48"/>
          <w:szCs w:val="48"/>
          <w:lang w:val="en-AU" w:eastAsia="en-AU"/>
        </w:rPr>
        <w:t>1</w:t>
      </w:r>
    </w:p>
    <w:p w14:paraId="07C22FFF" w14:textId="210F6B03" w:rsidR="000E3DC1" w:rsidRPr="00833542" w:rsidRDefault="000E3DC1" w:rsidP="000E3DC1">
      <w:pPr>
        <w:widowControl w:val="0"/>
        <w:tabs>
          <w:tab w:val="left" w:pos="680"/>
        </w:tabs>
        <w:suppressAutoHyphens/>
        <w:autoSpaceDE w:val="0"/>
        <w:autoSpaceDN w:val="0"/>
        <w:adjustRightInd w:val="0"/>
        <w:spacing w:after="0"/>
        <w:ind w:left="283" w:hanging="283"/>
        <w:textAlignment w:val="center"/>
        <w:rPr>
          <w:rFonts w:cs="Arial"/>
          <w:b/>
          <w:bCs/>
          <w:color w:val="808080" w:themeColor="background1" w:themeShade="80"/>
          <w:lang w:val="en-AU" w:eastAsia="en-AU"/>
        </w:rPr>
      </w:pPr>
      <w:r w:rsidRPr="00833542">
        <w:rPr>
          <w:rFonts w:cs="Arial"/>
          <w:b/>
          <w:bCs/>
          <w:color w:val="808080" w:themeColor="background1" w:themeShade="80"/>
          <w:lang w:val="en-AU" w:eastAsia="en-AU"/>
        </w:rPr>
        <w:t>Australian Human Rights Commission 201</w:t>
      </w:r>
      <w:r w:rsidR="00A43AB6" w:rsidRPr="00833542">
        <w:rPr>
          <w:rFonts w:cs="Arial"/>
          <w:b/>
          <w:bCs/>
          <w:color w:val="808080" w:themeColor="background1" w:themeShade="80"/>
          <w:lang w:val="en-AU" w:eastAsia="en-AU"/>
        </w:rPr>
        <w:t>4</w:t>
      </w:r>
    </w:p>
    <w:p w14:paraId="3FB7EC8E" w14:textId="77777777" w:rsidR="000E3DC1" w:rsidRDefault="000E3DC1" w:rsidP="000E3DC1"/>
    <w:p w14:paraId="0DFACFCB" w14:textId="77777777" w:rsidR="000E3DC1" w:rsidRDefault="000E3DC1" w:rsidP="000E3DC1"/>
    <w:p w14:paraId="6A0247CE" w14:textId="77777777" w:rsidR="000E3DC1" w:rsidRDefault="000E3DC1" w:rsidP="000E3DC1"/>
    <w:p w14:paraId="7E3881F2" w14:textId="77777777" w:rsidR="003B3FD3" w:rsidRDefault="003B3FD3" w:rsidP="000E3DC1"/>
    <w:p w14:paraId="5F00D2AD" w14:textId="77777777" w:rsidR="000E3DC1" w:rsidRDefault="000E3DC1" w:rsidP="000E3DC1"/>
    <w:p w14:paraId="3D9F2DAF" w14:textId="77777777" w:rsidR="000E3DC1" w:rsidRDefault="000E3DC1" w:rsidP="000E3DC1">
      <w:r>
        <w:rPr>
          <w:noProof/>
          <w:lang w:val="en-AU" w:eastAsia="en-AU"/>
        </w:rPr>
        <w:drawing>
          <wp:inline distT="0" distB="0" distL="0" distR="0" wp14:anchorId="691A5CBF" wp14:editId="3364F14A">
            <wp:extent cx="1696720" cy="548640"/>
            <wp:effectExtent l="0" t="0" r="0" b="1016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96720" cy="548640"/>
                    </a:xfrm>
                    <a:prstGeom prst="rect">
                      <a:avLst/>
                    </a:prstGeom>
                    <a:noFill/>
                    <a:ln>
                      <a:noFill/>
                    </a:ln>
                  </pic:spPr>
                </pic:pic>
              </a:graphicData>
            </a:graphic>
          </wp:inline>
        </w:drawing>
      </w:r>
    </w:p>
    <w:p w14:paraId="1EA86F90" w14:textId="77777777" w:rsidR="000E3DC1" w:rsidRDefault="000E3DC1">
      <w:pPr>
        <w:spacing w:after="0" w:line="240" w:lineRule="auto"/>
      </w:pPr>
      <w:r>
        <w:br w:type="page"/>
      </w:r>
    </w:p>
    <w:p w14:paraId="0F857C06" w14:textId="77777777" w:rsidR="000E3DC1" w:rsidRDefault="000E3DC1" w:rsidP="000E3DC1">
      <w:pPr>
        <w:pStyle w:val="Heading8"/>
        <w:rPr>
          <w:lang w:val="en-AU"/>
        </w:rPr>
      </w:pPr>
      <w:r>
        <w:rPr>
          <w:lang w:val="en-AU"/>
        </w:rPr>
        <w:lastRenderedPageBreak/>
        <w:t>Contents</w:t>
      </w:r>
    </w:p>
    <w:p w14:paraId="426ED233" w14:textId="77777777" w:rsidR="00491DA5" w:rsidRDefault="00AE3321">
      <w:pPr>
        <w:pStyle w:val="TOC1"/>
        <w:tabs>
          <w:tab w:val="left" w:pos="373"/>
        </w:tabs>
        <w:rPr>
          <w:rFonts w:asciiTheme="minorHAnsi" w:hAnsiTheme="minorHAnsi" w:cstheme="minorBidi"/>
          <w:b w:val="0"/>
          <w:noProof/>
          <w:lang w:eastAsia="ja-JP"/>
        </w:rPr>
      </w:pPr>
      <w:r>
        <w:fldChar w:fldCharType="begin"/>
      </w:r>
      <w:r>
        <w:instrText xml:space="preserve"> TOC \o "1-2" </w:instrText>
      </w:r>
      <w:r>
        <w:fldChar w:fldCharType="separate"/>
      </w:r>
      <w:r w:rsidR="00491DA5">
        <w:rPr>
          <w:noProof/>
        </w:rPr>
        <w:t>1</w:t>
      </w:r>
      <w:r w:rsidR="00491DA5">
        <w:rPr>
          <w:rFonts w:asciiTheme="minorHAnsi" w:hAnsiTheme="minorHAnsi" w:cstheme="minorBidi"/>
          <w:b w:val="0"/>
          <w:noProof/>
          <w:lang w:eastAsia="ja-JP"/>
        </w:rPr>
        <w:tab/>
      </w:r>
      <w:r w:rsidR="00491DA5">
        <w:rPr>
          <w:noProof/>
        </w:rPr>
        <w:t>Introduction to this inquiry</w:t>
      </w:r>
      <w:r w:rsidR="00491DA5">
        <w:rPr>
          <w:noProof/>
        </w:rPr>
        <w:tab/>
      </w:r>
      <w:r w:rsidR="00491DA5">
        <w:rPr>
          <w:noProof/>
        </w:rPr>
        <w:fldChar w:fldCharType="begin"/>
      </w:r>
      <w:r w:rsidR="00491DA5">
        <w:rPr>
          <w:noProof/>
        </w:rPr>
        <w:instrText xml:space="preserve"> PAGEREF _Toc275891141 \h </w:instrText>
      </w:r>
      <w:r w:rsidR="00491DA5">
        <w:rPr>
          <w:noProof/>
        </w:rPr>
      </w:r>
      <w:r w:rsidR="00491DA5">
        <w:rPr>
          <w:noProof/>
        </w:rPr>
        <w:fldChar w:fldCharType="separate"/>
      </w:r>
      <w:r w:rsidR="00491DA5">
        <w:rPr>
          <w:noProof/>
        </w:rPr>
        <w:t>7</w:t>
      </w:r>
      <w:r w:rsidR="00491DA5">
        <w:rPr>
          <w:noProof/>
        </w:rPr>
        <w:fldChar w:fldCharType="end"/>
      </w:r>
    </w:p>
    <w:p w14:paraId="3082CD76" w14:textId="77777777" w:rsidR="00491DA5" w:rsidRDefault="00491DA5">
      <w:pPr>
        <w:pStyle w:val="TOC1"/>
        <w:tabs>
          <w:tab w:val="left" w:pos="373"/>
        </w:tabs>
        <w:rPr>
          <w:rFonts w:asciiTheme="minorHAnsi" w:hAnsiTheme="minorHAnsi" w:cstheme="minorBidi"/>
          <w:b w:val="0"/>
          <w:noProof/>
          <w:lang w:eastAsia="ja-JP"/>
        </w:rPr>
      </w:pPr>
      <w:r>
        <w:rPr>
          <w:noProof/>
        </w:rPr>
        <w:t>2</w:t>
      </w:r>
      <w:r>
        <w:rPr>
          <w:rFonts w:asciiTheme="minorHAnsi" w:hAnsiTheme="minorHAnsi" w:cstheme="minorBidi"/>
          <w:b w:val="0"/>
          <w:noProof/>
          <w:lang w:eastAsia="ja-JP"/>
        </w:rPr>
        <w:tab/>
      </w:r>
      <w:r>
        <w:rPr>
          <w:noProof/>
        </w:rPr>
        <w:t>Summary of findings and recommendations</w:t>
      </w:r>
      <w:r>
        <w:rPr>
          <w:noProof/>
        </w:rPr>
        <w:tab/>
      </w:r>
      <w:r>
        <w:rPr>
          <w:noProof/>
        </w:rPr>
        <w:fldChar w:fldCharType="begin"/>
      </w:r>
      <w:r>
        <w:rPr>
          <w:noProof/>
        </w:rPr>
        <w:instrText xml:space="preserve"> PAGEREF _Toc275891142 \h </w:instrText>
      </w:r>
      <w:r>
        <w:rPr>
          <w:noProof/>
        </w:rPr>
      </w:r>
      <w:r>
        <w:rPr>
          <w:noProof/>
        </w:rPr>
        <w:fldChar w:fldCharType="separate"/>
      </w:r>
      <w:r>
        <w:rPr>
          <w:noProof/>
        </w:rPr>
        <w:t>7</w:t>
      </w:r>
      <w:r>
        <w:rPr>
          <w:noProof/>
        </w:rPr>
        <w:fldChar w:fldCharType="end"/>
      </w:r>
    </w:p>
    <w:p w14:paraId="25110707" w14:textId="77777777" w:rsidR="00491DA5" w:rsidRDefault="00491DA5">
      <w:pPr>
        <w:pStyle w:val="TOC1"/>
        <w:tabs>
          <w:tab w:val="left" w:pos="373"/>
        </w:tabs>
        <w:rPr>
          <w:rFonts w:asciiTheme="minorHAnsi" w:hAnsiTheme="minorHAnsi" w:cstheme="minorBidi"/>
          <w:b w:val="0"/>
          <w:noProof/>
          <w:lang w:eastAsia="ja-JP"/>
        </w:rPr>
      </w:pPr>
      <w:r>
        <w:rPr>
          <w:noProof/>
        </w:rPr>
        <w:t>3</w:t>
      </w:r>
      <w:r>
        <w:rPr>
          <w:rFonts w:asciiTheme="minorHAnsi" w:hAnsiTheme="minorHAnsi" w:cstheme="minorBidi"/>
          <w:b w:val="0"/>
          <w:noProof/>
          <w:lang w:eastAsia="ja-JP"/>
        </w:rPr>
        <w:tab/>
      </w:r>
      <w:r>
        <w:rPr>
          <w:noProof/>
        </w:rPr>
        <w:t>Outline of complaint</w:t>
      </w:r>
      <w:r>
        <w:rPr>
          <w:noProof/>
        </w:rPr>
        <w:tab/>
      </w:r>
      <w:r>
        <w:rPr>
          <w:noProof/>
        </w:rPr>
        <w:fldChar w:fldCharType="begin"/>
      </w:r>
      <w:r>
        <w:rPr>
          <w:noProof/>
        </w:rPr>
        <w:instrText xml:space="preserve"> PAGEREF _Toc275891143 \h </w:instrText>
      </w:r>
      <w:r>
        <w:rPr>
          <w:noProof/>
        </w:rPr>
      </w:r>
      <w:r>
        <w:rPr>
          <w:noProof/>
        </w:rPr>
        <w:fldChar w:fldCharType="separate"/>
      </w:r>
      <w:r>
        <w:rPr>
          <w:noProof/>
        </w:rPr>
        <w:t>7</w:t>
      </w:r>
      <w:r>
        <w:rPr>
          <w:noProof/>
        </w:rPr>
        <w:fldChar w:fldCharType="end"/>
      </w:r>
    </w:p>
    <w:p w14:paraId="1947653F" w14:textId="77777777" w:rsidR="00491DA5" w:rsidRDefault="00491DA5">
      <w:pPr>
        <w:pStyle w:val="TOC1"/>
        <w:tabs>
          <w:tab w:val="left" w:pos="373"/>
        </w:tabs>
        <w:rPr>
          <w:rFonts w:asciiTheme="minorHAnsi" w:hAnsiTheme="minorHAnsi" w:cstheme="minorBidi"/>
          <w:b w:val="0"/>
          <w:noProof/>
          <w:lang w:eastAsia="ja-JP"/>
        </w:rPr>
      </w:pPr>
      <w:r>
        <w:rPr>
          <w:noProof/>
        </w:rPr>
        <w:t>4</w:t>
      </w:r>
      <w:r>
        <w:rPr>
          <w:rFonts w:asciiTheme="minorHAnsi" w:hAnsiTheme="minorHAnsi" w:cstheme="minorBidi"/>
          <w:b w:val="0"/>
          <w:noProof/>
          <w:lang w:eastAsia="ja-JP"/>
        </w:rPr>
        <w:tab/>
      </w:r>
      <w:r>
        <w:rPr>
          <w:noProof/>
        </w:rPr>
        <w:t>Findings of fact</w:t>
      </w:r>
      <w:r>
        <w:rPr>
          <w:noProof/>
        </w:rPr>
        <w:tab/>
      </w:r>
      <w:r>
        <w:rPr>
          <w:noProof/>
        </w:rPr>
        <w:fldChar w:fldCharType="begin"/>
      </w:r>
      <w:r>
        <w:rPr>
          <w:noProof/>
        </w:rPr>
        <w:instrText xml:space="preserve"> PAGEREF _Toc275891144 \h </w:instrText>
      </w:r>
      <w:r>
        <w:rPr>
          <w:noProof/>
        </w:rPr>
      </w:r>
      <w:r>
        <w:rPr>
          <w:noProof/>
        </w:rPr>
        <w:fldChar w:fldCharType="separate"/>
      </w:r>
      <w:r>
        <w:rPr>
          <w:noProof/>
        </w:rPr>
        <w:t>8</w:t>
      </w:r>
      <w:r>
        <w:rPr>
          <w:noProof/>
        </w:rPr>
        <w:fldChar w:fldCharType="end"/>
      </w:r>
    </w:p>
    <w:p w14:paraId="6303E339" w14:textId="77777777" w:rsidR="00491DA5" w:rsidRDefault="00491DA5">
      <w:pPr>
        <w:pStyle w:val="TOC1"/>
        <w:tabs>
          <w:tab w:val="left" w:pos="373"/>
        </w:tabs>
        <w:rPr>
          <w:rFonts w:asciiTheme="minorHAnsi" w:hAnsiTheme="minorHAnsi" w:cstheme="minorBidi"/>
          <w:b w:val="0"/>
          <w:noProof/>
          <w:lang w:eastAsia="ja-JP"/>
        </w:rPr>
      </w:pPr>
      <w:r>
        <w:rPr>
          <w:noProof/>
        </w:rPr>
        <w:t>5</w:t>
      </w:r>
      <w:r>
        <w:rPr>
          <w:rFonts w:asciiTheme="minorHAnsi" w:hAnsiTheme="minorHAnsi" w:cstheme="minorBidi"/>
          <w:b w:val="0"/>
          <w:noProof/>
          <w:lang w:eastAsia="ja-JP"/>
        </w:rPr>
        <w:tab/>
      </w:r>
      <w:r>
        <w:rPr>
          <w:noProof/>
        </w:rPr>
        <w:t>Relevant legal framework</w:t>
      </w:r>
      <w:r>
        <w:rPr>
          <w:noProof/>
        </w:rPr>
        <w:tab/>
      </w:r>
      <w:r>
        <w:rPr>
          <w:noProof/>
        </w:rPr>
        <w:fldChar w:fldCharType="begin"/>
      </w:r>
      <w:r>
        <w:rPr>
          <w:noProof/>
        </w:rPr>
        <w:instrText xml:space="preserve"> PAGEREF _Toc275891145 \h </w:instrText>
      </w:r>
      <w:r>
        <w:rPr>
          <w:noProof/>
        </w:rPr>
      </w:r>
      <w:r>
        <w:rPr>
          <w:noProof/>
        </w:rPr>
        <w:fldChar w:fldCharType="separate"/>
      </w:r>
      <w:r>
        <w:rPr>
          <w:noProof/>
        </w:rPr>
        <w:t>10</w:t>
      </w:r>
      <w:r>
        <w:rPr>
          <w:noProof/>
        </w:rPr>
        <w:fldChar w:fldCharType="end"/>
      </w:r>
    </w:p>
    <w:p w14:paraId="2730EA89" w14:textId="77777777" w:rsidR="00491DA5" w:rsidRDefault="00491DA5">
      <w:pPr>
        <w:pStyle w:val="TOC1"/>
        <w:tabs>
          <w:tab w:val="left" w:pos="373"/>
        </w:tabs>
        <w:rPr>
          <w:rFonts w:asciiTheme="minorHAnsi" w:hAnsiTheme="minorHAnsi" w:cstheme="minorBidi"/>
          <w:b w:val="0"/>
          <w:noProof/>
          <w:lang w:eastAsia="ja-JP"/>
        </w:rPr>
      </w:pPr>
      <w:r>
        <w:rPr>
          <w:noProof/>
        </w:rPr>
        <w:t>6</w:t>
      </w:r>
      <w:r>
        <w:rPr>
          <w:rFonts w:asciiTheme="minorHAnsi" w:hAnsiTheme="minorHAnsi" w:cstheme="minorBidi"/>
          <w:b w:val="0"/>
          <w:noProof/>
          <w:lang w:eastAsia="ja-JP"/>
        </w:rPr>
        <w:tab/>
      </w:r>
      <w:r>
        <w:rPr>
          <w:noProof/>
        </w:rPr>
        <w:t>Assessment</w:t>
      </w:r>
      <w:r>
        <w:rPr>
          <w:noProof/>
        </w:rPr>
        <w:tab/>
      </w:r>
      <w:r>
        <w:rPr>
          <w:noProof/>
        </w:rPr>
        <w:fldChar w:fldCharType="begin"/>
      </w:r>
      <w:r>
        <w:rPr>
          <w:noProof/>
        </w:rPr>
        <w:instrText xml:space="preserve"> PAGEREF _Toc275891146 \h </w:instrText>
      </w:r>
      <w:r>
        <w:rPr>
          <w:noProof/>
        </w:rPr>
      </w:r>
      <w:r>
        <w:rPr>
          <w:noProof/>
        </w:rPr>
        <w:fldChar w:fldCharType="separate"/>
      </w:r>
      <w:r>
        <w:rPr>
          <w:noProof/>
        </w:rPr>
        <w:t>11</w:t>
      </w:r>
      <w:r>
        <w:rPr>
          <w:noProof/>
        </w:rPr>
        <w:fldChar w:fldCharType="end"/>
      </w:r>
    </w:p>
    <w:p w14:paraId="1AA241AB" w14:textId="77777777" w:rsidR="00491DA5" w:rsidRDefault="00491DA5">
      <w:pPr>
        <w:pStyle w:val="TOC2"/>
        <w:rPr>
          <w:rFonts w:asciiTheme="minorHAnsi" w:hAnsiTheme="minorHAnsi" w:cstheme="minorBidi"/>
          <w:noProof/>
          <w:lang w:eastAsia="ja-JP"/>
        </w:rPr>
      </w:pPr>
      <w:r w:rsidRPr="00F2181E">
        <w:rPr>
          <w:rFonts w:cs="Arial"/>
          <w:noProof/>
        </w:rPr>
        <w:t>6.1</w:t>
      </w:r>
      <w:r>
        <w:rPr>
          <w:rFonts w:asciiTheme="minorHAnsi" w:hAnsiTheme="minorHAnsi" w:cstheme="minorBidi"/>
          <w:noProof/>
          <w:lang w:eastAsia="ja-JP"/>
        </w:rPr>
        <w:tab/>
      </w:r>
      <w:r>
        <w:rPr>
          <w:noProof/>
        </w:rPr>
        <w:t>Relevant questions to be considered</w:t>
      </w:r>
      <w:r>
        <w:rPr>
          <w:noProof/>
        </w:rPr>
        <w:tab/>
      </w:r>
      <w:r>
        <w:rPr>
          <w:noProof/>
        </w:rPr>
        <w:fldChar w:fldCharType="begin"/>
      </w:r>
      <w:r>
        <w:rPr>
          <w:noProof/>
        </w:rPr>
        <w:instrText xml:space="preserve"> PAGEREF _Toc275891147 \h </w:instrText>
      </w:r>
      <w:r>
        <w:rPr>
          <w:noProof/>
        </w:rPr>
      </w:r>
      <w:r>
        <w:rPr>
          <w:noProof/>
        </w:rPr>
        <w:fldChar w:fldCharType="separate"/>
      </w:r>
      <w:r>
        <w:rPr>
          <w:noProof/>
        </w:rPr>
        <w:t>11</w:t>
      </w:r>
      <w:r>
        <w:rPr>
          <w:noProof/>
        </w:rPr>
        <w:fldChar w:fldCharType="end"/>
      </w:r>
    </w:p>
    <w:p w14:paraId="5DBE03ED" w14:textId="77777777" w:rsidR="00491DA5" w:rsidRDefault="00491DA5">
      <w:pPr>
        <w:pStyle w:val="TOC2"/>
        <w:rPr>
          <w:rFonts w:asciiTheme="minorHAnsi" w:hAnsiTheme="minorHAnsi" w:cstheme="minorBidi"/>
          <w:noProof/>
          <w:lang w:eastAsia="ja-JP"/>
        </w:rPr>
      </w:pPr>
      <w:r w:rsidRPr="00F2181E">
        <w:rPr>
          <w:rFonts w:cs="Arial"/>
          <w:noProof/>
        </w:rPr>
        <w:t>6.2</w:t>
      </w:r>
      <w:r>
        <w:rPr>
          <w:rFonts w:asciiTheme="minorHAnsi" w:hAnsiTheme="minorHAnsi" w:cstheme="minorBidi"/>
          <w:noProof/>
          <w:lang w:eastAsia="ja-JP"/>
        </w:rPr>
        <w:tab/>
      </w:r>
      <w:r>
        <w:rPr>
          <w:noProof/>
        </w:rPr>
        <w:t>Whether there is an ‘act’?</w:t>
      </w:r>
      <w:r>
        <w:rPr>
          <w:noProof/>
        </w:rPr>
        <w:tab/>
      </w:r>
      <w:r>
        <w:rPr>
          <w:noProof/>
        </w:rPr>
        <w:fldChar w:fldCharType="begin"/>
      </w:r>
      <w:r>
        <w:rPr>
          <w:noProof/>
        </w:rPr>
        <w:instrText xml:space="preserve"> PAGEREF _Toc275891148 \h </w:instrText>
      </w:r>
      <w:r>
        <w:rPr>
          <w:noProof/>
        </w:rPr>
      </w:r>
      <w:r>
        <w:rPr>
          <w:noProof/>
        </w:rPr>
        <w:fldChar w:fldCharType="separate"/>
      </w:r>
      <w:r>
        <w:rPr>
          <w:noProof/>
        </w:rPr>
        <w:t>12</w:t>
      </w:r>
      <w:r>
        <w:rPr>
          <w:noProof/>
        </w:rPr>
        <w:fldChar w:fldCharType="end"/>
      </w:r>
    </w:p>
    <w:p w14:paraId="5DA98DE3" w14:textId="77777777" w:rsidR="00491DA5" w:rsidRDefault="00491DA5">
      <w:pPr>
        <w:pStyle w:val="TOC2"/>
        <w:rPr>
          <w:rFonts w:asciiTheme="minorHAnsi" w:hAnsiTheme="minorHAnsi" w:cstheme="minorBidi"/>
          <w:noProof/>
          <w:lang w:eastAsia="ja-JP"/>
        </w:rPr>
      </w:pPr>
      <w:r w:rsidRPr="00F2181E">
        <w:rPr>
          <w:rFonts w:cs="Arial"/>
          <w:noProof/>
        </w:rPr>
        <w:t>6.3</w:t>
      </w:r>
      <w:r>
        <w:rPr>
          <w:rFonts w:asciiTheme="minorHAnsi" w:hAnsiTheme="minorHAnsi" w:cstheme="minorBidi"/>
          <w:noProof/>
          <w:lang w:eastAsia="ja-JP"/>
        </w:rPr>
        <w:tab/>
      </w:r>
      <w:r>
        <w:rPr>
          <w:noProof/>
        </w:rPr>
        <w:t>Whether Linfox made a distinction, exclusion or preference on the basis of criminal record</w:t>
      </w:r>
      <w:r>
        <w:rPr>
          <w:noProof/>
        </w:rPr>
        <w:tab/>
      </w:r>
      <w:r>
        <w:rPr>
          <w:noProof/>
        </w:rPr>
        <w:fldChar w:fldCharType="begin"/>
      </w:r>
      <w:r>
        <w:rPr>
          <w:noProof/>
        </w:rPr>
        <w:instrText xml:space="preserve"> PAGEREF _Toc275891149 \h </w:instrText>
      </w:r>
      <w:r>
        <w:rPr>
          <w:noProof/>
        </w:rPr>
      </w:r>
      <w:r>
        <w:rPr>
          <w:noProof/>
        </w:rPr>
        <w:fldChar w:fldCharType="separate"/>
      </w:r>
      <w:r>
        <w:rPr>
          <w:noProof/>
        </w:rPr>
        <w:t>12</w:t>
      </w:r>
      <w:r>
        <w:rPr>
          <w:noProof/>
        </w:rPr>
        <w:fldChar w:fldCharType="end"/>
      </w:r>
    </w:p>
    <w:p w14:paraId="4CB521CB" w14:textId="77777777" w:rsidR="00491DA5" w:rsidRDefault="00491DA5">
      <w:pPr>
        <w:pStyle w:val="TOC2"/>
        <w:rPr>
          <w:rFonts w:asciiTheme="minorHAnsi" w:hAnsiTheme="minorHAnsi" w:cstheme="minorBidi"/>
          <w:noProof/>
          <w:lang w:eastAsia="ja-JP"/>
        </w:rPr>
      </w:pPr>
      <w:r w:rsidRPr="00F2181E">
        <w:rPr>
          <w:rFonts w:cs="Arial"/>
          <w:noProof/>
        </w:rPr>
        <w:t>6.4</w:t>
      </w:r>
      <w:r>
        <w:rPr>
          <w:rFonts w:asciiTheme="minorHAnsi" w:hAnsiTheme="minorHAnsi" w:cstheme="minorBidi"/>
          <w:noProof/>
          <w:lang w:eastAsia="ja-JP"/>
        </w:rPr>
        <w:tab/>
      </w:r>
      <w:r>
        <w:rPr>
          <w:noProof/>
        </w:rPr>
        <w:t>Did that exclusion have the effect of nullifying or impairing equality of opportunity or treatment in employment or occupation?</w:t>
      </w:r>
      <w:r>
        <w:rPr>
          <w:noProof/>
        </w:rPr>
        <w:tab/>
      </w:r>
      <w:r>
        <w:rPr>
          <w:noProof/>
        </w:rPr>
        <w:fldChar w:fldCharType="begin"/>
      </w:r>
      <w:r>
        <w:rPr>
          <w:noProof/>
        </w:rPr>
        <w:instrText xml:space="preserve"> PAGEREF _Toc275891150 \h </w:instrText>
      </w:r>
      <w:r>
        <w:rPr>
          <w:noProof/>
        </w:rPr>
      </w:r>
      <w:r>
        <w:rPr>
          <w:noProof/>
        </w:rPr>
        <w:fldChar w:fldCharType="separate"/>
      </w:r>
      <w:r>
        <w:rPr>
          <w:noProof/>
        </w:rPr>
        <w:t>13</w:t>
      </w:r>
      <w:r>
        <w:rPr>
          <w:noProof/>
        </w:rPr>
        <w:fldChar w:fldCharType="end"/>
      </w:r>
    </w:p>
    <w:p w14:paraId="5BDE4AE7" w14:textId="77777777" w:rsidR="00491DA5" w:rsidRDefault="00491DA5">
      <w:pPr>
        <w:pStyle w:val="TOC2"/>
        <w:rPr>
          <w:rFonts w:asciiTheme="minorHAnsi" w:hAnsiTheme="minorHAnsi" w:cstheme="minorBidi"/>
          <w:noProof/>
          <w:lang w:eastAsia="ja-JP"/>
        </w:rPr>
      </w:pPr>
      <w:r w:rsidRPr="00F2181E">
        <w:rPr>
          <w:rFonts w:cs="Arial"/>
          <w:noProof/>
        </w:rPr>
        <w:t>6.5</w:t>
      </w:r>
      <w:r>
        <w:rPr>
          <w:rFonts w:asciiTheme="minorHAnsi" w:hAnsiTheme="minorHAnsi" w:cstheme="minorBidi"/>
          <w:noProof/>
          <w:lang w:eastAsia="ja-JP"/>
        </w:rPr>
        <w:tab/>
      </w:r>
      <w:r>
        <w:rPr>
          <w:noProof/>
        </w:rPr>
        <w:t>Whether that exclusion was based on the inherent requirements of TM’s job as a Linehaul Driver</w:t>
      </w:r>
      <w:r>
        <w:rPr>
          <w:noProof/>
        </w:rPr>
        <w:tab/>
      </w:r>
      <w:r>
        <w:rPr>
          <w:noProof/>
        </w:rPr>
        <w:fldChar w:fldCharType="begin"/>
      </w:r>
      <w:r>
        <w:rPr>
          <w:noProof/>
        </w:rPr>
        <w:instrText xml:space="preserve"> PAGEREF _Toc275891151 \h </w:instrText>
      </w:r>
      <w:r>
        <w:rPr>
          <w:noProof/>
        </w:rPr>
      </w:r>
      <w:r>
        <w:rPr>
          <w:noProof/>
        </w:rPr>
        <w:fldChar w:fldCharType="separate"/>
      </w:r>
      <w:r>
        <w:rPr>
          <w:noProof/>
        </w:rPr>
        <w:t>14</w:t>
      </w:r>
      <w:r>
        <w:rPr>
          <w:noProof/>
        </w:rPr>
        <w:fldChar w:fldCharType="end"/>
      </w:r>
    </w:p>
    <w:p w14:paraId="79EC57CE" w14:textId="77777777" w:rsidR="00491DA5" w:rsidRDefault="00491DA5">
      <w:pPr>
        <w:pStyle w:val="TOC1"/>
        <w:tabs>
          <w:tab w:val="left" w:pos="373"/>
        </w:tabs>
        <w:rPr>
          <w:rFonts w:asciiTheme="minorHAnsi" w:hAnsiTheme="minorHAnsi" w:cstheme="minorBidi"/>
          <w:b w:val="0"/>
          <w:noProof/>
          <w:lang w:eastAsia="ja-JP"/>
        </w:rPr>
      </w:pPr>
      <w:r>
        <w:rPr>
          <w:noProof/>
        </w:rPr>
        <w:t>7</w:t>
      </w:r>
      <w:r>
        <w:rPr>
          <w:rFonts w:asciiTheme="minorHAnsi" w:hAnsiTheme="minorHAnsi" w:cstheme="minorBidi"/>
          <w:b w:val="0"/>
          <w:noProof/>
          <w:lang w:eastAsia="ja-JP"/>
        </w:rPr>
        <w:tab/>
      </w:r>
      <w:r>
        <w:rPr>
          <w:noProof/>
        </w:rPr>
        <w:t>Findings and recommendations</w:t>
      </w:r>
      <w:r>
        <w:rPr>
          <w:noProof/>
        </w:rPr>
        <w:tab/>
      </w:r>
      <w:r>
        <w:rPr>
          <w:noProof/>
        </w:rPr>
        <w:fldChar w:fldCharType="begin"/>
      </w:r>
      <w:r>
        <w:rPr>
          <w:noProof/>
        </w:rPr>
        <w:instrText xml:space="preserve"> PAGEREF _Toc275891152 \h </w:instrText>
      </w:r>
      <w:r>
        <w:rPr>
          <w:noProof/>
        </w:rPr>
      </w:r>
      <w:r>
        <w:rPr>
          <w:noProof/>
        </w:rPr>
        <w:fldChar w:fldCharType="separate"/>
      </w:r>
      <w:r>
        <w:rPr>
          <w:noProof/>
        </w:rPr>
        <w:t>19</w:t>
      </w:r>
      <w:r>
        <w:rPr>
          <w:noProof/>
        </w:rPr>
        <w:fldChar w:fldCharType="end"/>
      </w:r>
    </w:p>
    <w:p w14:paraId="7AF17C82" w14:textId="77777777" w:rsidR="00491DA5" w:rsidRDefault="00491DA5">
      <w:pPr>
        <w:pStyle w:val="TOC2"/>
        <w:rPr>
          <w:rFonts w:asciiTheme="minorHAnsi" w:hAnsiTheme="minorHAnsi" w:cstheme="minorBidi"/>
          <w:noProof/>
          <w:lang w:eastAsia="ja-JP"/>
        </w:rPr>
      </w:pPr>
      <w:r w:rsidRPr="00F2181E">
        <w:rPr>
          <w:rFonts w:cs="Arial"/>
          <w:noProof/>
        </w:rPr>
        <w:t>7.1</w:t>
      </w:r>
      <w:r>
        <w:rPr>
          <w:rFonts w:asciiTheme="minorHAnsi" w:hAnsiTheme="minorHAnsi" w:cstheme="minorBidi"/>
          <w:noProof/>
          <w:lang w:eastAsia="ja-JP"/>
        </w:rPr>
        <w:tab/>
      </w:r>
      <w:r>
        <w:rPr>
          <w:noProof/>
        </w:rPr>
        <w:t>Power to make recommendations</w:t>
      </w:r>
      <w:r>
        <w:rPr>
          <w:noProof/>
        </w:rPr>
        <w:tab/>
      </w:r>
      <w:r>
        <w:rPr>
          <w:noProof/>
        </w:rPr>
        <w:fldChar w:fldCharType="begin"/>
      </w:r>
      <w:r>
        <w:rPr>
          <w:noProof/>
        </w:rPr>
        <w:instrText xml:space="preserve"> PAGEREF _Toc275891153 \h </w:instrText>
      </w:r>
      <w:r>
        <w:rPr>
          <w:noProof/>
        </w:rPr>
      </w:r>
      <w:r>
        <w:rPr>
          <w:noProof/>
        </w:rPr>
        <w:fldChar w:fldCharType="separate"/>
      </w:r>
      <w:r>
        <w:rPr>
          <w:noProof/>
        </w:rPr>
        <w:t>19</w:t>
      </w:r>
      <w:r>
        <w:rPr>
          <w:noProof/>
        </w:rPr>
        <w:fldChar w:fldCharType="end"/>
      </w:r>
    </w:p>
    <w:p w14:paraId="1D427F0A" w14:textId="77777777" w:rsidR="00491DA5" w:rsidRDefault="00491DA5">
      <w:pPr>
        <w:pStyle w:val="TOC2"/>
        <w:rPr>
          <w:rFonts w:asciiTheme="minorHAnsi" w:hAnsiTheme="minorHAnsi" w:cstheme="minorBidi"/>
          <w:noProof/>
          <w:lang w:eastAsia="ja-JP"/>
        </w:rPr>
      </w:pPr>
      <w:r w:rsidRPr="00F2181E">
        <w:rPr>
          <w:rFonts w:cs="Arial"/>
          <w:noProof/>
        </w:rPr>
        <w:t>7.2</w:t>
      </w:r>
      <w:r>
        <w:rPr>
          <w:rFonts w:asciiTheme="minorHAnsi" w:hAnsiTheme="minorHAnsi" w:cstheme="minorBidi"/>
          <w:noProof/>
          <w:lang w:eastAsia="ja-JP"/>
        </w:rPr>
        <w:tab/>
      </w:r>
      <w:r>
        <w:rPr>
          <w:noProof/>
        </w:rPr>
        <w:t>Consideration of compensation</w:t>
      </w:r>
      <w:r>
        <w:rPr>
          <w:noProof/>
        </w:rPr>
        <w:tab/>
      </w:r>
      <w:r>
        <w:rPr>
          <w:noProof/>
        </w:rPr>
        <w:fldChar w:fldCharType="begin"/>
      </w:r>
      <w:r>
        <w:rPr>
          <w:noProof/>
        </w:rPr>
        <w:instrText xml:space="preserve"> PAGEREF _Toc275891154 \h </w:instrText>
      </w:r>
      <w:r>
        <w:rPr>
          <w:noProof/>
        </w:rPr>
      </w:r>
      <w:r>
        <w:rPr>
          <w:noProof/>
        </w:rPr>
        <w:fldChar w:fldCharType="separate"/>
      </w:r>
      <w:r>
        <w:rPr>
          <w:noProof/>
        </w:rPr>
        <w:t>19</w:t>
      </w:r>
      <w:r>
        <w:rPr>
          <w:noProof/>
        </w:rPr>
        <w:fldChar w:fldCharType="end"/>
      </w:r>
    </w:p>
    <w:p w14:paraId="1B106732" w14:textId="77777777" w:rsidR="00491DA5" w:rsidRDefault="00491DA5">
      <w:pPr>
        <w:pStyle w:val="TOC2"/>
        <w:rPr>
          <w:rFonts w:asciiTheme="minorHAnsi" w:hAnsiTheme="minorHAnsi" w:cstheme="minorBidi"/>
          <w:noProof/>
          <w:lang w:eastAsia="ja-JP"/>
        </w:rPr>
      </w:pPr>
      <w:r w:rsidRPr="00F2181E">
        <w:rPr>
          <w:rFonts w:cs="Arial"/>
          <w:noProof/>
        </w:rPr>
        <w:t>7.3</w:t>
      </w:r>
      <w:r>
        <w:rPr>
          <w:rFonts w:asciiTheme="minorHAnsi" w:hAnsiTheme="minorHAnsi" w:cstheme="minorBidi"/>
          <w:noProof/>
          <w:lang w:eastAsia="ja-JP"/>
        </w:rPr>
        <w:tab/>
      </w:r>
      <w:r>
        <w:rPr>
          <w:noProof/>
        </w:rPr>
        <w:t>Apology</w:t>
      </w:r>
      <w:r>
        <w:rPr>
          <w:noProof/>
        </w:rPr>
        <w:tab/>
      </w:r>
      <w:r>
        <w:rPr>
          <w:noProof/>
        </w:rPr>
        <w:fldChar w:fldCharType="begin"/>
      </w:r>
      <w:r>
        <w:rPr>
          <w:noProof/>
        </w:rPr>
        <w:instrText xml:space="preserve"> PAGEREF _Toc275891155 \h </w:instrText>
      </w:r>
      <w:r>
        <w:rPr>
          <w:noProof/>
        </w:rPr>
      </w:r>
      <w:r>
        <w:rPr>
          <w:noProof/>
        </w:rPr>
        <w:fldChar w:fldCharType="separate"/>
      </w:r>
      <w:r>
        <w:rPr>
          <w:noProof/>
        </w:rPr>
        <w:t>21</w:t>
      </w:r>
      <w:r>
        <w:rPr>
          <w:noProof/>
        </w:rPr>
        <w:fldChar w:fldCharType="end"/>
      </w:r>
    </w:p>
    <w:p w14:paraId="5F53A45B" w14:textId="77777777" w:rsidR="00491DA5" w:rsidRDefault="00491DA5">
      <w:pPr>
        <w:pStyle w:val="TOC1"/>
        <w:tabs>
          <w:tab w:val="left" w:pos="373"/>
        </w:tabs>
        <w:rPr>
          <w:noProof/>
        </w:rPr>
      </w:pPr>
      <w:r>
        <w:rPr>
          <w:noProof/>
        </w:rPr>
        <w:t>8</w:t>
      </w:r>
      <w:r>
        <w:rPr>
          <w:rFonts w:asciiTheme="minorHAnsi" w:hAnsiTheme="minorHAnsi" w:cstheme="minorBidi"/>
          <w:b w:val="0"/>
          <w:noProof/>
          <w:lang w:eastAsia="ja-JP"/>
        </w:rPr>
        <w:tab/>
      </w:r>
      <w:r>
        <w:rPr>
          <w:noProof/>
        </w:rPr>
        <w:t>Linfox’s response to my findings and recommendations</w:t>
      </w:r>
      <w:r>
        <w:rPr>
          <w:noProof/>
        </w:rPr>
        <w:tab/>
      </w:r>
      <w:r>
        <w:rPr>
          <w:noProof/>
        </w:rPr>
        <w:fldChar w:fldCharType="begin"/>
      </w:r>
      <w:r>
        <w:rPr>
          <w:noProof/>
        </w:rPr>
        <w:instrText xml:space="preserve"> PAGEREF _Toc275891156 \h </w:instrText>
      </w:r>
      <w:r>
        <w:rPr>
          <w:noProof/>
        </w:rPr>
      </w:r>
      <w:r>
        <w:rPr>
          <w:noProof/>
        </w:rPr>
        <w:fldChar w:fldCharType="separate"/>
      </w:r>
      <w:r>
        <w:rPr>
          <w:noProof/>
        </w:rPr>
        <w:t>21</w:t>
      </w:r>
      <w:r>
        <w:rPr>
          <w:noProof/>
        </w:rPr>
        <w:fldChar w:fldCharType="end"/>
      </w:r>
    </w:p>
    <w:p w14:paraId="26D523EE" w14:textId="59D03860" w:rsidR="00491DA5" w:rsidRDefault="00491DA5">
      <w:pPr>
        <w:spacing w:after="0" w:line="240" w:lineRule="auto"/>
      </w:pPr>
      <w:r>
        <w:br w:type="page"/>
      </w:r>
    </w:p>
    <w:p w14:paraId="478EE212" w14:textId="3052A733" w:rsidR="000E3DC1" w:rsidRDefault="00AE3321" w:rsidP="000433C2">
      <w:pPr>
        <w:rPr>
          <w:rFonts w:cs="Arial"/>
          <w:lang w:val="en-AU"/>
        </w:rPr>
      </w:pPr>
      <w:r>
        <w:lastRenderedPageBreak/>
        <w:fldChar w:fldCharType="end"/>
      </w:r>
      <w:r w:rsidR="000E3DC1">
        <w:rPr>
          <w:rFonts w:cs="Arial"/>
          <w:noProof/>
          <w:lang w:val="en-AU" w:eastAsia="en-AU"/>
        </w:rPr>
        <w:drawing>
          <wp:inline distT="0" distB="0" distL="0" distR="0" wp14:anchorId="42897EEC" wp14:editId="2FD6F1D0">
            <wp:extent cx="1696720" cy="548640"/>
            <wp:effectExtent l="0" t="0" r="0" b="1016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96720" cy="548640"/>
                    </a:xfrm>
                    <a:prstGeom prst="rect">
                      <a:avLst/>
                    </a:prstGeom>
                    <a:noFill/>
                    <a:ln>
                      <a:noFill/>
                    </a:ln>
                  </pic:spPr>
                </pic:pic>
              </a:graphicData>
            </a:graphic>
          </wp:inline>
        </w:drawing>
      </w:r>
    </w:p>
    <w:p w14:paraId="304EAE5A" w14:textId="2EB9A339" w:rsidR="00D6621A" w:rsidRDefault="00D6621A" w:rsidP="000E3DC1">
      <w:r>
        <w:t>.................................................................................................................................</w:t>
      </w:r>
    </w:p>
    <w:p w14:paraId="00451016" w14:textId="77777777" w:rsidR="00A43AB6" w:rsidRPr="00D61731" w:rsidRDefault="00A43AB6" w:rsidP="00D61731">
      <w:pPr>
        <w:rPr>
          <w:rFonts w:cs="Arial"/>
          <w:lang w:val="en-US" w:eastAsia="en-AU"/>
        </w:rPr>
      </w:pPr>
    </w:p>
    <w:p w14:paraId="23DAE06C" w14:textId="1D23B9A4" w:rsidR="00D61731" w:rsidRPr="00D61731" w:rsidRDefault="00D34895" w:rsidP="00D61731">
      <w:pPr>
        <w:rPr>
          <w:rFonts w:cs="Arial"/>
          <w:lang w:val="en-US" w:eastAsia="en-AU"/>
        </w:rPr>
      </w:pPr>
      <w:r>
        <w:rPr>
          <w:rFonts w:cs="Arial"/>
          <w:lang w:val="en-US" w:eastAsia="en-AU"/>
        </w:rPr>
        <w:t>June</w:t>
      </w:r>
      <w:r w:rsidR="00D61731" w:rsidRPr="00D61731">
        <w:rPr>
          <w:rFonts w:cs="Arial"/>
          <w:lang w:val="en-US" w:eastAsia="en-AU"/>
        </w:rPr>
        <w:t xml:space="preserve"> 2014</w:t>
      </w:r>
    </w:p>
    <w:p w14:paraId="0D4D2495" w14:textId="77777777" w:rsidR="00D34895" w:rsidRPr="00D34895" w:rsidRDefault="00D61731" w:rsidP="00D34895">
      <w:r w:rsidRPr="00D61731">
        <w:rPr>
          <w:rFonts w:cs="Arial"/>
          <w:lang w:val="en-US" w:eastAsia="en-AU"/>
        </w:rPr>
        <w:t>Senator the Hon. George Brandis QC</w:t>
      </w:r>
      <w:r w:rsidRPr="00D61731">
        <w:rPr>
          <w:rFonts w:cs="Arial"/>
          <w:lang w:val="en-US" w:eastAsia="en-AU"/>
        </w:rPr>
        <w:br/>
        <w:t>Attorney-General</w:t>
      </w:r>
      <w:r w:rsidRPr="00D61731">
        <w:rPr>
          <w:rFonts w:cs="Arial"/>
          <w:lang w:val="en-US" w:eastAsia="en-AU"/>
        </w:rPr>
        <w:br/>
        <w:t>Parliament House</w:t>
      </w:r>
      <w:r w:rsidRPr="00D61731">
        <w:rPr>
          <w:rFonts w:cs="Arial"/>
          <w:lang w:val="en-US" w:eastAsia="en-AU"/>
        </w:rPr>
        <w:br/>
        <w:t>Canberra ACT 2600</w:t>
      </w:r>
      <w:r w:rsidRPr="00D61731">
        <w:rPr>
          <w:rFonts w:cs="Arial"/>
          <w:lang w:val="en-US" w:eastAsia="en-AU"/>
        </w:rPr>
        <w:br/>
      </w:r>
      <w:r w:rsidRPr="00D61731">
        <w:rPr>
          <w:rFonts w:cs="Arial"/>
          <w:lang w:val="en-US" w:eastAsia="en-AU"/>
        </w:rPr>
        <w:br/>
        <w:t>Dear Attorney</w:t>
      </w:r>
      <w:r w:rsidRPr="00D61731">
        <w:rPr>
          <w:rFonts w:cs="Arial"/>
          <w:lang w:val="en-US" w:eastAsia="en-AU"/>
        </w:rPr>
        <w:br/>
      </w:r>
      <w:r w:rsidRPr="00D61731">
        <w:rPr>
          <w:rFonts w:cs="Arial"/>
          <w:lang w:val="en-US" w:eastAsia="en-AU"/>
        </w:rPr>
        <w:br/>
      </w:r>
      <w:r w:rsidR="00D34895" w:rsidRPr="00D34895">
        <w:t xml:space="preserve">I have completed my report pursuant to section 31(b)(ii) of the </w:t>
      </w:r>
      <w:r w:rsidR="00D34895" w:rsidRPr="00D34895">
        <w:rPr>
          <w:i/>
          <w:iCs/>
        </w:rPr>
        <w:t>Australian Human Rights Commission Act 1986</w:t>
      </w:r>
      <w:r w:rsidR="00D34895" w:rsidRPr="00D34895">
        <w:t xml:space="preserve"> (Cth) into the complaint made by TM against Linfox Australia Pty Ltd (Linfox).</w:t>
      </w:r>
    </w:p>
    <w:p w14:paraId="638120EC" w14:textId="77777777" w:rsidR="00D34895" w:rsidRPr="00D34895" w:rsidRDefault="00D34895" w:rsidP="00D34895">
      <w:pPr>
        <w:rPr>
          <w:lang w:val="en-US" w:eastAsia="en-AU"/>
        </w:rPr>
      </w:pPr>
      <w:r w:rsidRPr="00D34895">
        <w:rPr>
          <w:lang w:val="en-US" w:eastAsia="en-AU"/>
        </w:rPr>
        <w:t>I have found that Linfox’s acts of refusing to confirm the offer of ‘conversion’ of TM’s employment and/or excluding him from further work with Linfox through a labour hire firm constituted an exclusion made on the basis of a criminal record. This had the effect of impairing TM’s equality of opportunity or treatment in employment or occupation. This exclusion was not based on the inherent requirements of the job. I therefore recommended that Linfox pay $11,048.00 in compensation to TM for lost earnings and entitlements and general damages for hurt, humiliation and distress. I also recommended that Linfox apologise in writing to TM.</w:t>
      </w:r>
    </w:p>
    <w:p w14:paraId="6BD8F1CC" w14:textId="77777777" w:rsidR="00D34895" w:rsidRPr="00D34895" w:rsidRDefault="00D34895" w:rsidP="00D34895">
      <w:pPr>
        <w:rPr>
          <w:lang w:val="en-US" w:eastAsia="en-AU"/>
        </w:rPr>
      </w:pPr>
      <w:r w:rsidRPr="00D34895">
        <w:rPr>
          <w:lang w:val="en-US" w:eastAsia="en-AU"/>
        </w:rPr>
        <w:t>By letter dated 26 May 2014, the Linfox National Workplace Relations Manager provided a response to my findings and recommendations. I have set out Linfox’s response in Part 8 of my report.</w:t>
      </w:r>
    </w:p>
    <w:p w14:paraId="6142F9C1" w14:textId="08A717EA" w:rsidR="00774452" w:rsidRPr="00774452" w:rsidRDefault="00774452" w:rsidP="00D34895">
      <w:pPr>
        <w:rPr>
          <w:lang w:val="en-US" w:eastAsia="en-AU"/>
        </w:rPr>
      </w:pPr>
    </w:p>
    <w:p w14:paraId="734A8BE0" w14:textId="77777777" w:rsidR="00774452" w:rsidRDefault="00774452">
      <w:pPr>
        <w:spacing w:after="0" w:line="240" w:lineRule="auto"/>
        <w:rPr>
          <w:lang w:val="en-US" w:eastAsia="en-AU"/>
        </w:rPr>
      </w:pPr>
      <w:r>
        <w:rPr>
          <w:lang w:val="en-US" w:eastAsia="en-AU"/>
        </w:rPr>
        <w:br w:type="page"/>
      </w:r>
    </w:p>
    <w:p w14:paraId="635C3A13" w14:textId="08D638ED" w:rsidR="004B2F40" w:rsidRPr="004B2F40" w:rsidRDefault="00B66FDE" w:rsidP="004B2F40">
      <w:pPr>
        <w:rPr>
          <w:rFonts w:cs="Arial"/>
          <w:color w:val="000000"/>
          <w:lang w:val="en-US" w:eastAsia="en-AU"/>
        </w:rPr>
      </w:pPr>
      <w:r>
        <w:rPr>
          <w:rFonts w:cs="Arial"/>
          <w:color w:val="000000"/>
          <w:lang w:val="en-US" w:eastAsia="en-AU"/>
        </w:rPr>
        <w:lastRenderedPageBreak/>
        <w:t>I enclose</w:t>
      </w:r>
      <w:r w:rsidR="004B2F40" w:rsidRPr="004B2F40">
        <w:rPr>
          <w:rFonts w:cs="Arial"/>
          <w:color w:val="000000"/>
          <w:lang w:val="en-US" w:eastAsia="en-AU"/>
        </w:rPr>
        <w:t xml:space="preserve"> a copy of my report.</w:t>
      </w:r>
    </w:p>
    <w:p w14:paraId="4263B56D" w14:textId="77777777" w:rsidR="00095F05" w:rsidRDefault="00095F05" w:rsidP="00415667">
      <w:pPr>
        <w:rPr>
          <w:rFonts w:cs="Arial"/>
          <w:color w:val="000000"/>
          <w:lang w:val="en-US" w:eastAsia="en-AU"/>
        </w:rPr>
      </w:pPr>
      <w:r w:rsidRPr="00095F05">
        <w:rPr>
          <w:rFonts w:cs="Arial"/>
          <w:color w:val="000000"/>
          <w:lang w:val="en-US" w:eastAsia="en-AU"/>
        </w:rPr>
        <w:t>Yours sincerely</w:t>
      </w:r>
    </w:p>
    <w:p w14:paraId="36E14D3D" w14:textId="77777777" w:rsidR="00415667" w:rsidRDefault="00415667" w:rsidP="00415667">
      <w:pPr>
        <w:rPr>
          <w:rFonts w:cs="Arial"/>
          <w:color w:val="000000"/>
          <w:lang w:val="en-US" w:eastAsia="en-AU"/>
        </w:rPr>
      </w:pPr>
    </w:p>
    <w:p w14:paraId="09BFFA60" w14:textId="77777777" w:rsidR="00D61731" w:rsidRPr="00095F05" w:rsidRDefault="00D61731" w:rsidP="00415667">
      <w:pPr>
        <w:rPr>
          <w:rFonts w:cs="Arial"/>
          <w:color w:val="000000"/>
          <w:lang w:val="en-US" w:eastAsia="en-AU"/>
        </w:rPr>
      </w:pPr>
    </w:p>
    <w:p w14:paraId="55E2A621" w14:textId="2DAC3518" w:rsidR="000E3DC1" w:rsidRDefault="00095F05" w:rsidP="00095F05">
      <w:pPr>
        <w:widowControl w:val="0"/>
        <w:tabs>
          <w:tab w:val="left" w:pos="567"/>
        </w:tabs>
        <w:suppressAutoHyphens/>
        <w:autoSpaceDE w:val="0"/>
        <w:autoSpaceDN w:val="0"/>
        <w:adjustRightInd w:val="0"/>
        <w:spacing w:after="113"/>
        <w:textAlignment w:val="center"/>
        <w:rPr>
          <w:rFonts w:cs="Arial"/>
          <w:color w:val="000000"/>
          <w:lang w:val="en-US" w:eastAsia="en-AU"/>
        </w:rPr>
      </w:pPr>
      <w:r w:rsidRPr="00095F05">
        <w:rPr>
          <w:rFonts w:cs="Arial"/>
          <w:color w:val="000000"/>
          <w:lang w:val="en-US" w:eastAsia="en-AU"/>
        </w:rPr>
        <w:t>Gillian Triggs</w:t>
      </w:r>
      <w:r w:rsidRPr="00095F05">
        <w:rPr>
          <w:rFonts w:cs="Arial"/>
          <w:color w:val="000000"/>
          <w:lang w:val="en-US" w:eastAsia="en-AU"/>
        </w:rPr>
        <w:br/>
      </w:r>
      <w:r w:rsidRPr="0039341C">
        <w:rPr>
          <w:rStyle w:val="Strong"/>
        </w:rPr>
        <w:t>President</w:t>
      </w:r>
      <w:r w:rsidRPr="00095F05">
        <w:rPr>
          <w:rFonts w:cs="Arial"/>
          <w:b/>
          <w:bCs/>
          <w:color w:val="000000"/>
          <w:lang w:val="en-US" w:eastAsia="en-AU"/>
        </w:rPr>
        <w:br/>
      </w:r>
      <w:r w:rsidRPr="00095F05">
        <w:rPr>
          <w:rFonts w:cs="Arial"/>
          <w:color w:val="000000"/>
          <w:lang w:val="en-US" w:eastAsia="en-AU"/>
        </w:rPr>
        <w:t>Australian Human Rights Commission</w:t>
      </w:r>
    </w:p>
    <w:p w14:paraId="29F0FE55" w14:textId="77777777" w:rsidR="00A43AB6" w:rsidRDefault="00A43AB6" w:rsidP="00095F05">
      <w:pPr>
        <w:widowControl w:val="0"/>
        <w:tabs>
          <w:tab w:val="left" w:pos="567"/>
        </w:tabs>
        <w:suppressAutoHyphens/>
        <w:autoSpaceDE w:val="0"/>
        <w:autoSpaceDN w:val="0"/>
        <w:adjustRightInd w:val="0"/>
        <w:spacing w:after="113"/>
        <w:textAlignment w:val="center"/>
        <w:rPr>
          <w:rFonts w:cs="Arial"/>
          <w:color w:val="000000"/>
          <w:lang w:val="en-US" w:eastAsia="en-AU"/>
        </w:rPr>
      </w:pPr>
    </w:p>
    <w:p w14:paraId="1D59CEB5" w14:textId="77777777" w:rsidR="00A43AB6" w:rsidRDefault="00A43AB6" w:rsidP="00095F05">
      <w:pPr>
        <w:widowControl w:val="0"/>
        <w:tabs>
          <w:tab w:val="left" w:pos="567"/>
        </w:tabs>
        <w:suppressAutoHyphens/>
        <w:autoSpaceDE w:val="0"/>
        <w:autoSpaceDN w:val="0"/>
        <w:adjustRightInd w:val="0"/>
        <w:spacing w:after="113"/>
        <w:textAlignment w:val="center"/>
        <w:rPr>
          <w:rFonts w:cs="Arial"/>
          <w:color w:val="000000"/>
          <w:lang w:val="en-US" w:eastAsia="en-AU"/>
        </w:rPr>
      </w:pPr>
    </w:p>
    <w:p w14:paraId="709D1FED" w14:textId="77777777" w:rsidR="004B2F40" w:rsidRDefault="004B2F40" w:rsidP="00095F05">
      <w:pPr>
        <w:widowControl w:val="0"/>
        <w:tabs>
          <w:tab w:val="left" w:pos="567"/>
        </w:tabs>
        <w:suppressAutoHyphens/>
        <w:autoSpaceDE w:val="0"/>
        <w:autoSpaceDN w:val="0"/>
        <w:adjustRightInd w:val="0"/>
        <w:spacing w:after="113"/>
        <w:textAlignment w:val="center"/>
        <w:rPr>
          <w:rFonts w:cs="Arial"/>
          <w:color w:val="000000"/>
          <w:lang w:val="en-US" w:eastAsia="en-AU"/>
        </w:rPr>
      </w:pPr>
    </w:p>
    <w:p w14:paraId="56DEBBE9" w14:textId="77777777" w:rsidR="004B2F40" w:rsidRDefault="004B2F40" w:rsidP="00095F05">
      <w:pPr>
        <w:widowControl w:val="0"/>
        <w:tabs>
          <w:tab w:val="left" w:pos="567"/>
        </w:tabs>
        <w:suppressAutoHyphens/>
        <w:autoSpaceDE w:val="0"/>
        <w:autoSpaceDN w:val="0"/>
        <w:adjustRightInd w:val="0"/>
        <w:spacing w:after="113"/>
        <w:textAlignment w:val="center"/>
        <w:rPr>
          <w:rFonts w:cs="Arial"/>
          <w:color w:val="000000"/>
          <w:lang w:val="en-US" w:eastAsia="en-AU"/>
        </w:rPr>
      </w:pPr>
    </w:p>
    <w:p w14:paraId="3D89E1D2" w14:textId="77777777" w:rsidR="004B2F40" w:rsidRDefault="004B2F40" w:rsidP="00095F05">
      <w:pPr>
        <w:widowControl w:val="0"/>
        <w:tabs>
          <w:tab w:val="left" w:pos="567"/>
        </w:tabs>
        <w:suppressAutoHyphens/>
        <w:autoSpaceDE w:val="0"/>
        <w:autoSpaceDN w:val="0"/>
        <w:adjustRightInd w:val="0"/>
        <w:spacing w:after="113"/>
        <w:textAlignment w:val="center"/>
        <w:rPr>
          <w:rFonts w:cs="Arial"/>
          <w:color w:val="000000"/>
          <w:lang w:val="en-US" w:eastAsia="en-AU"/>
        </w:rPr>
      </w:pPr>
    </w:p>
    <w:p w14:paraId="7CC106CF" w14:textId="77777777" w:rsidR="00D34895" w:rsidRDefault="00D34895" w:rsidP="00095F05">
      <w:pPr>
        <w:widowControl w:val="0"/>
        <w:tabs>
          <w:tab w:val="left" w:pos="567"/>
        </w:tabs>
        <w:suppressAutoHyphens/>
        <w:autoSpaceDE w:val="0"/>
        <w:autoSpaceDN w:val="0"/>
        <w:adjustRightInd w:val="0"/>
        <w:spacing w:after="113"/>
        <w:textAlignment w:val="center"/>
        <w:rPr>
          <w:rFonts w:cs="Arial"/>
          <w:color w:val="000000"/>
          <w:lang w:val="en-US" w:eastAsia="en-AU"/>
        </w:rPr>
      </w:pPr>
    </w:p>
    <w:p w14:paraId="142F1C07" w14:textId="77777777" w:rsidR="00D34895" w:rsidRDefault="00D34895" w:rsidP="00095F05">
      <w:pPr>
        <w:widowControl w:val="0"/>
        <w:tabs>
          <w:tab w:val="left" w:pos="567"/>
        </w:tabs>
        <w:suppressAutoHyphens/>
        <w:autoSpaceDE w:val="0"/>
        <w:autoSpaceDN w:val="0"/>
        <w:adjustRightInd w:val="0"/>
        <w:spacing w:after="113"/>
        <w:textAlignment w:val="center"/>
        <w:rPr>
          <w:rFonts w:cs="Arial"/>
          <w:color w:val="000000"/>
          <w:lang w:val="en-US" w:eastAsia="en-AU"/>
        </w:rPr>
      </w:pPr>
    </w:p>
    <w:p w14:paraId="6E52F083" w14:textId="77777777" w:rsidR="00D34895" w:rsidRDefault="00D34895" w:rsidP="00095F05">
      <w:pPr>
        <w:widowControl w:val="0"/>
        <w:tabs>
          <w:tab w:val="left" w:pos="567"/>
        </w:tabs>
        <w:suppressAutoHyphens/>
        <w:autoSpaceDE w:val="0"/>
        <w:autoSpaceDN w:val="0"/>
        <w:adjustRightInd w:val="0"/>
        <w:spacing w:after="113"/>
        <w:textAlignment w:val="center"/>
        <w:rPr>
          <w:rFonts w:cs="Arial"/>
          <w:color w:val="000000"/>
          <w:lang w:val="en-US" w:eastAsia="en-AU"/>
        </w:rPr>
      </w:pPr>
    </w:p>
    <w:p w14:paraId="7EE1C5BA" w14:textId="77777777" w:rsidR="00D34895" w:rsidRDefault="00D34895" w:rsidP="00095F05">
      <w:pPr>
        <w:widowControl w:val="0"/>
        <w:tabs>
          <w:tab w:val="left" w:pos="567"/>
        </w:tabs>
        <w:suppressAutoHyphens/>
        <w:autoSpaceDE w:val="0"/>
        <w:autoSpaceDN w:val="0"/>
        <w:adjustRightInd w:val="0"/>
        <w:spacing w:after="113"/>
        <w:textAlignment w:val="center"/>
        <w:rPr>
          <w:rFonts w:cs="Arial"/>
          <w:color w:val="000000"/>
          <w:lang w:val="en-US" w:eastAsia="en-AU"/>
        </w:rPr>
      </w:pPr>
    </w:p>
    <w:p w14:paraId="366B5F64" w14:textId="77777777" w:rsidR="00D34895" w:rsidRDefault="00D34895" w:rsidP="00095F05">
      <w:pPr>
        <w:widowControl w:val="0"/>
        <w:tabs>
          <w:tab w:val="left" w:pos="567"/>
        </w:tabs>
        <w:suppressAutoHyphens/>
        <w:autoSpaceDE w:val="0"/>
        <w:autoSpaceDN w:val="0"/>
        <w:adjustRightInd w:val="0"/>
        <w:spacing w:after="113"/>
        <w:textAlignment w:val="center"/>
        <w:rPr>
          <w:rFonts w:cs="Arial"/>
          <w:color w:val="000000"/>
          <w:lang w:val="en-US" w:eastAsia="en-AU"/>
        </w:rPr>
      </w:pPr>
    </w:p>
    <w:p w14:paraId="50374BAE" w14:textId="77777777" w:rsidR="00D34895" w:rsidRDefault="00D34895" w:rsidP="00095F05">
      <w:pPr>
        <w:widowControl w:val="0"/>
        <w:tabs>
          <w:tab w:val="left" w:pos="567"/>
        </w:tabs>
        <w:suppressAutoHyphens/>
        <w:autoSpaceDE w:val="0"/>
        <w:autoSpaceDN w:val="0"/>
        <w:adjustRightInd w:val="0"/>
        <w:spacing w:after="113"/>
        <w:textAlignment w:val="center"/>
        <w:rPr>
          <w:rFonts w:cs="Arial"/>
          <w:color w:val="000000"/>
          <w:lang w:val="en-US" w:eastAsia="en-AU"/>
        </w:rPr>
      </w:pPr>
    </w:p>
    <w:p w14:paraId="745F2F92" w14:textId="77777777" w:rsidR="00D34895" w:rsidRDefault="00D34895" w:rsidP="00095F05">
      <w:pPr>
        <w:widowControl w:val="0"/>
        <w:tabs>
          <w:tab w:val="left" w:pos="567"/>
        </w:tabs>
        <w:suppressAutoHyphens/>
        <w:autoSpaceDE w:val="0"/>
        <w:autoSpaceDN w:val="0"/>
        <w:adjustRightInd w:val="0"/>
        <w:spacing w:after="113"/>
        <w:textAlignment w:val="center"/>
        <w:rPr>
          <w:rFonts w:cs="Arial"/>
          <w:color w:val="000000"/>
          <w:lang w:val="en-US" w:eastAsia="en-AU"/>
        </w:rPr>
      </w:pPr>
    </w:p>
    <w:p w14:paraId="02B0DA52" w14:textId="77777777" w:rsidR="00D34895" w:rsidRDefault="00D34895" w:rsidP="00095F05">
      <w:pPr>
        <w:widowControl w:val="0"/>
        <w:tabs>
          <w:tab w:val="left" w:pos="567"/>
        </w:tabs>
        <w:suppressAutoHyphens/>
        <w:autoSpaceDE w:val="0"/>
        <w:autoSpaceDN w:val="0"/>
        <w:adjustRightInd w:val="0"/>
        <w:spacing w:after="113"/>
        <w:textAlignment w:val="center"/>
        <w:rPr>
          <w:rFonts w:cs="Arial"/>
          <w:color w:val="000000"/>
          <w:lang w:val="en-US" w:eastAsia="en-AU"/>
        </w:rPr>
      </w:pPr>
    </w:p>
    <w:p w14:paraId="55B42D04" w14:textId="77777777" w:rsidR="00D34895" w:rsidRDefault="00D34895" w:rsidP="00095F05">
      <w:pPr>
        <w:widowControl w:val="0"/>
        <w:tabs>
          <w:tab w:val="left" w:pos="567"/>
        </w:tabs>
        <w:suppressAutoHyphens/>
        <w:autoSpaceDE w:val="0"/>
        <w:autoSpaceDN w:val="0"/>
        <w:adjustRightInd w:val="0"/>
        <w:spacing w:after="113"/>
        <w:textAlignment w:val="center"/>
        <w:rPr>
          <w:rFonts w:cs="Arial"/>
          <w:color w:val="000000"/>
          <w:lang w:val="en-US" w:eastAsia="en-AU"/>
        </w:rPr>
      </w:pPr>
    </w:p>
    <w:p w14:paraId="5EA52338" w14:textId="77777777" w:rsidR="00A43AB6" w:rsidRPr="00095F05" w:rsidRDefault="00A43AB6" w:rsidP="00095F05">
      <w:pPr>
        <w:widowControl w:val="0"/>
        <w:tabs>
          <w:tab w:val="left" w:pos="567"/>
        </w:tabs>
        <w:suppressAutoHyphens/>
        <w:autoSpaceDE w:val="0"/>
        <w:autoSpaceDN w:val="0"/>
        <w:adjustRightInd w:val="0"/>
        <w:spacing w:after="113"/>
        <w:textAlignment w:val="center"/>
        <w:rPr>
          <w:rFonts w:cs="Arial"/>
          <w:color w:val="000000"/>
          <w:lang w:val="en-US" w:eastAsia="en-AU"/>
        </w:rPr>
      </w:pPr>
    </w:p>
    <w:p w14:paraId="730C1D59" w14:textId="219753C1" w:rsidR="000E3DC1" w:rsidRDefault="00D6621A" w:rsidP="000E3DC1">
      <w:r>
        <w:t>.................................................................................................................................</w:t>
      </w:r>
    </w:p>
    <w:p w14:paraId="32CEC59C" w14:textId="77777777" w:rsidR="000E3DC1" w:rsidRPr="0039341C" w:rsidRDefault="000E3DC1" w:rsidP="000E3DC1">
      <w:pPr>
        <w:widowControl w:val="0"/>
        <w:suppressAutoHyphens/>
        <w:autoSpaceDE w:val="0"/>
        <w:autoSpaceDN w:val="0"/>
        <w:adjustRightInd w:val="0"/>
        <w:spacing w:after="113"/>
        <w:textAlignment w:val="center"/>
        <w:rPr>
          <w:rStyle w:val="Strong"/>
          <w:sz w:val="20"/>
          <w:szCs w:val="20"/>
        </w:rPr>
      </w:pPr>
      <w:r w:rsidRPr="0039341C">
        <w:rPr>
          <w:rStyle w:val="Strong"/>
          <w:sz w:val="20"/>
          <w:szCs w:val="20"/>
        </w:rPr>
        <w:t>Australian Human Rights Commission</w:t>
      </w:r>
    </w:p>
    <w:p w14:paraId="417FC943" w14:textId="77777777" w:rsidR="000E3DC1" w:rsidRPr="000E3DC1" w:rsidRDefault="000E3DC1" w:rsidP="000E3DC1">
      <w:pPr>
        <w:widowControl w:val="0"/>
        <w:suppressAutoHyphens/>
        <w:autoSpaceDE w:val="0"/>
        <w:autoSpaceDN w:val="0"/>
        <w:adjustRightInd w:val="0"/>
        <w:spacing w:after="57"/>
        <w:textAlignment w:val="center"/>
        <w:rPr>
          <w:rFonts w:cs="Arial"/>
          <w:color w:val="000000"/>
          <w:sz w:val="20"/>
          <w:szCs w:val="20"/>
          <w:lang w:val="en-AU" w:eastAsia="en-AU"/>
        </w:rPr>
      </w:pPr>
      <w:r w:rsidRPr="000E3DC1">
        <w:rPr>
          <w:rFonts w:cs="Arial"/>
          <w:color w:val="000000"/>
          <w:sz w:val="20"/>
          <w:szCs w:val="20"/>
          <w:lang w:val="en-AU" w:eastAsia="en-AU"/>
        </w:rPr>
        <w:t xml:space="preserve">Level 3, 175 Pitt Street, Sydney NSW 2000 </w:t>
      </w:r>
      <w:r w:rsidRPr="000E3DC1">
        <w:rPr>
          <w:rFonts w:cs="Arial"/>
          <w:color w:val="000000"/>
          <w:sz w:val="20"/>
          <w:szCs w:val="20"/>
          <w:lang w:val="en-AU" w:eastAsia="en-AU"/>
        </w:rPr>
        <w:br/>
        <w:t>GPO Box 5218, Sydney NSW 2001</w:t>
      </w:r>
    </w:p>
    <w:p w14:paraId="5E58F624" w14:textId="50349A04" w:rsidR="000E3DC1" w:rsidRPr="000E3DC1" w:rsidRDefault="000E3DC1" w:rsidP="000E3DC1">
      <w:pPr>
        <w:rPr>
          <w:rFonts w:cs="Arial"/>
          <w:sz w:val="20"/>
          <w:szCs w:val="20"/>
        </w:rPr>
      </w:pPr>
      <w:r w:rsidRPr="000E3DC1">
        <w:rPr>
          <w:rFonts w:cs="Arial"/>
          <w:i/>
          <w:iCs/>
          <w:color w:val="000000"/>
          <w:sz w:val="20"/>
          <w:szCs w:val="20"/>
          <w:lang w:val="en-AU" w:eastAsia="en-AU"/>
        </w:rPr>
        <w:t>Telephone:</w:t>
      </w:r>
      <w:r w:rsidRPr="000E3DC1">
        <w:rPr>
          <w:rFonts w:cs="Arial"/>
          <w:color w:val="000000"/>
          <w:sz w:val="20"/>
          <w:szCs w:val="20"/>
          <w:lang w:val="en-AU" w:eastAsia="en-AU"/>
        </w:rPr>
        <w:t xml:space="preserve"> 02 9284 9600 </w:t>
      </w:r>
      <w:r w:rsidRPr="000E3DC1">
        <w:rPr>
          <w:rFonts w:cs="Arial"/>
          <w:color w:val="000000"/>
          <w:sz w:val="20"/>
          <w:szCs w:val="20"/>
          <w:lang w:val="en-AU" w:eastAsia="en-AU"/>
        </w:rPr>
        <w:br/>
      </w:r>
      <w:r w:rsidRPr="000E3DC1">
        <w:rPr>
          <w:rFonts w:cs="Arial"/>
          <w:i/>
          <w:iCs/>
          <w:color w:val="000000"/>
          <w:sz w:val="20"/>
          <w:szCs w:val="20"/>
          <w:lang w:val="en-AU" w:eastAsia="en-AU"/>
        </w:rPr>
        <w:t>Facsimile:</w:t>
      </w:r>
      <w:r w:rsidRPr="000E3DC1">
        <w:rPr>
          <w:rFonts w:cs="Arial"/>
          <w:color w:val="000000"/>
          <w:sz w:val="20"/>
          <w:szCs w:val="20"/>
          <w:lang w:val="en-AU" w:eastAsia="en-AU"/>
        </w:rPr>
        <w:t xml:space="preserve"> 02 9284 9611 </w:t>
      </w:r>
      <w:r w:rsidRPr="000E3DC1">
        <w:rPr>
          <w:rFonts w:cs="Arial"/>
          <w:color w:val="000000"/>
          <w:sz w:val="20"/>
          <w:szCs w:val="20"/>
          <w:lang w:val="en-AU" w:eastAsia="en-AU"/>
        </w:rPr>
        <w:br/>
      </w:r>
      <w:r w:rsidRPr="000E3DC1">
        <w:rPr>
          <w:rFonts w:cs="Arial"/>
          <w:i/>
          <w:iCs/>
          <w:color w:val="000000"/>
          <w:sz w:val="20"/>
          <w:szCs w:val="20"/>
          <w:lang w:val="en-AU" w:eastAsia="en-AU"/>
        </w:rPr>
        <w:t>Website:</w:t>
      </w:r>
      <w:r w:rsidRPr="000E3DC1">
        <w:rPr>
          <w:rFonts w:cs="Arial"/>
          <w:color w:val="000000"/>
          <w:sz w:val="20"/>
          <w:szCs w:val="20"/>
          <w:lang w:val="en-AU" w:eastAsia="en-AU"/>
        </w:rPr>
        <w:t xml:space="preserve"> </w:t>
      </w:r>
      <w:hyperlink r:id="rId17" w:history="1">
        <w:r w:rsidR="00E25CEE">
          <w:rPr>
            <w:rStyle w:val="Hyperlink"/>
            <w:rFonts w:cs="Arial"/>
            <w:sz w:val="20"/>
            <w:szCs w:val="20"/>
            <w:lang w:val="en-AU" w:eastAsia="en-AU"/>
          </w:rPr>
          <w:t>www.humanrights.gov.au</w:t>
        </w:r>
      </w:hyperlink>
    </w:p>
    <w:p w14:paraId="6BCF08CC" w14:textId="1FB84029" w:rsidR="00C95492" w:rsidRPr="00C95492" w:rsidRDefault="000E3DC1" w:rsidP="00C95492">
      <w:pPr>
        <w:spacing w:after="227"/>
      </w:pPr>
      <w:r>
        <w:rPr>
          <w:rFonts w:cs="Arial"/>
          <w:lang w:val="en-AU"/>
        </w:rPr>
        <w:br w:type="page"/>
      </w:r>
    </w:p>
    <w:p w14:paraId="6F5D451E" w14:textId="77777777" w:rsidR="005E44F3" w:rsidRDefault="005E44F3" w:rsidP="005E44F3">
      <w:pPr>
        <w:pStyle w:val="Heading1"/>
      </w:pPr>
      <w:bookmarkStart w:id="1" w:name="_Toc275891141"/>
      <w:r>
        <w:lastRenderedPageBreak/>
        <w:t>Introduction to this inquiry</w:t>
      </w:r>
      <w:bookmarkEnd w:id="1"/>
    </w:p>
    <w:p w14:paraId="68317400" w14:textId="77777777" w:rsidR="005E44F3" w:rsidRDefault="005E44F3" w:rsidP="005E44F3">
      <w:pPr>
        <w:pStyle w:val="ListParagraph"/>
      </w:pPr>
      <w:r>
        <w:t>This report sets out the findings of the Australian Human Rights Commission, and reasons for those findings, following an inquiry into a complaint of discrimination in employment on the basis of criminal record. The complaint was made to the Commission by TM against Linfox Australia Pty Ltd (Linfox).</w:t>
      </w:r>
    </w:p>
    <w:p w14:paraId="4C3C179D" w14:textId="77777777" w:rsidR="005E44F3" w:rsidRDefault="005E44F3" w:rsidP="005E44F3">
      <w:pPr>
        <w:pStyle w:val="Heading1"/>
      </w:pPr>
      <w:bookmarkStart w:id="2" w:name="_Toc275891142"/>
      <w:r>
        <w:t>Summary of findings and recommendations</w:t>
      </w:r>
      <w:bookmarkEnd w:id="2"/>
    </w:p>
    <w:p w14:paraId="3862C64A" w14:textId="77777777" w:rsidR="005E44F3" w:rsidRDefault="005E44F3" w:rsidP="005E44F3">
      <w:pPr>
        <w:pStyle w:val="ListParagraph"/>
      </w:pPr>
      <w:r>
        <w:t>I find that Linfox’s acts of refusing to confirm the offer of ‘conversion’ of TM’s employment, and/or to exclude him from further work with Linfox through a labour hire firm, constituted an exclusion made on the basis of a criminal record. I also find that Linfox’s acts had the effect of impairing TM’s equality of opportunity or treatment in employment or occupation.</w:t>
      </w:r>
    </w:p>
    <w:p w14:paraId="405DE012" w14:textId="77777777" w:rsidR="005E44F3" w:rsidRDefault="005E44F3" w:rsidP="005E44F3">
      <w:pPr>
        <w:pStyle w:val="ListParagraph"/>
      </w:pPr>
      <w:r>
        <w:t>Further, I find that Linfox’s exclusion was not based on the inherent requirements of the job.</w:t>
      </w:r>
    </w:p>
    <w:p w14:paraId="6C69EE8C" w14:textId="77777777" w:rsidR="005E44F3" w:rsidRDefault="005E44F3" w:rsidP="005E44F3">
      <w:pPr>
        <w:pStyle w:val="ListParagraph"/>
      </w:pPr>
      <w:r>
        <w:t>In light of my findings I recommend that Linfox:</w:t>
      </w:r>
    </w:p>
    <w:p w14:paraId="36F17329" w14:textId="77777777" w:rsidR="005E44F3" w:rsidRDefault="005E44F3" w:rsidP="005E44F3">
      <w:pPr>
        <w:pStyle w:val="BulletsList"/>
      </w:pPr>
      <w:r>
        <w:t>pay financial compensation to TM in the amount of $11,048.00 for lost earnings and entitlements and general damages for hurt, humiliation and distress; and</w:t>
      </w:r>
    </w:p>
    <w:p w14:paraId="67DBC0F0" w14:textId="77777777" w:rsidR="005E44F3" w:rsidRDefault="005E44F3" w:rsidP="005E44F3">
      <w:pPr>
        <w:pStyle w:val="BulletsList"/>
      </w:pPr>
      <w:r>
        <w:t>apologise, in writing, to TM.</w:t>
      </w:r>
    </w:p>
    <w:p w14:paraId="7485973E" w14:textId="77777777" w:rsidR="005E44F3" w:rsidRDefault="005E44F3" w:rsidP="005E44F3">
      <w:pPr>
        <w:pStyle w:val="Heading1"/>
      </w:pPr>
      <w:bookmarkStart w:id="3" w:name="_Toc275891143"/>
      <w:r>
        <w:t>Outline of complaint</w:t>
      </w:r>
      <w:bookmarkEnd w:id="3"/>
    </w:p>
    <w:p w14:paraId="4408207B" w14:textId="77777777" w:rsidR="005E44F3" w:rsidRDefault="005E44F3" w:rsidP="005E44F3">
      <w:pPr>
        <w:pStyle w:val="ListParagraph"/>
      </w:pPr>
      <w:r>
        <w:t>TM made a written complaint to the Commission dated 30 July 2012. He alleges that Linfox excluded him from employment with them as a linehaul driver because of his criminal record. Linfox provided a response to the allegations, along with a copy of:</w:t>
      </w:r>
    </w:p>
    <w:p w14:paraId="06D2EB60" w14:textId="77777777" w:rsidR="005E44F3" w:rsidRDefault="005E44F3" w:rsidP="005E44F3">
      <w:pPr>
        <w:pStyle w:val="BulletsList"/>
        <w:spacing w:after="0"/>
      </w:pPr>
      <w:r>
        <w:t>a Check Results Report from CRIMTRAC (the report);</w:t>
      </w:r>
    </w:p>
    <w:p w14:paraId="649C696F" w14:textId="77777777" w:rsidR="005E44F3" w:rsidRDefault="005E44F3" w:rsidP="005E44F3">
      <w:pPr>
        <w:pStyle w:val="BulletsList"/>
        <w:spacing w:after="0"/>
      </w:pPr>
      <w:r>
        <w:t>a form entitled “Consent To Obtain Personal Information Form”; and</w:t>
      </w:r>
    </w:p>
    <w:p w14:paraId="5F85C3EE" w14:textId="77777777" w:rsidR="005E44F3" w:rsidRDefault="005E44F3" w:rsidP="005E44F3">
      <w:pPr>
        <w:pStyle w:val="BulletsList"/>
      </w:pPr>
      <w:r>
        <w:t>a form entitled “Personal Information”.</w:t>
      </w:r>
    </w:p>
    <w:p w14:paraId="29BA5DED" w14:textId="77777777" w:rsidR="005E44F3" w:rsidRDefault="005E44F3" w:rsidP="005E44F3">
      <w:pPr>
        <w:pStyle w:val="ListParagraph"/>
      </w:pPr>
      <w:r>
        <w:lastRenderedPageBreak/>
        <w:t>Further information and documentation was requested from Linfox. They provided a ‘Position Profile’ for a Linehaul Driver and a document entitled ‘Linfox Procedures for the provision of criminal history information by CRIMTRAC on behalf of Australian Police Services’ (Linfox Procedures). Linfox was then requested to provide information and documents as to how this policy was applied to TM but declined to provide any further documents or provide the information requested.</w:t>
      </w:r>
    </w:p>
    <w:p w14:paraId="6DB2061E" w14:textId="77777777" w:rsidR="005E44F3" w:rsidRDefault="005E44F3" w:rsidP="005E44F3">
      <w:pPr>
        <w:pStyle w:val="ListParagraph"/>
      </w:pPr>
      <w:r>
        <w:t>On 17 December 2012, the Commission attempted without success, to resolve the complaint by conciliation.</w:t>
      </w:r>
    </w:p>
    <w:p w14:paraId="61A18F81" w14:textId="77777777" w:rsidR="005E44F3" w:rsidRDefault="005E44F3" w:rsidP="005E44F3">
      <w:pPr>
        <w:pStyle w:val="Heading1"/>
      </w:pPr>
      <w:bookmarkStart w:id="4" w:name="_Toc275891144"/>
      <w:r>
        <w:t>Findings of fact</w:t>
      </w:r>
      <w:bookmarkEnd w:id="4"/>
    </w:p>
    <w:p w14:paraId="0E0B2334" w14:textId="77777777" w:rsidR="005E44F3" w:rsidRDefault="005E44F3" w:rsidP="005E44F3">
      <w:pPr>
        <w:pStyle w:val="ListParagraph"/>
      </w:pPr>
      <w:r>
        <w:t>I find the following regarding the circumstances which have given rise to this complaint:</w:t>
      </w:r>
    </w:p>
    <w:p w14:paraId="5C524579" w14:textId="77777777" w:rsidR="005E44F3" w:rsidRDefault="005E44F3" w:rsidP="005E44F3">
      <w:pPr>
        <w:pStyle w:val="Bulletsa"/>
      </w:pPr>
      <w:r>
        <w:t>(a)</w:t>
      </w:r>
      <w:r>
        <w:tab/>
        <w:t>On 18 April 2011, TM was referred by OneForce, a labour hire company, to Linfox for truck driving work.</w:t>
      </w:r>
    </w:p>
    <w:p w14:paraId="5B402D04" w14:textId="77777777" w:rsidR="005E44F3" w:rsidRDefault="005E44F3" w:rsidP="005E44F3">
      <w:pPr>
        <w:pStyle w:val="Bulletsa"/>
      </w:pPr>
      <w:r>
        <w:t>(b)</w:t>
      </w:r>
      <w:r>
        <w:tab/>
        <w:t>He commenced work at the Linfox/Gorgon Dampier Supply base as a linehaul driver on 26 April 2011.</w:t>
      </w:r>
    </w:p>
    <w:p w14:paraId="480BC82C" w14:textId="77777777" w:rsidR="005E44F3" w:rsidRDefault="005E44F3" w:rsidP="005E44F3">
      <w:pPr>
        <w:pStyle w:val="Bulletsa"/>
      </w:pPr>
      <w:r>
        <w:t>(c)</w:t>
      </w:r>
      <w:r>
        <w:tab/>
        <w:t>In November 2011 Mr Sean Fiddes (Operations Manager – Gorgon) approached TM requesting that he convert his employment from OneForce to Linfox.</w:t>
      </w:r>
    </w:p>
    <w:p w14:paraId="070B1209" w14:textId="77777777" w:rsidR="005E44F3" w:rsidRDefault="005E44F3" w:rsidP="005E44F3">
      <w:pPr>
        <w:pStyle w:val="Bulletsa"/>
      </w:pPr>
      <w:r>
        <w:t>(d)</w:t>
      </w:r>
      <w:r>
        <w:tab/>
        <w:t>On 28 November 2011, TM signed a ‘Consent To Obtain Personal Information Form’ authorising CrimTrac Agency to get a police check and provide it to Linfox to allow it to assess his suitability for employment.</w:t>
      </w:r>
    </w:p>
    <w:p w14:paraId="4EBF92C6" w14:textId="77777777" w:rsidR="005E44F3" w:rsidRDefault="005E44F3" w:rsidP="005E44F3">
      <w:pPr>
        <w:pStyle w:val="Bulletsa"/>
      </w:pPr>
      <w:r>
        <w:t>(e)</w:t>
      </w:r>
      <w:r>
        <w:tab/>
        <w:t>On the same date, TM also completed a ‘Personal Information’ form that seeks information about name, address, drivers licence, place of birth, permanent residential addresses over the last five years. The form also seeks information regarding “Any offence, convictions, or pecuniary penalties”.</w:t>
      </w:r>
    </w:p>
    <w:p w14:paraId="333E00DC" w14:textId="6CB3CFBC" w:rsidR="005E44F3" w:rsidRDefault="005E44F3">
      <w:pPr>
        <w:spacing w:after="0" w:line="240" w:lineRule="auto"/>
      </w:pPr>
      <w:r>
        <w:br w:type="page"/>
      </w:r>
    </w:p>
    <w:p w14:paraId="266E95EA" w14:textId="5818D5FC" w:rsidR="005E44F3" w:rsidRDefault="005E44F3" w:rsidP="005E44F3">
      <w:pPr>
        <w:pStyle w:val="Bulletsa"/>
      </w:pPr>
      <w:r>
        <w:lastRenderedPageBreak/>
        <w:t xml:space="preserve"> (f)</w:t>
      </w:r>
      <w:r>
        <w:tab/>
        <w:t>On that form, against the following question:</w:t>
      </w:r>
    </w:p>
    <w:p w14:paraId="7B79FFA1" w14:textId="77777777" w:rsidR="005E44F3" w:rsidRDefault="005E44F3" w:rsidP="005E44F3">
      <w:pPr>
        <w:pStyle w:val="NormalIndented"/>
        <w:ind w:left="2835"/>
      </w:pPr>
      <w:r>
        <w:t>Do you have any adult convictions or findings of guilt, which are OVER 10 years old (or 5 years for juvenile convictions or findings of guilt) where the sentence imposed was imprisonment?</w:t>
      </w:r>
    </w:p>
    <w:p w14:paraId="1250CA96" w14:textId="1B769C72" w:rsidR="005E44F3" w:rsidRDefault="005E44F3" w:rsidP="005E44F3">
      <w:pPr>
        <w:pStyle w:val="NormalIndented"/>
        <w:ind w:left="2160"/>
      </w:pPr>
      <w:r>
        <w:t>If “Yes”, provide details:</w:t>
      </w:r>
    </w:p>
    <w:p w14:paraId="4078A326" w14:textId="77777777" w:rsidR="005E44F3" w:rsidRDefault="005E44F3" w:rsidP="005E44F3">
      <w:pPr>
        <w:pStyle w:val="Bulletsa"/>
      </w:pPr>
      <w:r>
        <w:t>TM ticked the ‘Yes’ box and provided the details:</w:t>
      </w:r>
    </w:p>
    <w:p w14:paraId="6F17CDA8" w14:textId="77777777" w:rsidR="005E44F3" w:rsidRDefault="005E44F3" w:rsidP="005E44F3">
      <w:pPr>
        <w:ind w:left="2835"/>
      </w:pPr>
      <w:r>
        <w:t>“AS PER CRIMINAL HISTORY CHECK!”</w:t>
      </w:r>
    </w:p>
    <w:p w14:paraId="7F399299" w14:textId="77777777" w:rsidR="005E44F3" w:rsidRDefault="005E44F3" w:rsidP="005E44F3">
      <w:pPr>
        <w:pStyle w:val="Bulletsa"/>
      </w:pPr>
      <w:r>
        <w:t>(g)</w:t>
      </w:r>
      <w:r>
        <w:tab/>
        <w:t>In either November or December 2011, Mr Fiddes met with TM and had a discussion about his employment and his criminal record. The relevant content of that conversation is in dispute. Linfox claim that during the conversation TM gave false information about the nature of his criminal record and, in doing so, failed to provide full and accurate disclosure of his criminal convictions. Linfox claim that the details of the convictions given by TM during the conversation ‘bore no resemblance to the actual convictions’. TM disputes this.</w:t>
      </w:r>
    </w:p>
    <w:p w14:paraId="5EB9FF6D" w14:textId="77777777" w:rsidR="005E44F3" w:rsidRDefault="005E44F3" w:rsidP="005E44F3">
      <w:pPr>
        <w:pStyle w:val="Bulletsa"/>
      </w:pPr>
      <w:r>
        <w:t>(h)</w:t>
      </w:r>
      <w:r>
        <w:tab/>
        <w:t>TM claims the following in relation to the only conversation he had with Mr Fiddes regarding his criminal record:</w:t>
      </w:r>
    </w:p>
    <w:p w14:paraId="2088DE94" w14:textId="77777777" w:rsidR="005E44F3" w:rsidRDefault="005E44F3" w:rsidP="005E44F3">
      <w:pPr>
        <w:pStyle w:val="Bulletsi0"/>
        <w:spacing w:after="57"/>
      </w:pPr>
      <w:r>
        <w:t>(i)</w:t>
      </w:r>
      <w:r>
        <w:tab/>
        <w:t>He told Mr Fiddes that there would be a problem with his criminal record.</w:t>
      </w:r>
    </w:p>
    <w:p w14:paraId="3DCF8F69" w14:textId="77777777" w:rsidR="005E44F3" w:rsidRDefault="005E44F3" w:rsidP="005E44F3">
      <w:pPr>
        <w:pStyle w:val="Bulletsi0"/>
        <w:spacing w:after="57"/>
      </w:pPr>
      <w:r>
        <w:t>(ii)</w:t>
      </w:r>
      <w:r>
        <w:tab/>
        <w:t>He did not mention the detail of the convictions.</w:t>
      </w:r>
    </w:p>
    <w:p w14:paraId="5EBD7919" w14:textId="77777777" w:rsidR="005E44F3" w:rsidRDefault="005E44F3" w:rsidP="005E44F3">
      <w:pPr>
        <w:pStyle w:val="Bulletsi0"/>
        <w:spacing w:after="57"/>
      </w:pPr>
      <w:r>
        <w:t>(iii)</w:t>
      </w:r>
      <w:r>
        <w:tab/>
        <w:t>He does not have any grandchildren and mentioned nothing about a granddaughter, as alleged by Mr Fiddes.</w:t>
      </w:r>
    </w:p>
    <w:p w14:paraId="25DB98A3" w14:textId="77777777" w:rsidR="005E44F3" w:rsidRDefault="005E44F3" w:rsidP="005E44F3">
      <w:pPr>
        <w:pStyle w:val="Bulletsi0"/>
        <w:spacing w:after="57"/>
      </w:pPr>
      <w:r>
        <w:t>(iv)</w:t>
      </w:r>
      <w:r>
        <w:tab/>
        <w:t>He showed Mr Fiddes what he had written on the Personal Information form and Mr Fiddes had said it would not be a problem, as he had not lied.</w:t>
      </w:r>
    </w:p>
    <w:p w14:paraId="747B75E9" w14:textId="77777777" w:rsidR="005E44F3" w:rsidRDefault="005E44F3" w:rsidP="005E44F3">
      <w:pPr>
        <w:pStyle w:val="Bulletsi0"/>
      </w:pPr>
      <w:r>
        <w:t>(v)</w:t>
      </w:r>
      <w:r>
        <w:tab/>
        <w:t>Mr Fiddes told him the details of the convictions did not concern him and that it was only one person in Melbourne who would sight the form and needed to know the results.</w:t>
      </w:r>
    </w:p>
    <w:p w14:paraId="3F675D89" w14:textId="77777777" w:rsidR="005E44F3" w:rsidRDefault="005E44F3" w:rsidP="005E44F3">
      <w:pPr>
        <w:pStyle w:val="Bulletsa"/>
      </w:pPr>
      <w:r>
        <w:lastRenderedPageBreak/>
        <w:t>(i)</w:t>
      </w:r>
      <w:r>
        <w:tab/>
        <w:t>TM further claims that he did not write the details of the convictions on the Personal Information form because he was embarrassed to do so.</w:t>
      </w:r>
    </w:p>
    <w:p w14:paraId="7B7C2E34" w14:textId="77777777" w:rsidR="005E44F3" w:rsidRDefault="005E44F3" w:rsidP="005E44F3">
      <w:pPr>
        <w:pStyle w:val="Bulletsa"/>
      </w:pPr>
      <w:r>
        <w:t>(j)</w:t>
      </w:r>
      <w:r>
        <w:tab/>
        <w:t>In January 2012, CrimTrac provided Linfox with a Check Results Report in relation to TM.</w:t>
      </w:r>
    </w:p>
    <w:p w14:paraId="66056E22" w14:textId="77777777" w:rsidR="005E44F3" w:rsidRDefault="005E44F3" w:rsidP="005E44F3">
      <w:pPr>
        <w:pStyle w:val="Bulletsa"/>
      </w:pPr>
      <w:r>
        <w:t>(k)</w:t>
      </w:r>
      <w:r>
        <w:tab/>
        <w:t>The report shows that on 20 December 1999 (12 years earlier), TM was convicted of two counts of indecent dealing with a child under 16 and 3 counts of sexual penetration of a child under 16. TM was sentenced to a total of 5 years imprisonment. There were no other convictions recorded.</w:t>
      </w:r>
    </w:p>
    <w:p w14:paraId="795F0842" w14:textId="77777777" w:rsidR="005E44F3" w:rsidRDefault="005E44F3" w:rsidP="005E44F3">
      <w:pPr>
        <w:pStyle w:val="Bulletsa"/>
      </w:pPr>
      <w:r>
        <w:t>(l)</w:t>
      </w:r>
      <w:r>
        <w:tab/>
        <w:t>On 6 January 2012, TM was advised by Linfox that he did not meet the Linfox selection criteria and his work with Linfox was terminated. Further, at some point after receipt of the CrimTrac report, Linfox decided not to proceed with the conversion of TM’s employment from OneForce to Linfox.</w:t>
      </w:r>
    </w:p>
    <w:p w14:paraId="4DCCBA1F" w14:textId="77777777" w:rsidR="005E44F3" w:rsidRDefault="005E44F3" w:rsidP="005E44F3">
      <w:pPr>
        <w:pStyle w:val="Bulletsa"/>
      </w:pPr>
      <w:r>
        <w:t>(m)</w:t>
      </w:r>
      <w:r>
        <w:tab/>
        <w:t>Despite attempts by TM to ascertain the reason for the decision by Linfox, he was unable to do so, and was not afforded any opportunity to discuss the matter with Linfox.</w:t>
      </w:r>
    </w:p>
    <w:p w14:paraId="420D11B3" w14:textId="77777777" w:rsidR="005E44F3" w:rsidRDefault="005E44F3" w:rsidP="005E44F3">
      <w:pPr>
        <w:pStyle w:val="Heading1"/>
      </w:pPr>
      <w:bookmarkStart w:id="5" w:name="_Toc275891145"/>
      <w:r>
        <w:t>Relevant legal framework</w:t>
      </w:r>
      <w:bookmarkEnd w:id="5"/>
    </w:p>
    <w:p w14:paraId="0A6CE316" w14:textId="77777777" w:rsidR="005E44F3" w:rsidRDefault="005E44F3" w:rsidP="005E44F3">
      <w:pPr>
        <w:pStyle w:val="ListParagraph"/>
      </w:pPr>
      <w:r>
        <w:t xml:space="preserve">Part II, Division 4 of the </w:t>
      </w:r>
      <w:r>
        <w:rPr>
          <w:rStyle w:val="Emphasis"/>
        </w:rPr>
        <w:t>Australian Human Rights Commission Act 1986</w:t>
      </w:r>
      <w:r>
        <w:t xml:space="preserve"> (Cth) (AHRC Act), which is comprised of sections 30-35, is concerned with the Commission’s functions relating to equal opportunity in employment.</w:t>
      </w:r>
    </w:p>
    <w:p w14:paraId="0E507B6B" w14:textId="77777777" w:rsidR="005E44F3" w:rsidRDefault="005E44F3" w:rsidP="005E44F3">
      <w:pPr>
        <w:pStyle w:val="ListParagraph"/>
      </w:pPr>
      <w:r>
        <w:t>Section 31(b) confers on the Commission a function of inquiring into any act or practice that may constitute discrimination. Section 32(1)(b) requires the Commission to exercise this function when a complaint is made to it in writing alleging that an act or practice constitutes discrimination. Section 8(6) of the AHRC Act requires that the function of the Commission under section 31(b) be performed by the President.</w:t>
      </w:r>
    </w:p>
    <w:p w14:paraId="4BD60CB2" w14:textId="6DB1F4EF" w:rsidR="005E44F3" w:rsidRDefault="005E44F3">
      <w:pPr>
        <w:spacing w:after="0" w:line="240" w:lineRule="auto"/>
      </w:pPr>
      <w:r>
        <w:br w:type="page"/>
      </w:r>
    </w:p>
    <w:p w14:paraId="409B62BB" w14:textId="77777777" w:rsidR="005E44F3" w:rsidRDefault="005E44F3" w:rsidP="005E44F3">
      <w:pPr>
        <w:pStyle w:val="ListParagraph"/>
      </w:pPr>
      <w:r>
        <w:lastRenderedPageBreak/>
        <w:t>Section 3(1) of the AHRC Act defines discrimination for the purposes of section 31(b) as:</w:t>
      </w:r>
    </w:p>
    <w:p w14:paraId="242775E1" w14:textId="77777777" w:rsidR="005E44F3" w:rsidRDefault="005E44F3" w:rsidP="005E44F3">
      <w:pPr>
        <w:pStyle w:val="Bulletsa"/>
      </w:pPr>
      <w:r>
        <w:t>(a)</w:t>
      </w:r>
      <w:r>
        <w:tab/>
        <w:t>any distinction, exclusion or preference made on the basis of race, colour, sex, religion, political opinion, national extraction or social origin that has the effect of nullifying or impairing equality of opportunity or treatment in employment or occupation; and</w:t>
      </w:r>
    </w:p>
    <w:p w14:paraId="18E1F954" w14:textId="77777777" w:rsidR="005E44F3" w:rsidRDefault="005E44F3" w:rsidP="005E44F3">
      <w:pPr>
        <w:pStyle w:val="Bulletsa"/>
      </w:pPr>
      <w:r>
        <w:t>(b)</w:t>
      </w:r>
      <w:r>
        <w:tab/>
        <w:t>any other distinction, exclusion or preference that:</w:t>
      </w:r>
    </w:p>
    <w:p w14:paraId="3026D506" w14:textId="77777777" w:rsidR="005E44F3" w:rsidRDefault="005E44F3" w:rsidP="005E44F3">
      <w:pPr>
        <w:pStyle w:val="Bulletsi0"/>
      </w:pPr>
      <w:r>
        <w:t>(i)</w:t>
      </w:r>
      <w:r>
        <w:tab/>
        <w:t>has the effect of nullifying or impairing equality of opportunity or treatment in employment or occupation; and</w:t>
      </w:r>
    </w:p>
    <w:p w14:paraId="5CC701EC" w14:textId="77777777" w:rsidR="005E44F3" w:rsidRDefault="005E44F3" w:rsidP="005E44F3">
      <w:pPr>
        <w:pStyle w:val="Bulletsi0"/>
      </w:pPr>
      <w:r>
        <w:t>(ii)</w:t>
      </w:r>
      <w:r>
        <w:tab/>
        <w:t>has been declared by the regulations to constitute discrimination for the purposes of this AHRC Act;</w:t>
      </w:r>
    </w:p>
    <w:p w14:paraId="59A1A428" w14:textId="77777777" w:rsidR="005E44F3" w:rsidRDefault="005E44F3" w:rsidP="005E44F3">
      <w:pPr>
        <w:ind w:left="1440"/>
      </w:pPr>
      <w:r>
        <w:t>but does not include any distinction, exclusion or preference:</w:t>
      </w:r>
    </w:p>
    <w:p w14:paraId="2923822D" w14:textId="77777777" w:rsidR="005E44F3" w:rsidRDefault="005E44F3" w:rsidP="005E44F3">
      <w:pPr>
        <w:pStyle w:val="Bulletsa"/>
      </w:pPr>
      <w:r>
        <w:t>(c)</w:t>
      </w:r>
      <w:r>
        <w:tab/>
        <w:t>in respect of a particular job based on the inherent requirements of the job; or</w:t>
      </w:r>
    </w:p>
    <w:p w14:paraId="5245C48D" w14:textId="77777777" w:rsidR="005E44F3" w:rsidRDefault="005E44F3" w:rsidP="005E44F3">
      <w:pPr>
        <w:pStyle w:val="Bulletsa"/>
      </w:pPr>
      <w:r>
        <w:t>(d)</w:t>
      </w:r>
      <w:r>
        <w:tab/>
        <w:t>in connection with employment as a member of the staff of an institution that is conducted in accordance with the doctrines, tenets, beliefs or teachings of a particular religion or creed, being a distinction, exclusion or preference made in good faith in order to avoid injury to the religious susceptibilities of adherents of that religion or that creed.</w:t>
      </w:r>
    </w:p>
    <w:p w14:paraId="599224A5" w14:textId="77777777" w:rsidR="005E44F3" w:rsidRDefault="005E44F3" w:rsidP="00891073">
      <w:pPr>
        <w:pStyle w:val="ListParagraph"/>
        <w:rPr>
          <w:rStyle w:val="EndnoteReference"/>
        </w:rPr>
      </w:pPr>
      <w:r>
        <w:t>Australia has declared criminal record as a ground of discrimination for the purposes of the AHRC Act.</w:t>
      </w:r>
      <w:r>
        <w:rPr>
          <w:rStyle w:val="EndnoteReference"/>
        </w:rPr>
        <w:t>1</w:t>
      </w:r>
    </w:p>
    <w:p w14:paraId="5694BC76" w14:textId="77777777" w:rsidR="005E44F3" w:rsidRDefault="005E44F3" w:rsidP="00891073">
      <w:pPr>
        <w:pStyle w:val="Heading1"/>
      </w:pPr>
      <w:bookmarkStart w:id="6" w:name="_Toc275891146"/>
      <w:r>
        <w:t>Assessment</w:t>
      </w:r>
      <w:bookmarkEnd w:id="6"/>
    </w:p>
    <w:p w14:paraId="230ED1A3" w14:textId="4241FD62" w:rsidR="005E44F3" w:rsidRDefault="005E44F3" w:rsidP="00891073">
      <w:pPr>
        <w:pStyle w:val="Heading2"/>
      </w:pPr>
      <w:bookmarkStart w:id="7" w:name="_Toc275891147"/>
      <w:r>
        <w:t>Relevant questions to be considered</w:t>
      </w:r>
      <w:bookmarkEnd w:id="7"/>
    </w:p>
    <w:p w14:paraId="0A8D1ABB" w14:textId="77777777" w:rsidR="005E44F3" w:rsidRDefault="005E44F3" w:rsidP="00891073">
      <w:pPr>
        <w:pStyle w:val="ListParagraph"/>
      </w:pPr>
      <w:r>
        <w:t>In deciding whether there has been discrimination within the terms of section 31(b) of the AHRC Act, I am required to consider the following questions:</w:t>
      </w:r>
    </w:p>
    <w:p w14:paraId="62473A78" w14:textId="77777777" w:rsidR="005E44F3" w:rsidRDefault="005E44F3" w:rsidP="005E44F3">
      <w:pPr>
        <w:pStyle w:val="BulletsList"/>
      </w:pPr>
      <w:r>
        <w:lastRenderedPageBreak/>
        <w:t>whether there was an act or practice within the meaning of section 30(1) of the AHRC Act;</w:t>
      </w:r>
    </w:p>
    <w:p w14:paraId="619AF2D2" w14:textId="77777777" w:rsidR="005E44F3" w:rsidRDefault="005E44F3" w:rsidP="005E44F3">
      <w:pPr>
        <w:pStyle w:val="BulletsList"/>
      </w:pPr>
      <w:r>
        <w:t xml:space="preserve">whether that act or practice involved a distinction, exclusion or preference that was made on the basis of the complainant’s criminal record; </w:t>
      </w:r>
    </w:p>
    <w:p w14:paraId="10624B57" w14:textId="77777777" w:rsidR="005E44F3" w:rsidRDefault="005E44F3" w:rsidP="005E44F3">
      <w:pPr>
        <w:pStyle w:val="BulletsList"/>
      </w:pPr>
      <w:r>
        <w:t>whether that distinction, exclusion or preference had the effect of nullifying or impairing equality of opportunity or treatment in employment or occupation; and</w:t>
      </w:r>
    </w:p>
    <w:p w14:paraId="25F11569" w14:textId="77777777" w:rsidR="005E44F3" w:rsidRDefault="005E44F3" w:rsidP="005E44F3">
      <w:pPr>
        <w:pStyle w:val="BulletsList"/>
      </w:pPr>
      <w:r>
        <w:t xml:space="preserve">whether that distinction, exclusion, or preference was based on the inherent requirements of the job. </w:t>
      </w:r>
    </w:p>
    <w:p w14:paraId="2CCF1797" w14:textId="78A27104" w:rsidR="005E44F3" w:rsidRDefault="005E44F3" w:rsidP="00891073">
      <w:pPr>
        <w:pStyle w:val="Heading2"/>
      </w:pPr>
      <w:bookmarkStart w:id="8" w:name="_Toc275891148"/>
      <w:r>
        <w:t>Whether there is an ‘act’?</w:t>
      </w:r>
      <w:bookmarkEnd w:id="8"/>
    </w:p>
    <w:p w14:paraId="1FC8C969" w14:textId="77777777" w:rsidR="005E44F3" w:rsidRDefault="005E44F3" w:rsidP="00891073">
      <w:pPr>
        <w:pStyle w:val="ListParagraph"/>
      </w:pPr>
      <w:r>
        <w:t>‘Act’ and ‘practice’ are defined at section 30(1) of the AHRC Act. ‘Act’ and ‘practice’ have their ordinary meanings. An act is a thing done.</w:t>
      </w:r>
    </w:p>
    <w:p w14:paraId="74E3748B" w14:textId="77777777" w:rsidR="005E44F3" w:rsidRDefault="005E44F3" w:rsidP="00891073">
      <w:pPr>
        <w:pStyle w:val="ListParagraph"/>
      </w:pPr>
      <w:r>
        <w:t xml:space="preserve">I consider that, in the circumstances identified above, the refusal to confirm the offer of ‘conversion’ of his employment and/or the decision to exclude TM from further work with Linfox through OneForce were ‘acts’ within the meaning of section 30(1) of the AHRC Act. </w:t>
      </w:r>
    </w:p>
    <w:p w14:paraId="54FAE990" w14:textId="0AD68D2F" w:rsidR="005E44F3" w:rsidRDefault="005E44F3" w:rsidP="00891073">
      <w:pPr>
        <w:pStyle w:val="Heading2"/>
      </w:pPr>
      <w:bookmarkStart w:id="9" w:name="_Toc275891149"/>
      <w:r>
        <w:t>Whether Linfox made a distinction, exclusion or preference on the basis of criminal record</w:t>
      </w:r>
      <w:bookmarkEnd w:id="9"/>
    </w:p>
    <w:p w14:paraId="38DF16E6" w14:textId="77777777" w:rsidR="005E44F3" w:rsidRDefault="005E44F3" w:rsidP="00891A5E">
      <w:pPr>
        <w:pStyle w:val="ListParagraph"/>
      </w:pPr>
      <w:r>
        <w:t>Under the AHRC Act, to establish discrimination on the basis of criminal record, it is sufficient if a person’s criminal record is ‘a’ reason for any distinction, exclusion or preference. It does not need to be the sole reason.</w:t>
      </w:r>
      <w:r>
        <w:rPr>
          <w:rStyle w:val="EndnoteReference"/>
        </w:rPr>
        <w:t>2</w:t>
      </w:r>
    </w:p>
    <w:p w14:paraId="617E4A5F" w14:textId="77777777" w:rsidR="005E44F3" w:rsidRDefault="005E44F3" w:rsidP="00891A5E">
      <w:pPr>
        <w:pStyle w:val="ListParagraph"/>
      </w:pPr>
      <w:r>
        <w:t xml:space="preserve">As there is no direct case law to assist in the interpretation of the phrase ‘on the basis of’ in the AHRC Act, it is appropriate to consider how the courts have interpreted that phrase in other legislation. The phrase ‘based on’ is used in a similar definition of discrimination in section 9(1) of the </w:t>
      </w:r>
      <w:r>
        <w:rPr>
          <w:rStyle w:val="Emphasis"/>
        </w:rPr>
        <w:t>Racial Discrimination Act 1975</w:t>
      </w:r>
      <w:r>
        <w:t xml:space="preserve"> (Cth). The Federal Court has held that, in the context of the definition of discrimination, the expression ‘based on’ should be equated with the phrase ‘by reference to’ rather than the more limited ‘by reason of’.</w:t>
      </w:r>
      <w:r>
        <w:rPr>
          <w:rStyle w:val="EndnoteReference"/>
        </w:rPr>
        <w:t>3</w:t>
      </w:r>
    </w:p>
    <w:p w14:paraId="44F81007" w14:textId="77777777" w:rsidR="005E44F3" w:rsidRDefault="005E44F3" w:rsidP="00891A5E">
      <w:pPr>
        <w:pStyle w:val="ListParagraph"/>
      </w:pPr>
      <w:r>
        <w:lastRenderedPageBreak/>
        <w:t xml:space="preserve">There is dispute between the parties as to the basis of the exclusion of TM by Linfox. TM claims that it was on the basis of his criminal record. Linfox claim that it was on the basis of TM not providing truthful disclosure of his criminal convictions. </w:t>
      </w:r>
    </w:p>
    <w:p w14:paraId="7B8BBD7F" w14:textId="77777777" w:rsidR="005E44F3" w:rsidRDefault="005E44F3" w:rsidP="00891A5E">
      <w:pPr>
        <w:pStyle w:val="ListParagraph"/>
      </w:pPr>
      <w:r>
        <w:t xml:space="preserve">There is also a dispute between the parties as to the accuracy of TM’s disclosure of his criminal record convictions during a conversation with Mr Fiddes, the Operations Manager. It appears from the material before me that TM did not mislead Linfox as to his criminal history. TM signed the ‘Consent to Obtain Personal Information’ form authorising CRIMTRAC to provide his police check to Linfox. TM also ticked ‘yes’ on the Personal Information form, in response to the question relating to his criminal history. While he did not set out the details of the convictions on that form, he did indicate that they would be disclosed in his criminal history check. </w:t>
      </w:r>
    </w:p>
    <w:p w14:paraId="3AF1B2FD" w14:textId="77777777" w:rsidR="005E44F3" w:rsidRDefault="005E44F3" w:rsidP="00891A5E">
      <w:pPr>
        <w:pStyle w:val="ListParagraph"/>
      </w:pPr>
      <w:r>
        <w:t>In these circumstances, and in light of the fact that it was shortly after Linfox’s receipt of his CRIMTRAC report, that TM’s work with Linfox was terminated, I find that the exclusion of TM was made by reference to his criminal record and therefore, on the basis of his criminal record.</w:t>
      </w:r>
    </w:p>
    <w:p w14:paraId="656C6581" w14:textId="3BF10BC6" w:rsidR="005E44F3" w:rsidRDefault="005E44F3" w:rsidP="00891A5E">
      <w:pPr>
        <w:pStyle w:val="Heading2"/>
      </w:pPr>
      <w:bookmarkStart w:id="10" w:name="_Toc275891150"/>
      <w:r>
        <w:t>Did that exclusion have the effect of nullifying or impairing equality of opportunity or treatment in employment or occupation?</w:t>
      </w:r>
      <w:bookmarkEnd w:id="10"/>
    </w:p>
    <w:p w14:paraId="0A7EFEA7" w14:textId="77777777" w:rsidR="005E44F3" w:rsidRDefault="005E44F3" w:rsidP="00891A5E">
      <w:pPr>
        <w:pStyle w:val="ListParagraph"/>
      </w:pPr>
      <w:r>
        <w:t>The AHRC Act was ‘introduced to be the vehicle by which Australia’s obligations under the ILO 111 Convention are implemented.</w:t>
      </w:r>
      <w:r>
        <w:rPr>
          <w:rStyle w:val="EndnoteReference"/>
        </w:rPr>
        <w:t>4</w:t>
      </w:r>
      <w:r>
        <w:t xml:space="preserve"> For this reason, it is appropriate to construe section 3(1) of the AHRC Act in accordance with the construction given in international law to Article 1 of the ILO 111 Convention.</w:t>
      </w:r>
      <w:r>
        <w:rPr>
          <w:rStyle w:val="EndnoteReference"/>
        </w:rPr>
        <w:t>5</w:t>
      </w:r>
    </w:p>
    <w:p w14:paraId="44FBF8A7" w14:textId="77777777" w:rsidR="005E44F3" w:rsidRDefault="005E44F3" w:rsidP="00891A5E">
      <w:pPr>
        <w:pStyle w:val="ListParagraph"/>
      </w:pPr>
      <w:r>
        <w:t>Further, the Governing Body of the International Labour Organisation has created a committee known as the Committee of Experts on the Application of Conventions and Recommendations. It is orthodox to rely upon the expressions of opinion of the Committee for the purposes of interpreting the ILO 111 Convention.</w:t>
      </w:r>
      <w:r>
        <w:rPr>
          <w:rStyle w:val="EndnoteReference"/>
        </w:rPr>
        <w:t>6</w:t>
      </w:r>
      <w:r>
        <w:t xml:space="preserve"> </w:t>
      </w:r>
    </w:p>
    <w:p w14:paraId="117EEA0D" w14:textId="77777777" w:rsidR="005E44F3" w:rsidRDefault="005E44F3" w:rsidP="00891A5E">
      <w:pPr>
        <w:pStyle w:val="ListParagraph"/>
      </w:pPr>
      <w:r>
        <w:t>Article 1(3) of the ILO 111 specifies that the terms ‘employment’ and ‘occupation’ include access to employment and to particular occupations, and terms and conditions of employment.</w:t>
      </w:r>
    </w:p>
    <w:p w14:paraId="4CE59DDC" w14:textId="77777777" w:rsidR="005E44F3" w:rsidRDefault="005E44F3" w:rsidP="00891A5E">
      <w:pPr>
        <w:pStyle w:val="ListParagraph"/>
      </w:pPr>
      <w:r>
        <w:lastRenderedPageBreak/>
        <w:t>Linfox denies that its exclusion constitutes discrimination in employment. Linfox submits that its decision did not impair TM’s equality of opportunity in employment or occupation because he was not an employee.</w:t>
      </w:r>
    </w:p>
    <w:p w14:paraId="1FE5D00C" w14:textId="77777777" w:rsidR="005E44F3" w:rsidRDefault="005E44F3" w:rsidP="00891A5E">
      <w:pPr>
        <w:pStyle w:val="ListParagraph"/>
      </w:pPr>
      <w:r>
        <w:t xml:space="preserve">As outlined above, TM was providing services to Linfox for a period of 7 months as a linehaul driver when he was approached by Linfox and offered to have his position converted to direct employment by Linfox. On 6 January 2012, on receipt of TM’s criminal record, Linfox advised TM he was not suitable for the position and it was made clear to him that his services were no longer required. This meant TM was unemployed from that date. </w:t>
      </w:r>
    </w:p>
    <w:p w14:paraId="4E6B2F01" w14:textId="77777777" w:rsidR="005E44F3" w:rsidRDefault="005E44F3" w:rsidP="00891A5E">
      <w:pPr>
        <w:pStyle w:val="ListParagraph"/>
      </w:pPr>
      <w:r>
        <w:t>I therefore find that the refusal to confirm the offer of ‘conversion’ of his employment, and/or the decision to exclude him from further work with Linfox through OneForce, were acts by Linfox that constituted an exclusion or preference that had the effect of nullifying or impairing his equality of opportunity in employment. Both amounted to a denial by Linfox of access to employment by Linfox with the effect of impairing equality of opportunity of treatment in employment or occupation within the meaning of the definition of ‘discrimination’ in section 3 of the AHRC Act.</w:t>
      </w:r>
    </w:p>
    <w:p w14:paraId="00F7209E" w14:textId="295D7449" w:rsidR="005E44F3" w:rsidRDefault="005E44F3" w:rsidP="00891A5E">
      <w:pPr>
        <w:pStyle w:val="Heading2"/>
      </w:pPr>
      <w:bookmarkStart w:id="11" w:name="_Toc275891151"/>
      <w:r>
        <w:t>Whether that exclusion was based on the inherent requirements of TM’s job as a Linehaul Driver</w:t>
      </w:r>
      <w:bookmarkEnd w:id="11"/>
    </w:p>
    <w:p w14:paraId="23AB0C6A" w14:textId="77777777" w:rsidR="005E44F3" w:rsidRDefault="005E44F3" w:rsidP="00846A49">
      <w:pPr>
        <w:pStyle w:val="ListParagraph"/>
      </w:pPr>
      <w:r>
        <w:t>Section 3(1)(c) of the AHRC Act provides that discrimination ‘does not include any distinction, exclusion or preference, in respect of a particular job, that is based on the inherent requirements of the job’.</w:t>
      </w:r>
    </w:p>
    <w:p w14:paraId="74080F21" w14:textId="77777777" w:rsidR="005E44F3" w:rsidRDefault="005E44F3" w:rsidP="00846A49">
      <w:pPr>
        <w:pStyle w:val="ListParagraph"/>
      </w:pPr>
      <w:r>
        <w:t>Section 3(1)(c) is an ‘exception’ to the prohibition against discrimination. It should therefore be interpreted strictly, so as not to result in undue limitation of the protection conferred by the legislation.</w:t>
      </w:r>
      <w:r>
        <w:rPr>
          <w:rStyle w:val="EndnoteReference"/>
        </w:rPr>
        <w:t>7</w:t>
      </w:r>
      <w:r>
        <w:t xml:space="preserve"> </w:t>
      </w:r>
    </w:p>
    <w:p w14:paraId="74395B69" w14:textId="77777777" w:rsidR="005E44F3" w:rsidRDefault="005E44F3" w:rsidP="00846A49">
      <w:pPr>
        <w:pStyle w:val="ListParagraph"/>
      </w:pPr>
      <w:r>
        <w:t xml:space="preserve">Linfox submits that its refusal to confirm the offer of conversion of TM’s employment was based on the inherent requirements of TM’s job of linehaul driver. Linfox also submits that the inherent requirements of TM’s job of linehaul driver include integrity and trust. And that as TM did not provide truthful disclosure of his criminal convictions he was not offered the position. </w:t>
      </w:r>
    </w:p>
    <w:p w14:paraId="5774BB76" w14:textId="77777777" w:rsidR="005E44F3" w:rsidRDefault="005E44F3" w:rsidP="00846A49">
      <w:pPr>
        <w:pStyle w:val="Heading3"/>
      </w:pPr>
      <w:r>
        <w:lastRenderedPageBreak/>
        <w:t>Identifying the ‘inherent requirements’</w:t>
      </w:r>
    </w:p>
    <w:p w14:paraId="3448827F" w14:textId="77777777" w:rsidR="005E44F3" w:rsidRDefault="005E44F3" w:rsidP="00846A49">
      <w:pPr>
        <w:pStyle w:val="ListParagraph"/>
      </w:pPr>
      <w:r>
        <w:t xml:space="preserve">Appropriate identification of the inherent requirements of the job is a pre-condition to proving that the complainant is unable to perform those inherent requirements. </w:t>
      </w:r>
    </w:p>
    <w:p w14:paraId="5CC319CD" w14:textId="77777777" w:rsidR="005E44F3" w:rsidRDefault="005E44F3" w:rsidP="00846A49">
      <w:pPr>
        <w:pStyle w:val="ListParagraph"/>
      </w:pPr>
      <w:r>
        <w:t>An ‘inherent requirement’ is something that is ‘essential to the position’</w:t>
      </w:r>
      <w:r>
        <w:rPr>
          <w:rStyle w:val="EndnoteReference"/>
        </w:rPr>
        <w:t>8</w:t>
      </w:r>
      <w:r>
        <w:t xml:space="preserve"> and not ‘peripheral’.</w:t>
      </w:r>
      <w:r>
        <w:rPr>
          <w:rStyle w:val="EndnoteReference"/>
        </w:rPr>
        <w:t>9</w:t>
      </w:r>
      <w:r>
        <w:t xml:space="preserve"> It is an ‘essential feature’ or ‘defining characteristic’.</w:t>
      </w:r>
      <w:r>
        <w:rPr>
          <w:rStyle w:val="EndnoteReference"/>
        </w:rPr>
        <w:t>10</w:t>
      </w:r>
      <w:r>
        <w:t xml:space="preserve"> </w:t>
      </w:r>
    </w:p>
    <w:p w14:paraId="43C1BB3E" w14:textId="77777777" w:rsidR="005E44F3" w:rsidRDefault="005E44F3" w:rsidP="00846A49">
      <w:pPr>
        <w:pStyle w:val="ListParagraph"/>
      </w:pPr>
      <w:r>
        <w:t>Further, the inherent requirements must be in respect of ‘a particular job’. The term ‘a particular job’ in Article 1(2) of the ILO 111 Convention has been construed by reference to the preparatory work and the text of the Convention to mean ‘a specific and definable job, function or task’ and its ‘inherent requirements’ are those required by the characteristics of the particular job.</w:t>
      </w:r>
      <w:r>
        <w:rPr>
          <w:rStyle w:val="EndnoteReference"/>
        </w:rPr>
        <w:t>11</w:t>
      </w:r>
    </w:p>
    <w:p w14:paraId="7A391755" w14:textId="77777777" w:rsidR="005E44F3" w:rsidRDefault="005E44F3" w:rsidP="00846A49">
      <w:pPr>
        <w:pStyle w:val="ListParagraph"/>
      </w:pPr>
      <w:r>
        <w:t>Linfox state that the Position Summary, in the Position Profile, for the Linehaul Driver details the inherent requirements of the role. Linfox claim they are underpinned by and incorporate the Key Behaviours, which are spelt out in the Position Profile. It is the position of Linfox that the inherent requirements and the Key Behaviours are inextricably entwined.</w:t>
      </w:r>
    </w:p>
    <w:p w14:paraId="7B410199" w14:textId="77777777" w:rsidR="005E44F3" w:rsidRDefault="005E44F3" w:rsidP="00846A49">
      <w:pPr>
        <w:pStyle w:val="ListParagraph"/>
      </w:pPr>
      <w:r>
        <w:t>I accept that the ‘Position Summary’ does set out the inherent requirements of the position. These are, in effect:</w:t>
      </w:r>
    </w:p>
    <w:p w14:paraId="07E7562D" w14:textId="77777777" w:rsidR="005E44F3" w:rsidRDefault="005E44F3" w:rsidP="005E44F3">
      <w:pPr>
        <w:pStyle w:val="BulletsList"/>
        <w:spacing w:after="0"/>
      </w:pPr>
      <w:r>
        <w:t>The safe and efficient transportation of goods;</w:t>
      </w:r>
    </w:p>
    <w:p w14:paraId="50E1BF1C" w14:textId="77777777" w:rsidR="005E44F3" w:rsidRDefault="005E44F3" w:rsidP="005E44F3">
      <w:pPr>
        <w:pStyle w:val="BulletsList"/>
        <w:spacing w:after="0"/>
      </w:pPr>
      <w:r>
        <w:t>Daily maintenance checks of vehicles and equipment;</w:t>
      </w:r>
    </w:p>
    <w:p w14:paraId="7F6D68F0" w14:textId="77777777" w:rsidR="005E44F3" w:rsidRDefault="005E44F3" w:rsidP="005E44F3">
      <w:pPr>
        <w:pStyle w:val="BulletsList"/>
        <w:spacing w:after="0"/>
      </w:pPr>
      <w:r>
        <w:t>Legible and proper completion of documentation; and</w:t>
      </w:r>
    </w:p>
    <w:p w14:paraId="235FC23D" w14:textId="77777777" w:rsidR="005E44F3" w:rsidRDefault="005E44F3" w:rsidP="005E44F3">
      <w:pPr>
        <w:pStyle w:val="BulletsList"/>
      </w:pPr>
      <w:r>
        <w:t>Execution of work according to Linfox or client instructions and procedures.</w:t>
      </w:r>
    </w:p>
    <w:p w14:paraId="2BAB6C29" w14:textId="77777777" w:rsidR="005E44F3" w:rsidRDefault="005E44F3" w:rsidP="00846A49">
      <w:pPr>
        <w:pStyle w:val="ListParagraph"/>
      </w:pPr>
      <w:r>
        <w:t>I also accept that ‘Integrity and Trust’, a Key Behaviour listed in the Position Profile, is an inherent requirement of the job. It is accepted that all contracts of employment in Australia contain an implied term of mutual trust and confidence.</w:t>
      </w:r>
      <w:r>
        <w:rPr>
          <w:rStyle w:val="EndnoteReference"/>
        </w:rPr>
        <w:t>12</w:t>
      </w:r>
    </w:p>
    <w:p w14:paraId="6A613E1A" w14:textId="77777777" w:rsidR="005E44F3" w:rsidRDefault="005E44F3" w:rsidP="00846A49">
      <w:pPr>
        <w:pStyle w:val="ListParagraph"/>
      </w:pPr>
      <w:r>
        <w:t xml:space="preserve">However, the fact that these requirements appear in the documents recording TM’s position description is not sufficient to establish that they are ‘inherent requirements’ of his particular job. In </w:t>
      </w:r>
      <w:r>
        <w:rPr>
          <w:rStyle w:val="Emphasis"/>
        </w:rPr>
        <w:t>Qantas Airways v Christie</w:t>
      </w:r>
      <w:r>
        <w:t>,</w:t>
      </w:r>
      <w:r>
        <w:rPr>
          <w:rStyle w:val="EndnoteReference"/>
        </w:rPr>
        <w:t>13</w:t>
      </w:r>
      <w:r>
        <w:t xml:space="preserve"> Brennan J considered that the answer to the question whether a requirement is ‘inherent’ in a position must be answered with reference to the:</w:t>
      </w:r>
    </w:p>
    <w:p w14:paraId="2F986A26" w14:textId="77777777" w:rsidR="005E44F3" w:rsidRDefault="005E44F3" w:rsidP="00846A49">
      <w:pPr>
        <w:pStyle w:val="Quote"/>
      </w:pPr>
      <w:r>
        <w:lastRenderedPageBreak/>
        <w:t>function which the employee performs as part of the employer’s undertaking and, except where the employer’s undertaking is organised on a basis which impermissibly discriminates against the employee, by reference to that organisation.</w:t>
      </w:r>
      <w:r>
        <w:rPr>
          <w:rStyle w:val="EndnoteReference"/>
        </w:rPr>
        <w:t>14</w:t>
      </w:r>
    </w:p>
    <w:p w14:paraId="052D1391" w14:textId="77777777" w:rsidR="005E44F3" w:rsidRDefault="005E44F3" w:rsidP="00846A49">
      <w:pPr>
        <w:pStyle w:val="ListParagraph"/>
      </w:pPr>
      <w:r>
        <w:t>In the same case, Gaudron J stated that an employer could not stipulate ‘qualifications or skills which are disproportionately high when related to the work to be done.’</w:t>
      </w:r>
      <w:r>
        <w:rPr>
          <w:rStyle w:val="EndnoteReference"/>
        </w:rPr>
        <w:t>15</w:t>
      </w:r>
    </w:p>
    <w:p w14:paraId="2D545A66" w14:textId="77777777" w:rsidR="005E44F3" w:rsidRDefault="005E44F3" w:rsidP="00846A49">
      <w:pPr>
        <w:pStyle w:val="ListParagraph"/>
      </w:pPr>
      <w:r>
        <w:t>The level of trust and confidence that is required as part of the inherent requirements of the position will vary depending on the nature of the employment. The level of trust and confidence that is an inherent requirement for a linehaul driver is unlikely to be the same as for a person who has full access to financial and personnel records.</w:t>
      </w:r>
    </w:p>
    <w:p w14:paraId="181CC1CA" w14:textId="77777777" w:rsidR="005E44F3" w:rsidRDefault="005E44F3" w:rsidP="00846A49">
      <w:pPr>
        <w:pStyle w:val="Heading3"/>
      </w:pPr>
      <w:r>
        <w:t xml:space="preserve">Was the distinction, exclusion or preference ‘based on’ the identified inherent requirements of the job? </w:t>
      </w:r>
    </w:p>
    <w:p w14:paraId="224327D8" w14:textId="77777777" w:rsidR="005E44F3" w:rsidRDefault="005E44F3" w:rsidP="00846A49">
      <w:pPr>
        <w:pStyle w:val="ListParagraph"/>
      </w:pPr>
      <w:r>
        <w:t>In the context of the exception to discrimination in section 3 of the AHRC Act, the phrase ‘based on’, requires more than a ‘logical link’ between the inherent requirements of the job and the distinction, exclusion or preference. Instead, I must be satisfied that there is a ‘tight’ or ‘close’ connection between Linfox’s exclusion of TM and the inherent requirements of the job that he was employed to do.</w:t>
      </w:r>
      <w:r>
        <w:rPr>
          <w:rStyle w:val="EndnoteReference"/>
        </w:rPr>
        <w:t>16</w:t>
      </w:r>
    </w:p>
    <w:p w14:paraId="055C4B8F" w14:textId="77777777" w:rsidR="005E44F3" w:rsidRDefault="005E44F3" w:rsidP="00846A49">
      <w:pPr>
        <w:pStyle w:val="ListParagraph"/>
      </w:pPr>
      <w:r>
        <w:t xml:space="preserve">In </w:t>
      </w:r>
      <w:r>
        <w:rPr>
          <w:rStyle w:val="Emphasis"/>
        </w:rPr>
        <w:t>Commonwealth v Bradley</w:t>
      </w:r>
      <w:r>
        <w:t>,</w:t>
      </w:r>
      <w:r>
        <w:rPr>
          <w:rStyle w:val="EndnoteReference"/>
        </w:rPr>
        <w:t>17</w:t>
      </w:r>
      <w:r>
        <w:t xml:space="preserve"> Black CJ observed that to interpret the expression ‘based on’ as requiring only a logical link would defeat the Act’s object of promoting equality of opportunity in employment by, in effect, permitting the assessment of a person’s suitability for a particular job on grounds other than their individual merit.</w:t>
      </w:r>
      <w:r>
        <w:rPr>
          <w:rStyle w:val="EndnoteReference"/>
        </w:rPr>
        <w:t>18</w:t>
      </w:r>
    </w:p>
    <w:p w14:paraId="40CB685E" w14:textId="77777777" w:rsidR="005E44F3" w:rsidRDefault="005E44F3" w:rsidP="00846A49">
      <w:pPr>
        <w:pStyle w:val="ListParagraph"/>
      </w:pPr>
      <w:r>
        <w:lastRenderedPageBreak/>
        <w:t xml:space="preserve">The object of the provisions of the AHRC Act with which I am concerned is to prevent people from being stereotyped; that is, judged other than in accordance with their individual merit. The decision of the Anti-Discrimination Tribunal in </w:t>
      </w:r>
      <w:r>
        <w:rPr>
          <w:rStyle w:val="Emphasis"/>
        </w:rPr>
        <w:t>Wall v Northern Territory Police</w:t>
      </w:r>
      <w:r>
        <w:t>,</w:t>
      </w:r>
      <w:r>
        <w:rPr>
          <w:rStyle w:val="EndnoteReference"/>
        </w:rPr>
        <w:t>19</w:t>
      </w:r>
      <w:r>
        <w:t xml:space="preserve"> considering the application of legislation prohibiting discrimination on the basis of ‘irrelevant criminal record’, is instructive in this regard. In that case, the Tribunal found that the respondent had not demonstrated a ‘tight correlation’ between the purported inherent integrity requirement and the complainant’s spent criminal record for an offence of theft. The Tribunal commented that it was ‘not possible to adequately assess the integrity and honesty, or lack thereof, of a candidate without considering a whole range of factors and characteristics, [such as merit, experience, personal circumstances, references etc]… – not just criminal history (spent or otherwise)’.</w:t>
      </w:r>
    </w:p>
    <w:p w14:paraId="566FB98F" w14:textId="77777777" w:rsidR="005E44F3" w:rsidRDefault="005E44F3" w:rsidP="00846A49">
      <w:pPr>
        <w:pStyle w:val="ListParagraph"/>
      </w:pPr>
      <w:r>
        <w:t>As set out above, the content of the conversation between TM and Mr Fiddes regarding his criminal record is in dispute. Linfox allege that TM failed to provide full and accurate disclosure of his criminal record to Mr Fiddes during this conversation. If the conversation occurred as Linfox alleges, it was in the context of TM having authorised CrimTrac to provide his police check to Linfox, therefore intending that the details of his criminal record would become known to Linfox. TM had also clearly stated on the Personal Information form, that he did have a criminal record and advised Linfox to refer to his criminal history check for details.</w:t>
      </w:r>
    </w:p>
    <w:p w14:paraId="172E93DE" w14:textId="77777777" w:rsidR="005E44F3" w:rsidRDefault="005E44F3" w:rsidP="00846A49">
      <w:pPr>
        <w:pStyle w:val="ListParagraph"/>
      </w:pPr>
      <w:r>
        <w:t>Although the Personal Information Form was marked ‘Staff-In-Confidence (when completed)’, TM has stated that he was uncomfortable being required to spell out details of the convictions on a form which was being handed to the Operations Manager of the site. There is no evidence to suggest that Mr Fiddes was appointed by the Authorised Officer pursuant to clause 4 of the Linfox Procedures and was therefore authorised to handle the Criminal History Information. Nor was there evidence to suggest that he has signed a Deed of Confidentiality pursuant to clause 8 of the Linfox Procedure. I accept TM’s explanation as to why he didn’t provide full details of his criminal history on the Personal Information form.</w:t>
      </w:r>
    </w:p>
    <w:p w14:paraId="70EB7B38" w14:textId="77777777" w:rsidR="005E44F3" w:rsidRDefault="005E44F3" w:rsidP="00846A49">
      <w:pPr>
        <w:pStyle w:val="ListParagraph"/>
      </w:pPr>
      <w:r>
        <w:lastRenderedPageBreak/>
        <w:t>In my view, any failure by TM to provide full disclosure to Mr Fiddes during the conversation must be balanced against TM’s willingness to provide full disclosure of his criminal history to Linfox. In these circumstances, I do not consider that any failure to provide full disclosure to Mr Fiddes means that TM is unable to comply with the inherent requirement of ‘integrity and trust’. Moreover, TM had been working on the site for almost 9 months with nothing to suggest that he could not comply with the inherent requirements of integrity and trust.</w:t>
      </w:r>
    </w:p>
    <w:p w14:paraId="14E30FCD" w14:textId="77777777" w:rsidR="005E44F3" w:rsidRDefault="005E44F3" w:rsidP="00846A49">
      <w:pPr>
        <w:pStyle w:val="ListParagraph"/>
      </w:pPr>
      <w:r>
        <w:t>Turning finally to TM’s criminal record, I note that it is Linfox’s submission that TM could not perform the inherent requirements of the job because of his failure to accurately disclose his criminal history rather than because of the criminal history itself. TM’s offences occurred 12 years ago. He has had no convictions recorded since that time and no other offences. Whilst the offences raise issues of integrity and trust there is not a sufficiently close connection between the nature of the offences and the integrity and trust required by a truck driver which focuses on the safe and efficient transportation of goods and maintenance of vehicles.</w:t>
      </w:r>
    </w:p>
    <w:p w14:paraId="65E1FA12" w14:textId="77777777" w:rsidR="005E44F3" w:rsidRDefault="005E44F3" w:rsidP="00846A49">
      <w:pPr>
        <w:pStyle w:val="ListParagraph"/>
      </w:pPr>
      <w:r>
        <w:t>It appears that Linfox did not seek to explore with TM the precise details of his criminal record. Nor is it apparent that it gave him the opportunity to put forward arguments based on his personal or other circumstances in support of his being able to fulfil the inherent requirements of the job which he had by then been doing for nine months.</w:t>
      </w:r>
    </w:p>
    <w:p w14:paraId="29437323" w14:textId="77777777" w:rsidR="005E44F3" w:rsidRDefault="005E44F3" w:rsidP="00846A49">
      <w:pPr>
        <w:pStyle w:val="ListParagraph"/>
      </w:pPr>
      <w:r>
        <w:t>Further, although requested to do so, Linfox have declined to provide any documents indicating how they applied their own procedures regarding assessment of criminal history information.</w:t>
      </w:r>
    </w:p>
    <w:p w14:paraId="1BA4BD17" w14:textId="77777777" w:rsidR="005E44F3" w:rsidRDefault="005E44F3" w:rsidP="00846A49">
      <w:pPr>
        <w:pStyle w:val="ListParagraph"/>
      </w:pPr>
      <w:r>
        <w:t>I conclude that Linfox has not demonstrated a sufficiently tight and close connection between the inherent requirements of the job being undertaken by TM and its decision to refuse the offer of conversion of employment and to terminate the arrangements whereby TM undertook that job through OneForce. I therefore find that Linfox’s exclusion was not based on the inherent requirements of the job.</w:t>
      </w:r>
    </w:p>
    <w:p w14:paraId="19F6D7C0" w14:textId="77777777" w:rsidR="005E44F3" w:rsidRDefault="005E44F3" w:rsidP="00846A49">
      <w:pPr>
        <w:pStyle w:val="ListParagraph"/>
      </w:pPr>
      <w:r>
        <w:t>For the reasons set out above, I find that Linfox ’s act of refusing to confirm an offer of ‘conversion’ of TM’s employment, from indirect through OneForce to direct as an employee, and/or deciding to exclude him from further work with Linfox through OneForce, to be ‘discrimination’ on the basis of criminal record.</w:t>
      </w:r>
    </w:p>
    <w:p w14:paraId="2DBFA3AA" w14:textId="77777777" w:rsidR="005E44F3" w:rsidRDefault="005E44F3" w:rsidP="00846A49">
      <w:pPr>
        <w:pStyle w:val="Heading1"/>
      </w:pPr>
      <w:bookmarkStart w:id="12" w:name="_Toc275891152"/>
      <w:r>
        <w:lastRenderedPageBreak/>
        <w:t>Findings and recommendations</w:t>
      </w:r>
      <w:bookmarkEnd w:id="12"/>
    </w:p>
    <w:p w14:paraId="2BF66C1A" w14:textId="585AFD37" w:rsidR="005E44F3" w:rsidRDefault="005E44F3" w:rsidP="00846A49">
      <w:pPr>
        <w:pStyle w:val="Heading2"/>
      </w:pPr>
      <w:bookmarkStart w:id="13" w:name="_Toc275891153"/>
      <w:r>
        <w:t>Power to make recommendations</w:t>
      </w:r>
      <w:bookmarkEnd w:id="13"/>
    </w:p>
    <w:p w14:paraId="279DF5E4" w14:textId="77777777" w:rsidR="005E44F3" w:rsidRDefault="005E44F3" w:rsidP="00846A49">
      <w:pPr>
        <w:pStyle w:val="ListParagraph"/>
      </w:pPr>
      <w:r>
        <w:t>Where, after conducting an inquiry, the Commission finds that an act or practice engaged in by a respondent constitutes discrimination; the Commission is required to serve notice on the respondent setting out its findings and reasons for those findings.</w:t>
      </w:r>
      <w:r>
        <w:rPr>
          <w:rStyle w:val="EndnoteReference"/>
        </w:rPr>
        <w:t>20</w:t>
      </w:r>
      <w:r>
        <w:t xml:space="preserve"> The Commission may include in the notice any recommendation for preventing a repetition of the act or a continuation of the practice.</w:t>
      </w:r>
      <w:r>
        <w:rPr>
          <w:rStyle w:val="EndnoteReference"/>
        </w:rPr>
        <w:t>21</w:t>
      </w:r>
    </w:p>
    <w:p w14:paraId="71EEFA80" w14:textId="77777777" w:rsidR="005E44F3" w:rsidRDefault="005E44F3" w:rsidP="00846A49">
      <w:pPr>
        <w:pStyle w:val="ListParagraph"/>
      </w:pPr>
      <w:r>
        <w:t>The Commission may also recommend:</w:t>
      </w:r>
    </w:p>
    <w:p w14:paraId="780CF60F" w14:textId="77777777" w:rsidR="005E44F3" w:rsidRDefault="005E44F3" w:rsidP="005E44F3">
      <w:pPr>
        <w:pStyle w:val="BulletsList"/>
      </w:pPr>
      <w:r>
        <w:t xml:space="preserve">the payment of compensation to, or in respect of, a person who has suffered loss or damage; and </w:t>
      </w:r>
    </w:p>
    <w:p w14:paraId="24489D81" w14:textId="77777777" w:rsidR="005E44F3" w:rsidRDefault="005E44F3" w:rsidP="005E44F3">
      <w:pPr>
        <w:pStyle w:val="BulletsList"/>
      </w:pPr>
      <w:r>
        <w:t>the taking of other action to remedy or reduce the loss or damage suffered by a person.</w:t>
      </w:r>
      <w:r>
        <w:rPr>
          <w:rStyle w:val="EndnoteReference"/>
        </w:rPr>
        <w:t>22</w:t>
      </w:r>
    </w:p>
    <w:p w14:paraId="10CF21AD" w14:textId="35B11580" w:rsidR="005E44F3" w:rsidRDefault="005E44F3" w:rsidP="00846A49">
      <w:pPr>
        <w:pStyle w:val="Heading2"/>
      </w:pPr>
      <w:bookmarkStart w:id="14" w:name="_Toc275891154"/>
      <w:r>
        <w:t>Consideration of compensation</w:t>
      </w:r>
      <w:bookmarkEnd w:id="14"/>
    </w:p>
    <w:p w14:paraId="754BAC15" w14:textId="77777777" w:rsidR="005E44F3" w:rsidRDefault="005E44F3" w:rsidP="00846A49">
      <w:pPr>
        <w:pStyle w:val="ListParagraph"/>
      </w:pPr>
      <w:r>
        <w:t>I am satisfied that TM suffered loss and damage and should be compensated. I consider that compensation in the sum of $11,048.00 is appropriate. This arises from the following:</w:t>
      </w:r>
    </w:p>
    <w:tbl>
      <w:tblPr>
        <w:tblW w:w="0" w:type="auto"/>
        <w:jc w:val="center"/>
        <w:tblInd w:w="227" w:type="dxa"/>
        <w:shd w:val="clear" w:color="auto" w:fill="D9D9D9" w:themeFill="background1" w:themeFillShade="D9"/>
        <w:tblLayout w:type="fixed"/>
        <w:tblCellMar>
          <w:left w:w="0" w:type="dxa"/>
          <w:right w:w="0" w:type="dxa"/>
        </w:tblCellMar>
        <w:tblLook w:val="0000" w:firstRow="0" w:lastRow="0" w:firstColumn="0" w:lastColumn="0" w:noHBand="0" w:noVBand="0"/>
      </w:tblPr>
      <w:tblGrid>
        <w:gridCol w:w="2680"/>
        <w:gridCol w:w="2554"/>
        <w:gridCol w:w="1945"/>
      </w:tblGrid>
      <w:tr w:rsidR="005E44F3" w14:paraId="734B29E9" w14:textId="77777777" w:rsidTr="00846A49">
        <w:trPr>
          <w:trHeight w:val="60"/>
          <w:jc w:val="center"/>
        </w:trPr>
        <w:tc>
          <w:tcPr>
            <w:tcW w:w="2680" w:type="dxa"/>
            <w:vMerge w:val="restart"/>
            <w:tcBorders>
              <w:top w:val="single" w:sz="4" w:space="0" w:color="FFFFFF"/>
              <w:left w:val="single" w:sz="4" w:space="0" w:color="FFFFFF"/>
              <w:bottom w:val="single" w:sz="4" w:space="0" w:color="FFFFFF"/>
              <w:right w:val="single" w:sz="4" w:space="0" w:color="FFFFFF"/>
            </w:tcBorders>
            <w:shd w:val="clear" w:color="auto" w:fill="D9D9D9" w:themeFill="background1" w:themeFillShade="D9"/>
            <w:tcMar>
              <w:top w:w="227" w:type="dxa"/>
              <w:left w:w="227" w:type="dxa"/>
              <w:bottom w:w="255" w:type="dxa"/>
              <w:right w:w="227" w:type="dxa"/>
            </w:tcMar>
          </w:tcPr>
          <w:p w14:paraId="73159158" w14:textId="77777777" w:rsidR="005E44F3" w:rsidRDefault="005E44F3">
            <w:pPr>
              <w:pStyle w:val="TableText"/>
            </w:pPr>
            <w:r>
              <w:t>Loss of income</w:t>
            </w:r>
          </w:p>
        </w:tc>
        <w:tc>
          <w:tcPr>
            <w:tcW w:w="2554" w:type="dxa"/>
            <w:tcBorders>
              <w:top w:val="single" w:sz="4" w:space="0" w:color="FFFFFF"/>
              <w:left w:val="single" w:sz="4" w:space="0" w:color="FFFFFF"/>
              <w:bottom w:val="single" w:sz="4" w:space="0" w:color="FFFFFF"/>
              <w:right w:val="single" w:sz="4" w:space="0" w:color="FFFFFF"/>
            </w:tcBorders>
            <w:shd w:val="clear" w:color="auto" w:fill="D9D9D9" w:themeFill="background1" w:themeFillShade="D9"/>
            <w:tcMar>
              <w:top w:w="227" w:type="dxa"/>
              <w:left w:w="227" w:type="dxa"/>
              <w:bottom w:w="255" w:type="dxa"/>
              <w:right w:w="227" w:type="dxa"/>
            </w:tcMar>
          </w:tcPr>
          <w:p w14:paraId="1D75D694" w14:textId="77777777" w:rsidR="005E44F3" w:rsidRDefault="005E44F3">
            <w:pPr>
              <w:pStyle w:val="TableText"/>
            </w:pPr>
            <w:r>
              <w:t>2 weeks @ $1800</w:t>
            </w:r>
          </w:p>
        </w:tc>
        <w:tc>
          <w:tcPr>
            <w:tcW w:w="1945" w:type="dxa"/>
            <w:tcBorders>
              <w:top w:val="single" w:sz="4" w:space="0" w:color="FFFFFF"/>
              <w:left w:val="single" w:sz="4" w:space="0" w:color="FFFFFF"/>
              <w:bottom w:val="single" w:sz="4" w:space="0" w:color="FFFFFF"/>
              <w:right w:val="single" w:sz="4" w:space="0" w:color="FFFFFF"/>
            </w:tcBorders>
            <w:shd w:val="clear" w:color="auto" w:fill="D9D9D9" w:themeFill="background1" w:themeFillShade="D9"/>
            <w:tcMar>
              <w:top w:w="227" w:type="dxa"/>
              <w:left w:w="227" w:type="dxa"/>
              <w:bottom w:w="255" w:type="dxa"/>
              <w:right w:w="227" w:type="dxa"/>
            </w:tcMar>
          </w:tcPr>
          <w:p w14:paraId="4CB5BE1D" w14:textId="77777777" w:rsidR="005E44F3" w:rsidRDefault="005E44F3">
            <w:pPr>
              <w:pStyle w:val="TableText"/>
              <w:jc w:val="right"/>
            </w:pPr>
            <w:r>
              <w:t>3,600.00</w:t>
            </w:r>
          </w:p>
        </w:tc>
      </w:tr>
      <w:tr w:rsidR="005E44F3" w14:paraId="2F7000C0" w14:textId="77777777" w:rsidTr="00846A49">
        <w:trPr>
          <w:trHeight w:val="60"/>
          <w:jc w:val="center"/>
        </w:trPr>
        <w:tc>
          <w:tcPr>
            <w:tcW w:w="2680" w:type="dxa"/>
            <w:vMerge/>
            <w:tcBorders>
              <w:top w:val="single" w:sz="4" w:space="0" w:color="FFFFFF"/>
              <w:left w:val="single" w:sz="4" w:space="0" w:color="FFFFFF"/>
              <w:bottom w:val="single" w:sz="4" w:space="0" w:color="FFFFFF"/>
              <w:right w:val="single" w:sz="4" w:space="0" w:color="FFFFFF"/>
            </w:tcBorders>
            <w:shd w:val="clear" w:color="auto" w:fill="D9D9D9" w:themeFill="background1" w:themeFillShade="D9"/>
          </w:tcPr>
          <w:p w14:paraId="2593C582" w14:textId="77777777" w:rsidR="005E44F3" w:rsidRDefault="005E44F3">
            <w:pPr>
              <w:pStyle w:val="Nessunostileparagrafo"/>
              <w:spacing w:line="240" w:lineRule="auto"/>
              <w:textAlignment w:val="auto"/>
              <w:rPr>
                <w:rFonts w:ascii="HelveticaCYPlain" w:hAnsi="HelveticaCYPlain" w:cs="Times New Roman"/>
                <w:color w:val="auto"/>
              </w:rPr>
            </w:pPr>
          </w:p>
        </w:tc>
        <w:tc>
          <w:tcPr>
            <w:tcW w:w="2554" w:type="dxa"/>
            <w:tcBorders>
              <w:top w:val="single" w:sz="4" w:space="0" w:color="FFFFFF"/>
              <w:left w:val="single" w:sz="4" w:space="0" w:color="FFFFFF"/>
              <w:bottom w:val="single" w:sz="4" w:space="0" w:color="FFFFFF"/>
              <w:right w:val="single" w:sz="4" w:space="0" w:color="FFFFFF"/>
            </w:tcBorders>
            <w:shd w:val="clear" w:color="auto" w:fill="D9D9D9" w:themeFill="background1" w:themeFillShade="D9"/>
            <w:tcMar>
              <w:top w:w="227" w:type="dxa"/>
              <w:left w:w="227" w:type="dxa"/>
              <w:bottom w:w="255" w:type="dxa"/>
              <w:right w:w="227" w:type="dxa"/>
            </w:tcMar>
          </w:tcPr>
          <w:p w14:paraId="310CDB6D" w14:textId="77777777" w:rsidR="005E44F3" w:rsidRDefault="005E44F3">
            <w:pPr>
              <w:pStyle w:val="TableText"/>
            </w:pPr>
            <w:r>
              <w:t>12 weeks @ $454</w:t>
            </w:r>
          </w:p>
        </w:tc>
        <w:tc>
          <w:tcPr>
            <w:tcW w:w="1945" w:type="dxa"/>
            <w:tcBorders>
              <w:top w:val="single" w:sz="4" w:space="0" w:color="FFFFFF"/>
              <w:left w:val="single" w:sz="4" w:space="0" w:color="FFFFFF"/>
              <w:bottom w:val="single" w:sz="4" w:space="0" w:color="FFFFFF"/>
              <w:right w:val="single" w:sz="4" w:space="0" w:color="FFFFFF"/>
            </w:tcBorders>
            <w:shd w:val="clear" w:color="auto" w:fill="D9D9D9" w:themeFill="background1" w:themeFillShade="D9"/>
            <w:tcMar>
              <w:top w:w="227" w:type="dxa"/>
              <w:left w:w="227" w:type="dxa"/>
              <w:bottom w:w="255" w:type="dxa"/>
              <w:right w:w="227" w:type="dxa"/>
            </w:tcMar>
          </w:tcPr>
          <w:p w14:paraId="554ABE36" w14:textId="77777777" w:rsidR="005E44F3" w:rsidRDefault="005E44F3">
            <w:pPr>
              <w:pStyle w:val="TableText"/>
              <w:jc w:val="right"/>
            </w:pPr>
            <w:r>
              <w:t>5,448.00</w:t>
            </w:r>
          </w:p>
        </w:tc>
      </w:tr>
      <w:tr w:rsidR="005E44F3" w14:paraId="3E5899D8" w14:textId="77777777" w:rsidTr="00846A49">
        <w:trPr>
          <w:trHeight w:val="60"/>
          <w:jc w:val="center"/>
        </w:trPr>
        <w:tc>
          <w:tcPr>
            <w:tcW w:w="2680" w:type="dxa"/>
            <w:tcBorders>
              <w:top w:val="single" w:sz="4" w:space="0" w:color="FFFFFF"/>
              <w:left w:val="single" w:sz="4" w:space="0" w:color="FFFFFF"/>
              <w:bottom w:val="single" w:sz="4" w:space="0" w:color="FFFFFF"/>
              <w:right w:val="single" w:sz="4" w:space="0" w:color="FFFFFF"/>
            </w:tcBorders>
            <w:shd w:val="clear" w:color="auto" w:fill="D9D9D9" w:themeFill="background1" w:themeFillShade="D9"/>
            <w:tcMar>
              <w:top w:w="227" w:type="dxa"/>
              <w:left w:w="227" w:type="dxa"/>
              <w:bottom w:w="255" w:type="dxa"/>
              <w:right w:w="227" w:type="dxa"/>
            </w:tcMar>
          </w:tcPr>
          <w:p w14:paraId="76D98523" w14:textId="77777777" w:rsidR="005E44F3" w:rsidRDefault="005E44F3">
            <w:pPr>
              <w:pStyle w:val="TableText"/>
            </w:pPr>
            <w:r>
              <w:t>Hurt and Humiliation</w:t>
            </w:r>
          </w:p>
        </w:tc>
        <w:tc>
          <w:tcPr>
            <w:tcW w:w="2554" w:type="dxa"/>
            <w:tcBorders>
              <w:top w:val="single" w:sz="4" w:space="0" w:color="FFFFFF"/>
              <w:left w:val="single" w:sz="4" w:space="0" w:color="FFFFFF"/>
              <w:bottom w:val="single" w:sz="4" w:space="0" w:color="FFFFFF"/>
              <w:right w:val="single" w:sz="4" w:space="0" w:color="FFFFFF"/>
            </w:tcBorders>
            <w:shd w:val="clear" w:color="auto" w:fill="D9D9D9" w:themeFill="background1" w:themeFillShade="D9"/>
            <w:tcMar>
              <w:top w:w="227" w:type="dxa"/>
              <w:left w:w="227" w:type="dxa"/>
              <w:bottom w:w="255" w:type="dxa"/>
              <w:right w:w="227" w:type="dxa"/>
            </w:tcMar>
          </w:tcPr>
          <w:p w14:paraId="11D5832F" w14:textId="77777777" w:rsidR="005E44F3" w:rsidRDefault="005E44F3">
            <w:pPr>
              <w:pStyle w:val="Nessunostileparagrafo"/>
              <w:spacing w:line="240" w:lineRule="auto"/>
              <w:textAlignment w:val="auto"/>
              <w:rPr>
                <w:rFonts w:ascii="HelveticaCYPlain" w:hAnsi="HelveticaCYPlain" w:cs="Times New Roman"/>
                <w:color w:val="auto"/>
              </w:rPr>
            </w:pPr>
          </w:p>
        </w:tc>
        <w:tc>
          <w:tcPr>
            <w:tcW w:w="1945" w:type="dxa"/>
            <w:tcBorders>
              <w:top w:val="single" w:sz="4" w:space="0" w:color="FFFFFF"/>
              <w:left w:val="single" w:sz="4" w:space="0" w:color="FFFFFF"/>
              <w:bottom w:val="single" w:sz="4" w:space="0" w:color="FFFFFF"/>
              <w:right w:val="single" w:sz="4" w:space="0" w:color="FFFFFF"/>
            </w:tcBorders>
            <w:shd w:val="clear" w:color="auto" w:fill="D9D9D9" w:themeFill="background1" w:themeFillShade="D9"/>
            <w:tcMar>
              <w:top w:w="227" w:type="dxa"/>
              <w:left w:w="227" w:type="dxa"/>
              <w:bottom w:w="255" w:type="dxa"/>
              <w:right w:w="227" w:type="dxa"/>
            </w:tcMar>
          </w:tcPr>
          <w:p w14:paraId="4716521A" w14:textId="77777777" w:rsidR="005E44F3" w:rsidRDefault="005E44F3">
            <w:pPr>
              <w:pStyle w:val="TableText"/>
              <w:jc w:val="right"/>
            </w:pPr>
            <w:r>
              <w:t>2,000.00</w:t>
            </w:r>
          </w:p>
        </w:tc>
      </w:tr>
      <w:tr w:rsidR="005E44F3" w14:paraId="33F3A607" w14:textId="77777777" w:rsidTr="00846A49">
        <w:trPr>
          <w:trHeight w:val="60"/>
          <w:jc w:val="center"/>
        </w:trPr>
        <w:tc>
          <w:tcPr>
            <w:tcW w:w="7179" w:type="dxa"/>
            <w:gridSpan w:val="3"/>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227" w:type="dxa"/>
              <w:left w:w="227" w:type="dxa"/>
              <w:bottom w:w="255" w:type="dxa"/>
              <w:right w:w="227" w:type="dxa"/>
            </w:tcMar>
          </w:tcPr>
          <w:p w14:paraId="6812CA9C" w14:textId="77777777" w:rsidR="005E44F3" w:rsidRDefault="005E44F3">
            <w:pPr>
              <w:pStyle w:val="TableText"/>
              <w:jc w:val="right"/>
            </w:pPr>
            <w:r>
              <w:t>$11,048.00</w:t>
            </w:r>
          </w:p>
        </w:tc>
      </w:tr>
    </w:tbl>
    <w:p w14:paraId="25352ED7" w14:textId="77777777" w:rsidR="005E44F3" w:rsidRDefault="005E44F3" w:rsidP="005E44F3">
      <w:pPr>
        <w:pStyle w:val="Paragrafobase"/>
        <w:ind w:left="680"/>
        <w:rPr>
          <w:sz w:val="17"/>
          <w:szCs w:val="17"/>
        </w:rPr>
      </w:pPr>
    </w:p>
    <w:p w14:paraId="0452AED9" w14:textId="77777777" w:rsidR="005E44F3" w:rsidRDefault="005E44F3" w:rsidP="00846A49">
      <w:pPr>
        <w:pStyle w:val="ListParagraph"/>
      </w:pPr>
      <w:r>
        <w:t>In assessing the sum recommended, I have taken into account the matters discussed below.</w:t>
      </w:r>
    </w:p>
    <w:p w14:paraId="730A6BE8" w14:textId="77777777" w:rsidR="005E44F3" w:rsidRDefault="005E44F3" w:rsidP="00846A49">
      <w:pPr>
        <w:pStyle w:val="ListParagraph"/>
      </w:pPr>
      <w:r>
        <w:t>In considering the assessment of a recommendation for compensation in cases of this type, the Federal Court has indicated that tort principles for the assessment of damages should be applied.</w:t>
      </w:r>
      <w:r>
        <w:rPr>
          <w:rStyle w:val="EndnoteReference"/>
        </w:rPr>
        <w:t>23</w:t>
      </w:r>
    </w:p>
    <w:p w14:paraId="71DAA282" w14:textId="77777777" w:rsidR="005E44F3" w:rsidRDefault="005E44F3" w:rsidP="00846A49">
      <w:pPr>
        <w:pStyle w:val="ListParagraph"/>
      </w:pPr>
      <w:r>
        <w:lastRenderedPageBreak/>
        <w:t>I am of the view that this is the appropriate approach to take to the present matter. For this reason, so far as is possible in the case of a recommendation for compensation, the object should be to place the injured party in the same position as if the wrong had not occurred.</w:t>
      </w:r>
    </w:p>
    <w:p w14:paraId="6B993F8C" w14:textId="77777777" w:rsidR="005E44F3" w:rsidRDefault="005E44F3" w:rsidP="00846A49">
      <w:pPr>
        <w:pStyle w:val="Heading3"/>
      </w:pPr>
      <w:r>
        <w:t>Loss of income</w:t>
      </w:r>
    </w:p>
    <w:p w14:paraId="7127D478" w14:textId="77777777" w:rsidR="005E44F3" w:rsidRDefault="005E44F3" w:rsidP="00846A49">
      <w:pPr>
        <w:pStyle w:val="ListParagraph"/>
      </w:pPr>
      <w:r>
        <w:t>TM has informed the Commission that he was unemployed from 6 January 2012 to 22 January 2012 and as such suffered a loss of income for that period. TM has provided material indicating he was paid $1800 per week as a linehaul driver at Linfox. I therefore consider that the recommendation for compensation should include an amount of $3,600 for loss of income.</w:t>
      </w:r>
    </w:p>
    <w:p w14:paraId="200EEE1E" w14:textId="77777777" w:rsidR="005E44F3" w:rsidRDefault="005E44F3" w:rsidP="00846A49">
      <w:pPr>
        <w:pStyle w:val="ListParagraph"/>
      </w:pPr>
      <w:r>
        <w:t>TM has also informed the Commission that he was able to find alternate employment on 23 January 2012. The material provided by TM indicated that the net income from the new job was approximately $454.00 less than the rate with Linfox. I am satisfied that TM suffered a loss of earnings of $454.00 per week. TM submits that this is ongoing.</w:t>
      </w:r>
    </w:p>
    <w:p w14:paraId="77D1A560" w14:textId="77777777" w:rsidR="005E44F3" w:rsidRDefault="005E44F3" w:rsidP="00846A49">
      <w:pPr>
        <w:pStyle w:val="ListParagraph"/>
      </w:pPr>
      <w:r>
        <w:t>There is however, no information before me to suggest that TM will be forever excluded from obtaining a job equivalent to that he performed at Linfox.</w:t>
      </w:r>
    </w:p>
    <w:p w14:paraId="40C241B8" w14:textId="77777777" w:rsidR="005E44F3" w:rsidRDefault="005E44F3" w:rsidP="00846A49">
      <w:pPr>
        <w:pStyle w:val="ListParagraph"/>
      </w:pPr>
      <w:r>
        <w:t>I therefore recommend that Linfox pay $5448.00 in compensation for TM’s loss of earnings for the 3 month period following its exclusion of TM from his work with Linfox.</w:t>
      </w:r>
    </w:p>
    <w:p w14:paraId="776014C5" w14:textId="77777777" w:rsidR="005E44F3" w:rsidRDefault="005E44F3" w:rsidP="00846A49">
      <w:pPr>
        <w:pStyle w:val="Heading3"/>
      </w:pPr>
      <w:r>
        <w:t>Hurt, humiliation and distress</w:t>
      </w:r>
    </w:p>
    <w:p w14:paraId="3C09BD1B" w14:textId="77777777" w:rsidR="005E44F3" w:rsidRDefault="005E44F3" w:rsidP="00846A49">
      <w:pPr>
        <w:pStyle w:val="ListParagraph"/>
      </w:pPr>
      <w:r>
        <w:t>Compensation for TM’s hurt, humiliation and distress would, in tort law, be characterised as ‘non-economic loss’. There is no obvious monetary equivalent for such loss and courts therefore strive to achieve fair rather than full or perfect compensation.</w:t>
      </w:r>
      <w:r>
        <w:rPr>
          <w:rStyle w:val="EndnoteReference"/>
        </w:rPr>
        <w:t>24</w:t>
      </w:r>
    </w:p>
    <w:p w14:paraId="5CA8923E" w14:textId="77777777" w:rsidR="005E44F3" w:rsidRDefault="005E44F3" w:rsidP="00846A49">
      <w:pPr>
        <w:pStyle w:val="ListParagraph"/>
      </w:pPr>
      <w:r>
        <w:t>I am satisfied that TM suffered hurt, humiliation and distress as a result of being discriminated against on the basis of his criminal record. I note that he worked for Linfox for a period of 9 months and found an alternative engagement quickly. I therefore consider a modest award of monetary compensation for humiliation and stress in the amount of $2,000 is appropriate.</w:t>
      </w:r>
    </w:p>
    <w:p w14:paraId="49FF41C5" w14:textId="6592A644" w:rsidR="005E44F3" w:rsidRDefault="005E44F3" w:rsidP="00846A49">
      <w:pPr>
        <w:pStyle w:val="Heading2"/>
      </w:pPr>
      <w:bookmarkStart w:id="15" w:name="_Toc275891155"/>
      <w:r>
        <w:lastRenderedPageBreak/>
        <w:t>Apology</w:t>
      </w:r>
      <w:bookmarkEnd w:id="15"/>
    </w:p>
    <w:p w14:paraId="608AF5F6" w14:textId="77777777" w:rsidR="005E44F3" w:rsidRDefault="005E44F3" w:rsidP="00846A49">
      <w:pPr>
        <w:pStyle w:val="ListParagraph"/>
      </w:pPr>
      <w:r>
        <w:t>TM has also sought an apology from Linfox and, in the circumstances, I find that the provision of a written apology would be an appropriate remedy. Apologies are important remedies for discrimination. They, at least to some extent, alleviate the suffering of those who have been wronged. Given the nature of the breaches I have found in this case, I recommend that that apology be made in writing and by the Chief Executive Officer on behalf of Linfox.</w:t>
      </w:r>
    </w:p>
    <w:p w14:paraId="4E0ABE93" w14:textId="77777777" w:rsidR="005E44F3" w:rsidRDefault="005E44F3" w:rsidP="00846A49">
      <w:pPr>
        <w:pStyle w:val="Heading1"/>
      </w:pPr>
      <w:bookmarkStart w:id="16" w:name="_Toc275891156"/>
      <w:r>
        <w:t>Linfox’s response to my findings and recommendations</w:t>
      </w:r>
      <w:bookmarkEnd w:id="16"/>
    </w:p>
    <w:p w14:paraId="0D3DEFF0" w14:textId="77777777" w:rsidR="005E44F3" w:rsidRDefault="005E44F3" w:rsidP="00846A49">
      <w:pPr>
        <w:pStyle w:val="ListParagraph"/>
      </w:pPr>
      <w:r>
        <w:t>On 12 May 2014, I provided a notice to Linfox under section 35(2)(a) of the AHRC Act setting out my findings and recommendations in relation to this complaint.</w:t>
      </w:r>
    </w:p>
    <w:p w14:paraId="1C2A7832" w14:textId="77777777" w:rsidR="005E44F3" w:rsidRDefault="005E44F3" w:rsidP="00846A49">
      <w:pPr>
        <w:pStyle w:val="ListParagraph"/>
      </w:pPr>
      <w:r>
        <w:t>By letter dated 26 May 2014, Darren Jones, the Linfox National Workplace Relations Manager responded to my findings and recommendation:</w:t>
      </w:r>
    </w:p>
    <w:p w14:paraId="2451DDDF" w14:textId="77777777" w:rsidR="005E44F3" w:rsidRDefault="005E44F3" w:rsidP="00846A49">
      <w:pPr>
        <w:pStyle w:val="Quote"/>
      </w:pPr>
      <w:r>
        <w:t>In relation to your correspondence dated 12 May 2014 we disagree with the findings and recommendations that you have made.</w:t>
      </w:r>
    </w:p>
    <w:p w14:paraId="73B98754" w14:textId="77777777" w:rsidR="005E44F3" w:rsidRDefault="005E44F3" w:rsidP="00846A49">
      <w:pPr>
        <w:pStyle w:val="Quote"/>
      </w:pPr>
      <w:r>
        <w:t>TM was not offered employment on the basis of not providing full and accurate disclosure of his criminal convictions. Furthermore and during the initial stages of the conversion process TM wilfully attempted to mislead Linfox management with respect to those criminal convictions. One of Linfox’s fundamental values is Integrity which requires honest and ethical dealings from all who interact with its business.</w:t>
      </w:r>
    </w:p>
    <w:p w14:paraId="2F89A11F" w14:textId="77777777" w:rsidR="005E44F3" w:rsidRDefault="005E44F3" w:rsidP="00846A49">
      <w:pPr>
        <w:pStyle w:val="Quote"/>
      </w:pPr>
      <w:r>
        <w:t>Trust and confidence goes to the heart of any employment relationship, hence the reason for not offering TM employment with Linfox.</w:t>
      </w:r>
    </w:p>
    <w:p w14:paraId="4DF6E2A0" w14:textId="77777777" w:rsidR="005E44F3" w:rsidRDefault="005E44F3" w:rsidP="00846A49">
      <w:pPr>
        <w:pStyle w:val="Quote"/>
      </w:pPr>
      <w:r>
        <w:t xml:space="preserve">For the reasons outlined above Linfox does not intend to make any payment of compensation to TM, either in the recommended sum of $11,048.00 or otherwise. Additionally no apology from Linfox to TM will be forthcoming. </w:t>
      </w:r>
    </w:p>
    <w:p w14:paraId="46016594" w14:textId="3EA2C7AA" w:rsidR="00846A49" w:rsidRDefault="00846A49">
      <w:pPr>
        <w:spacing w:after="0" w:line="240" w:lineRule="auto"/>
      </w:pPr>
      <w:r>
        <w:br w:type="page"/>
      </w:r>
    </w:p>
    <w:p w14:paraId="1360EF17" w14:textId="77777777" w:rsidR="005E44F3" w:rsidRDefault="005E44F3" w:rsidP="00846A49">
      <w:pPr>
        <w:pStyle w:val="ListParagraph"/>
        <w:spacing w:after="1000"/>
      </w:pPr>
      <w:r>
        <w:lastRenderedPageBreak/>
        <w:t>I report accordingly to the Attorney-General.</w:t>
      </w:r>
    </w:p>
    <w:p w14:paraId="08C10C77" w14:textId="77777777" w:rsidR="005E44F3" w:rsidRDefault="005E44F3" w:rsidP="00846A49">
      <w:pPr>
        <w:spacing w:after="0"/>
      </w:pPr>
      <w:r>
        <w:t xml:space="preserve">Gillian Triggs </w:t>
      </w:r>
    </w:p>
    <w:p w14:paraId="7107F32A" w14:textId="77777777" w:rsidR="005E44F3" w:rsidRPr="00846A49" w:rsidRDefault="005E44F3" w:rsidP="00846A49">
      <w:pPr>
        <w:spacing w:after="0"/>
        <w:rPr>
          <w:b/>
        </w:rPr>
      </w:pPr>
      <w:r w:rsidRPr="00846A49">
        <w:rPr>
          <w:b/>
        </w:rPr>
        <w:t xml:space="preserve">President </w:t>
      </w:r>
    </w:p>
    <w:p w14:paraId="59088C77" w14:textId="77777777" w:rsidR="005E44F3" w:rsidRDefault="005E44F3" w:rsidP="00846A49">
      <w:r>
        <w:t>Australian Human Rights Commission</w:t>
      </w:r>
    </w:p>
    <w:p w14:paraId="380194F6" w14:textId="77777777" w:rsidR="005E44F3" w:rsidRDefault="005E44F3" w:rsidP="00846A49">
      <w:r>
        <w:t>June 2014</w:t>
      </w:r>
    </w:p>
    <w:p w14:paraId="0A969996" w14:textId="4E8EB8DA" w:rsidR="00846A49" w:rsidRDefault="00846A49">
      <w:pPr>
        <w:spacing w:after="0" w:line="240" w:lineRule="auto"/>
      </w:pPr>
      <w:r>
        <w:br w:type="page"/>
      </w:r>
    </w:p>
    <w:p w14:paraId="54566739" w14:textId="11C2E25B" w:rsidR="00846A49" w:rsidRDefault="00846A49" w:rsidP="00846A49">
      <w:pPr>
        <w:pStyle w:val="EndnotesHeading"/>
      </w:pPr>
      <w:r>
        <w:lastRenderedPageBreak/>
        <w:t>Endnotes</w:t>
      </w:r>
    </w:p>
    <w:p w14:paraId="2FBC7224" w14:textId="77777777" w:rsidR="005E44F3" w:rsidRDefault="005E44F3" w:rsidP="00846A49">
      <w:pPr>
        <w:pStyle w:val="EndnoteText"/>
        <w:tabs>
          <w:tab w:val="clear" w:pos="567"/>
        </w:tabs>
        <w:ind w:left="567" w:hanging="567"/>
      </w:pPr>
      <w:r>
        <w:t>1</w:t>
      </w:r>
      <w:r>
        <w:tab/>
      </w:r>
      <w:r>
        <w:rPr>
          <w:rStyle w:val="Emphasis"/>
        </w:rPr>
        <w:t>Australian Human Rights Commission Regulations</w:t>
      </w:r>
      <w:r>
        <w:t xml:space="preserve"> </w:t>
      </w:r>
      <w:r>
        <w:rPr>
          <w:rStyle w:val="Emphasis"/>
        </w:rPr>
        <w:t xml:space="preserve">1989 </w:t>
      </w:r>
      <w:r>
        <w:t>(Cth), reg 4(a)(iii).</w:t>
      </w:r>
    </w:p>
    <w:p w14:paraId="6B73A192" w14:textId="428C6A97" w:rsidR="005E44F3" w:rsidRDefault="005E44F3" w:rsidP="00846A49">
      <w:pPr>
        <w:pStyle w:val="EndnoteText"/>
        <w:tabs>
          <w:tab w:val="clear" w:pos="567"/>
        </w:tabs>
        <w:ind w:left="567" w:hanging="567"/>
      </w:pPr>
      <w:r>
        <w:t>2</w:t>
      </w:r>
      <w:r>
        <w:tab/>
      </w:r>
      <w:r>
        <w:rPr>
          <w:rStyle w:val="Emphasis"/>
        </w:rPr>
        <w:t>Kong v Australia Post AHRC Act Report (1997); Dr Copeman v Yerrigan Health Centre AHRC Act Report (2007).</w:t>
      </w:r>
      <w:r w:rsidR="00037DA8">
        <w:t xml:space="preserve"> </w:t>
      </w:r>
      <w:r>
        <w:t xml:space="preserve">See: </w:t>
      </w:r>
      <w:r>
        <w:rPr>
          <w:rStyle w:val="Hyperlink"/>
        </w:rPr>
        <w:t>http://hreoc.gov.au/legal/humanrightsreports/index.html</w:t>
      </w:r>
      <w:r>
        <w:t xml:space="preserve"> (viewed 7 March 2012).</w:t>
      </w:r>
    </w:p>
    <w:p w14:paraId="4E0A5DB7" w14:textId="77777777" w:rsidR="005E44F3" w:rsidRDefault="005E44F3" w:rsidP="00846A49">
      <w:pPr>
        <w:pStyle w:val="EndnoteText"/>
        <w:tabs>
          <w:tab w:val="clear" w:pos="567"/>
        </w:tabs>
        <w:ind w:left="567" w:hanging="567"/>
      </w:pPr>
      <w:r>
        <w:t>3</w:t>
      </w:r>
      <w:r>
        <w:tab/>
      </w:r>
      <w:r>
        <w:rPr>
          <w:rStyle w:val="Emphasis"/>
        </w:rPr>
        <w:t>Macedonian Teachers Association of Victoria Inc</w:t>
      </w:r>
      <w:r>
        <w:t xml:space="preserve"> </w:t>
      </w:r>
      <w:r>
        <w:rPr>
          <w:rStyle w:val="Emphasis"/>
        </w:rPr>
        <w:t xml:space="preserve">v Human Rights &amp; Equal Opportunity Commission </w:t>
      </w:r>
      <w:r>
        <w:t xml:space="preserve">(1998) 91 FCR 8 at 29-30. This construction of s 9(1) of the Racial Discrimination Act was upheld on appeal: </w:t>
      </w:r>
      <w:r>
        <w:rPr>
          <w:rStyle w:val="Emphasis"/>
        </w:rPr>
        <w:t>State of Victoria v Macedonian Teachers Association of Victoria Inc</w:t>
      </w:r>
      <w:r>
        <w:t xml:space="preserve"> (1999) 91 FCR 47 at 5, 8.</w:t>
      </w:r>
    </w:p>
    <w:p w14:paraId="7EBA2319" w14:textId="77777777" w:rsidR="005E44F3" w:rsidRDefault="005E44F3" w:rsidP="00846A49">
      <w:pPr>
        <w:pStyle w:val="EndnoteText"/>
        <w:tabs>
          <w:tab w:val="clear" w:pos="567"/>
        </w:tabs>
        <w:ind w:left="567" w:hanging="567"/>
      </w:pPr>
      <w:r>
        <w:t>4</w:t>
      </w:r>
      <w:r>
        <w:tab/>
      </w:r>
      <w:r>
        <w:rPr>
          <w:rStyle w:val="Emphasis"/>
        </w:rPr>
        <w:t xml:space="preserve">Commonwealth v Bradley </w:t>
      </w:r>
      <w:r>
        <w:t>(1999) 95 FCR 218, 235 [35] (Black CJ).</w:t>
      </w:r>
    </w:p>
    <w:p w14:paraId="45E16C52" w14:textId="77777777" w:rsidR="005E44F3" w:rsidRDefault="005E44F3" w:rsidP="00846A49">
      <w:pPr>
        <w:pStyle w:val="EndnoteText"/>
        <w:tabs>
          <w:tab w:val="clear" w:pos="567"/>
        </w:tabs>
        <w:ind w:left="567" w:hanging="567"/>
      </w:pPr>
      <w:r>
        <w:t>5</w:t>
      </w:r>
      <w:r>
        <w:tab/>
      </w:r>
      <w:r>
        <w:rPr>
          <w:rStyle w:val="Emphasis"/>
        </w:rPr>
        <w:t xml:space="preserve">Commonwealth v Hamilton </w:t>
      </w:r>
      <w:r>
        <w:t>(2000) 108 FCR 378, 385 [31] and following.</w:t>
      </w:r>
    </w:p>
    <w:p w14:paraId="7405518A" w14:textId="77777777" w:rsidR="005E44F3" w:rsidRDefault="005E44F3" w:rsidP="00846A49">
      <w:pPr>
        <w:pStyle w:val="EndnoteText"/>
        <w:tabs>
          <w:tab w:val="clear" w:pos="567"/>
        </w:tabs>
        <w:ind w:left="567" w:hanging="567"/>
      </w:pPr>
      <w:r>
        <w:t>6</w:t>
      </w:r>
      <w:r>
        <w:tab/>
      </w:r>
      <w:r>
        <w:rPr>
          <w:rStyle w:val="Emphasis"/>
        </w:rPr>
        <w:t xml:space="preserve">Commonwealth v Hamilton </w:t>
      </w:r>
      <w:r>
        <w:t>(2000) 108 FCR 378, 387 [36].</w:t>
      </w:r>
    </w:p>
    <w:p w14:paraId="0B160D7A" w14:textId="77777777" w:rsidR="005E44F3" w:rsidRDefault="005E44F3" w:rsidP="00846A49">
      <w:pPr>
        <w:pStyle w:val="EndnoteText"/>
        <w:tabs>
          <w:tab w:val="clear" w:pos="567"/>
        </w:tabs>
        <w:ind w:left="567" w:hanging="567"/>
      </w:pPr>
      <w:r>
        <w:t>7</w:t>
      </w:r>
      <w:r>
        <w:tab/>
      </w:r>
      <w:r>
        <w:rPr>
          <w:rStyle w:val="Emphasis"/>
        </w:rPr>
        <w:t xml:space="preserve">X v Commonwealth </w:t>
      </w:r>
      <w:r>
        <w:t xml:space="preserve">(1999) 200 CLR 177, 222-223, [146] (Kirby J); </w:t>
      </w:r>
      <w:r>
        <w:rPr>
          <w:rStyle w:val="Emphasis"/>
        </w:rPr>
        <w:t xml:space="preserve">Qantas Airways Ltd v Christie </w:t>
      </w:r>
      <w:r>
        <w:t xml:space="preserve">(1998) 193 CLR 280, 333, [152.4] and footnotes 168-169 (Kirby J). This approach has been applied to Part II, Division 4 of the SDA in </w:t>
      </w:r>
      <w:r>
        <w:rPr>
          <w:rStyle w:val="Emphasis"/>
        </w:rPr>
        <w:t xml:space="preserve">Gardner v All Australian Netball Association Limited </w:t>
      </w:r>
      <w:r>
        <w:t xml:space="preserve">(2003) 197 ALR 28, [19], [23]-[24] (Raphael FM); </w:t>
      </w:r>
      <w:r>
        <w:rPr>
          <w:rStyle w:val="Emphasis"/>
        </w:rPr>
        <w:t xml:space="preserve">Ferneley v Boxing Authority of New South Wales </w:t>
      </w:r>
      <w:r>
        <w:t>(2001) 191 ALR 739, [89] (Wilcox J).</w:t>
      </w:r>
    </w:p>
    <w:p w14:paraId="680FBBFD" w14:textId="70A712C0" w:rsidR="005E44F3" w:rsidRDefault="005E44F3" w:rsidP="00846A49">
      <w:pPr>
        <w:pStyle w:val="EndnoteText"/>
        <w:tabs>
          <w:tab w:val="clear" w:pos="567"/>
        </w:tabs>
        <w:ind w:left="567" w:hanging="567"/>
      </w:pPr>
      <w:r>
        <w:t>8</w:t>
      </w:r>
      <w:r>
        <w:tab/>
      </w:r>
      <w:r>
        <w:rPr>
          <w:rStyle w:val="Emphasis"/>
        </w:rPr>
        <w:t>Qantas Airways v Christie</w:t>
      </w:r>
      <w:r>
        <w:t xml:space="preserve"> (1998) 193 CLR 280, 294 [34]</w:t>
      </w:r>
      <w:r w:rsidR="00037DA8">
        <w:rPr>
          <w:rFonts w:ascii="HelveticaNeue-Italic" w:hAnsi="HelveticaNeue-Italic" w:cs="HelveticaNeue-Italic"/>
        </w:rPr>
        <w:t xml:space="preserve"> </w:t>
      </w:r>
      <w:r>
        <w:rPr>
          <w:rFonts w:ascii="HelveticaNeue-Italic" w:hAnsi="HelveticaNeue-Italic" w:cs="HelveticaNeue-Italic"/>
        </w:rPr>
        <w:t>(</w:t>
      </w:r>
      <w:r>
        <w:t>Gaudron J).</w:t>
      </w:r>
    </w:p>
    <w:p w14:paraId="3EABBB5E" w14:textId="61BD874E" w:rsidR="005E44F3" w:rsidRDefault="005E44F3" w:rsidP="00846A49">
      <w:pPr>
        <w:pStyle w:val="EndnoteText"/>
        <w:tabs>
          <w:tab w:val="clear" w:pos="567"/>
        </w:tabs>
        <w:ind w:left="567" w:hanging="567"/>
      </w:pPr>
      <w:r>
        <w:t>9</w:t>
      </w:r>
      <w:r>
        <w:tab/>
      </w:r>
      <w:r>
        <w:rPr>
          <w:rStyle w:val="Emphasis"/>
        </w:rPr>
        <w:t>X v The Commonwealth</w:t>
      </w:r>
      <w:r>
        <w:t xml:space="preserve"> (1999) 200 CLR 177, 208 [102]</w:t>
      </w:r>
      <w:r w:rsidR="00037DA8">
        <w:rPr>
          <w:rFonts w:ascii="HelveticaNeue-Italic" w:hAnsi="HelveticaNeue-Italic" w:cs="HelveticaNeue-Italic"/>
        </w:rPr>
        <w:t xml:space="preserve"> </w:t>
      </w:r>
      <w:r>
        <w:t>(Gummow and Hayne JJ).</w:t>
      </w:r>
    </w:p>
    <w:p w14:paraId="5D3FD28C" w14:textId="3924274E" w:rsidR="005E44F3" w:rsidRDefault="005E44F3" w:rsidP="00846A49">
      <w:pPr>
        <w:pStyle w:val="EndnoteText"/>
        <w:tabs>
          <w:tab w:val="clear" w:pos="567"/>
        </w:tabs>
        <w:ind w:left="567" w:hanging="567"/>
      </w:pPr>
      <w:r>
        <w:t>10</w:t>
      </w:r>
      <w:r>
        <w:tab/>
      </w:r>
      <w:r>
        <w:rPr>
          <w:rStyle w:val="Emphasis"/>
        </w:rPr>
        <w:t>X v Commonwealth</w:t>
      </w:r>
      <w:r w:rsidR="00037DA8">
        <w:rPr>
          <w:rFonts w:ascii="HelveticaNeue-Italic" w:hAnsi="HelveticaNeue-Italic" w:cs="HelveticaNeue-Italic"/>
        </w:rPr>
        <w:t xml:space="preserve"> </w:t>
      </w:r>
      <w:r>
        <w:t>(1999) 200 CLR 177, [42] (McHugh J).</w:t>
      </w:r>
    </w:p>
    <w:p w14:paraId="747D370C" w14:textId="3EF20DA8" w:rsidR="005E44F3" w:rsidRDefault="005E44F3" w:rsidP="00846A49">
      <w:pPr>
        <w:pStyle w:val="EndnoteText"/>
        <w:tabs>
          <w:tab w:val="clear" w:pos="567"/>
        </w:tabs>
        <w:ind w:left="567" w:hanging="567"/>
      </w:pPr>
      <w:r>
        <w:t>11</w:t>
      </w:r>
      <w:r>
        <w:tab/>
        <w:t xml:space="preserve">International Labour Organisation, </w:t>
      </w:r>
      <w:r>
        <w:rPr>
          <w:rStyle w:val="Emphasis"/>
        </w:rPr>
        <w:t>General Survey: Equality in Employment and Occupation</w:t>
      </w:r>
      <w:r>
        <w:t xml:space="preserve">, (1988), [126]. See also </w:t>
      </w:r>
      <w:r>
        <w:rPr>
          <w:rStyle w:val="Emphasis"/>
        </w:rPr>
        <w:t>Qantas Airways Ltd v Christie</w:t>
      </w:r>
      <w:r w:rsidR="00037DA8">
        <w:rPr>
          <w:rFonts w:ascii="HelveticaNeue-Italic" w:hAnsi="HelveticaNeue-Italic" w:cs="HelveticaNeue-Italic"/>
        </w:rPr>
        <w:t xml:space="preserve"> </w:t>
      </w:r>
      <w:r>
        <w:t>(1998) 193 CLR 280, [72] (McHugh J).</w:t>
      </w:r>
    </w:p>
    <w:p w14:paraId="02B5C0AC" w14:textId="77777777" w:rsidR="005E44F3" w:rsidRDefault="005E44F3" w:rsidP="00846A49">
      <w:pPr>
        <w:pStyle w:val="EndnoteText"/>
        <w:tabs>
          <w:tab w:val="clear" w:pos="567"/>
        </w:tabs>
        <w:ind w:left="567" w:hanging="567"/>
      </w:pPr>
      <w:r>
        <w:t>12</w:t>
      </w:r>
      <w:r>
        <w:tab/>
      </w:r>
      <w:r>
        <w:rPr>
          <w:rStyle w:val="Emphasis"/>
        </w:rPr>
        <w:t>Commonwealth Bank of Australia v Barker</w:t>
      </w:r>
      <w:r>
        <w:t xml:space="preserve"> [2013] FCAFC 83.</w:t>
      </w:r>
    </w:p>
    <w:p w14:paraId="11AD3CF6" w14:textId="77777777" w:rsidR="005E44F3" w:rsidRDefault="005E44F3" w:rsidP="00846A49">
      <w:pPr>
        <w:pStyle w:val="EndnoteText"/>
        <w:tabs>
          <w:tab w:val="clear" w:pos="567"/>
        </w:tabs>
        <w:ind w:left="567" w:hanging="567"/>
      </w:pPr>
      <w:r>
        <w:t>13</w:t>
      </w:r>
      <w:r>
        <w:tab/>
      </w:r>
      <w:r>
        <w:rPr>
          <w:rStyle w:val="Emphasis"/>
        </w:rPr>
        <w:t xml:space="preserve">Qantas Airways v Christie </w:t>
      </w:r>
      <w:r>
        <w:t>(1998) 193 CLR 280.</w:t>
      </w:r>
    </w:p>
    <w:p w14:paraId="3E085EDE" w14:textId="77777777" w:rsidR="005E44F3" w:rsidRDefault="005E44F3" w:rsidP="00846A49">
      <w:pPr>
        <w:pStyle w:val="EndnoteText"/>
        <w:tabs>
          <w:tab w:val="clear" w:pos="567"/>
        </w:tabs>
        <w:ind w:left="567" w:hanging="567"/>
      </w:pPr>
      <w:r>
        <w:t>14</w:t>
      </w:r>
      <w:r>
        <w:tab/>
      </w:r>
      <w:r>
        <w:rPr>
          <w:rStyle w:val="Emphasis"/>
        </w:rPr>
        <w:t xml:space="preserve">Qantas Airways v Christie </w:t>
      </w:r>
      <w:r>
        <w:t>(1998) 193 CLR 280, 284 [1].</w:t>
      </w:r>
    </w:p>
    <w:p w14:paraId="622C4FA6" w14:textId="77777777" w:rsidR="005E44F3" w:rsidRDefault="005E44F3" w:rsidP="00846A49">
      <w:pPr>
        <w:pStyle w:val="EndnoteText"/>
        <w:tabs>
          <w:tab w:val="clear" w:pos="567"/>
        </w:tabs>
        <w:ind w:left="567" w:hanging="567"/>
      </w:pPr>
      <w:r>
        <w:t>15</w:t>
      </w:r>
      <w:r>
        <w:tab/>
      </w:r>
      <w:r>
        <w:rPr>
          <w:rStyle w:val="Emphasis"/>
        </w:rPr>
        <w:t>Qantas Airways v Christie</w:t>
      </w:r>
      <w:r>
        <w:t xml:space="preserve"> (1998) 193 CLR 280, 294 [34].</w:t>
      </w:r>
    </w:p>
    <w:p w14:paraId="58F88DD0" w14:textId="77777777" w:rsidR="005E44F3" w:rsidRDefault="005E44F3" w:rsidP="00846A49">
      <w:pPr>
        <w:pStyle w:val="EndnoteText"/>
        <w:tabs>
          <w:tab w:val="clear" w:pos="567"/>
        </w:tabs>
        <w:ind w:left="567" w:hanging="567"/>
      </w:pPr>
      <w:r>
        <w:t>16</w:t>
      </w:r>
      <w:r>
        <w:tab/>
      </w:r>
      <w:r>
        <w:rPr>
          <w:rStyle w:val="Emphasis"/>
        </w:rPr>
        <w:t>Commonwealth v Bradley</w:t>
      </w:r>
      <w:r>
        <w:t xml:space="preserve"> (1999) 95 FCR 218, </w:t>
      </w:r>
      <w:r>
        <w:rPr>
          <w:rStyle w:val="Emphasis"/>
        </w:rPr>
        <w:t>Commonwealth v Human Rights and Equal Opportunity Commission and Others</w:t>
      </w:r>
      <w:r>
        <w:t xml:space="preserve"> (1998) 158 ALR 468, 482.</w:t>
      </w:r>
    </w:p>
    <w:p w14:paraId="52653DBA" w14:textId="77777777" w:rsidR="005E44F3" w:rsidRDefault="005E44F3" w:rsidP="00846A49">
      <w:pPr>
        <w:pStyle w:val="EndnoteText"/>
        <w:tabs>
          <w:tab w:val="clear" w:pos="567"/>
        </w:tabs>
        <w:ind w:left="567" w:hanging="567"/>
      </w:pPr>
      <w:r>
        <w:t>17</w:t>
      </w:r>
      <w:r>
        <w:tab/>
        <w:t>(1999) 95 FCR 218.</w:t>
      </w:r>
    </w:p>
    <w:p w14:paraId="10FDE842" w14:textId="77777777" w:rsidR="005E44F3" w:rsidRDefault="005E44F3" w:rsidP="00846A49">
      <w:pPr>
        <w:pStyle w:val="EndnoteText"/>
        <w:tabs>
          <w:tab w:val="clear" w:pos="567"/>
        </w:tabs>
        <w:ind w:left="567" w:hanging="567"/>
      </w:pPr>
      <w:r>
        <w:t>18</w:t>
      </w:r>
      <w:r>
        <w:tab/>
        <w:t>(1999) 95 FCR 218, 235 [36].</w:t>
      </w:r>
    </w:p>
    <w:p w14:paraId="77C3DDBA" w14:textId="77777777" w:rsidR="005E44F3" w:rsidRDefault="005E44F3" w:rsidP="00846A49">
      <w:pPr>
        <w:pStyle w:val="EndnoteText"/>
        <w:tabs>
          <w:tab w:val="clear" w:pos="567"/>
        </w:tabs>
        <w:ind w:left="567" w:hanging="567"/>
      </w:pPr>
      <w:r>
        <w:t>19</w:t>
      </w:r>
      <w:r>
        <w:tab/>
        <w:t>[2005] Northern Territory Anti-Discrimination Commission (Unreported, Commissioner Fitzgerald, 22 April 2005).</w:t>
      </w:r>
    </w:p>
    <w:p w14:paraId="301E19CA" w14:textId="77777777" w:rsidR="005E44F3" w:rsidRDefault="005E44F3" w:rsidP="00846A49">
      <w:pPr>
        <w:pStyle w:val="EndnoteText"/>
        <w:tabs>
          <w:tab w:val="clear" w:pos="567"/>
        </w:tabs>
        <w:ind w:left="567" w:hanging="567"/>
      </w:pPr>
      <w:r>
        <w:t>20</w:t>
      </w:r>
      <w:r>
        <w:tab/>
      </w:r>
      <w:r>
        <w:rPr>
          <w:rStyle w:val="Emphasis"/>
        </w:rPr>
        <w:t xml:space="preserve">Australian Human Rights Commission Act 1986 </w:t>
      </w:r>
      <w:r>
        <w:t>(Cth), s 35(2)(a).</w:t>
      </w:r>
    </w:p>
    <w:p w14:paraId="0DD01F8C" w14:textId="77777777" w:rsidR="005E44F3" w:rsidRDefault="005E44F3" w:rsidP="00846A49">
      <w:pPr>
        <w:pStyle w:val="EndnoteText"/>
        <w:tabs>
          <w:tab w:val="clear" w:pos="567"/>
        </w:tabs>
        <w:ind w:left="567" w:hanging="567"/>
      </w:pPr>
      <w:r>
        <w:t>21</w:t>
      </w:r>
      <w:r>
        <w:tab/>
      </w:r>
      <w:r>
        <w:rPr>
          <w:rStyle w:val="Emphasis"/>
        </w:rPr>
        <w:t xml:space="preserve">Australian Human Rights Commission Act 1986 </w:t>
      </w:r>
      <w:r>
        <w:t>(Cth), s 35(2)(b).</w:t>
      </w:r>
    </w:p>
    <w:p w14:paraId="0456E414" w14:textId="77777777" w:rsidR="005E44F3" w:rsidRDefault="005E44F3" w:rsidP="00846A49">
      <w:pPr>
        <w:pStyle w:val="EndnoteText"/>
        <w:tabs>
          <w:tab w:val="clear" w:pos="567"/>
        </w:tabs>
        <w:ind w:left="567" w:hanging="567"/>
      </w:pPr>
      <w:r>
        <w:t>22</w:t>
      </w:r>
      <w:r>
        <w:tab/>
      </w:r>
      <w:r>
        <w:rPr>
          <w:rStyle w:val="Emphasis"/>
        </w:rPr>
        <w:t xml:space="preserve">Australian Human Rights Commission Act 1986 </w:t>
      </w:r>
      <w:r>
        <w:t>(Cth), s 35(2)(c).</w:t>
      </w:r>
    </w:p>
    <w:p w14:paraId="147878CF" w14:textId="77777777" w:rsidR="005E44F3" w:rsidRDefault="005E44F3" w:rsidP="00846A49">
      <w:pPr>
        <w:pStyle w:val="EndnoteText"/>
        <w:tabs>
          <w:tab w:val="clear" w:pos="567"/>
        </w:tabs>
        <w:ind w:left="567" w:hanging="567"/>
      </w:pPr>
      <w:r>
        <w:t>23</w:t>
      </w:r>
      <w:r>
        <w:tab/>
      </w:r>
      <w:r>
        <w:rPr>
          <w:rStyle w:val="Emphasis"/>
        </w:rPr>
        <w:t xml:space="preserve">Peacock v Commonwealth </w:t>
      </w:r>
      <w:r>
        <w:t>(2000) 104 FCR 464, 483 (Wilcox J).</w:t>
      </w:r>
    </w:p>
    <w:p w14:paraId="7406151D" w14:textId="788C8321" w:rsidR="00F87B03" w:rsidRPr="005D0A49" w:rsidRDefault="005E44F3" w:rsidP="00846A49">
      <w:pPr>
        <w:pStyle w:val="EndnoteText"/>
        <w:tabs>
          <w:tab w:val="clear" w:pos="567"/>
        </w:tabs>
        <w:ind w:left="567" w:hanging="567"/>
      </w:pPr>
      <w:r>
        <w:t>24</w:t>
      </w:r>
      <w:r>
        <w:tab/>
      </w:r>
      <w:r>
        <w:rPr>
          <w:rStyle w:val="Emphasis"/>
        </w:rPr>
        <w:t xml:space="preserve">Sharman v Evans </w:t>
      </w:r>
      <w:r>
        <w:t>(1977) 138 CLR 563, 589 (Gibbs and Stephen JJ).</w:t>
      </w:r>
    </w:p>
    <w:sectPr w:rsidR="00F87B03" w:rsidRPr="005D0A49" w:rsidSect="00B05C51">
      <w:footerReference w:type="even" r:id="rId18"/>
      <w:footerReference w:type="default" r:id="rId19"/>
      <w:pgSz w:w="12240" w:h="15840"/>
      <w:pgMar w:top="1440" w:right="1800" w:bottom="1440" w:left="1800" w:header="708" w:footer="708" w:gutter="0"/>
      <w:pgNumType w:start="1"/>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445C24" w14:textId="77777777" w:rsidR="00846A49" w:rsidRDefault="00846A49" w:rsidP="00B05C51">
      <w:pPr>
        <w:spacing w:after="0" w:line="240" w:lineRule="auto"/>
      </w:pPr>
      <w:r>
        <w:separator/>
      </w:r>
    </w:p>
  </w:endnote>
  <w:endnote w:type="continuationSeparator" w:id="0">
    <w:p w14:paraId="12EAB9DC" w14:textId="77777777" w:rsidR="00846A49" w:rsidRDefault="00846A49" w:rsidP="00B05C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HelveticaCYPlain">
    <w:altName w:val="Times New Roman"/>
    <w:panose1 w:val="00000000000000000000"/>
    <w:charset w:val="CC"/>
    <w:family w:val="auto"/>
    <w:notTrueType/>
    <w:pitch w:val="default"/>
    <w:sig w:usb0="00000201" w:usb1="00000000" w:usb2="00000000" w:usb3="00000000" w:csb0="00000004" w:csb1="00000000"/>
  </w:font>
  <w:font w:name="HelveticaNeue-Bold">
    <w:altName w:val="Helvetica Neue"/>
    <w:panose1 w:val="00000000000000000000"/>
    <w:charset w:val="00"/>
    <w:family w:val="swiss"/>
    <w:notTrueType/>
    <w:pitch w:val="default"/>
    <w:sig w:usb0="00000003" w:usb1="00000000" w:usb2="00000000" w:usb3="00000000" w:csb0="00000001" w:csb1="00000000"/>
  </w:font>
  <w:font w:name="HelveticaCYBold">
    <w:altName w:val="Helvetica CY"/>
    <w:panose1 w:val="00000000000000000000"/>
    <w:charset w:val="CC"/>
    <w:family w:val="auto"/>
    <w:notTrueType/>
    <w:pitch w:val="default"/>
    <w:sig w:usb0="00000201" w:usb1="00000000" w:usb2="00000000" w:usb3="00000000" w:csb0="00000004" w:csb1="00000000"/>
  </w:font>
  <w:font w:name="HelveticaNeue">
    <w:altName w:val="Helvetica Neue"/>
    <w:panose1 w:val="00000000000000000000"/>
    <w:charset w:val="00"/>
    <w:family w:val="swiss"/>
    <w:notTrueType/>
    <w:pitch w:val="default"/>
    <w:sig w:usb0="00000003" w:usb1="00000000" w:usb2="00000000" w:usb3="00000000" w:csb0="00000001" w:csb1="00000000"/>
  </w:font>
  <w:font w:name="Times-Roman">
    <w:altName w:val="Times New Roman"/>
    <w:panose1 w:val="00000000000000000000"/>
    <w:charset w:val="CC"/>
    <w:family w:val="auto"/>
    <w:notTrueType/>
    <w:pitch w:val="default"/>
    <w:sig w:usb0="00000203" w:usb1="00000000" w:usb2="00000000" w:usb3="00000000" w:csb0="00000005" w:csb1="00000000"/>
  </w:font>
  <w:font w:name="Lucida Grande">
    <w:charset w:val="00"/>
    <w:family w:val="auto"/>
    <w:pitch w:val="variable"/>
    <w:sig w:usb0="E1000AEF" w:usb1="5000A1FF" w:usb2="00000000" w:usb3="00000000" w:csb0="000001BF" w:csb1="00000000"/>
  </w:font>
  <w:font w:name="ArialMT">
    <w:altName w:val="Arial"/>
    <w:panose1 w:val="00000000000000000000"/>
    <w:charset w:val="4D"/>
    <w:family w:val="auto"/>
    <w:notTrueType/>
    <w:pitch w:val="default"/>
    <w:sig w:usb0="00000003" w:usb1="00000000" w:usb2="00000000" w:usb3="00000000" w:csb0="00000001" w:csb1="00000000"/>
  </w:font>
  <w:font w:name="Arial Narrow Bold">
    <w:panose1 w:val="020B0706020202030204"/>
    <w:charset w:val="00"/>
    <w:family w:val="auto"/>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HelveticaNeue-Italic">
    <w:altName w:val="Helvetica Neue"/>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C4EC31" w14:textId="77777777" w:rsidR="00846A49" w:rsidRDefault="00846A49" w:rsidP="004C31E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7CB6EAB" w14:textId="77777777" w:rsidR="00846A49" w:rsidRDefault="00846A49" w:rsidP="00B05C51">
    <w:pPr>
      <w:pStyle w:val="Footer"/>
      <w:framePr w:wrap="around"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6E939BC2" w14:textId="77777777" w:rsidR="00846A49" w:rsidRDefault="00846A49" w:rsidP="00B05C5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445AFF" w14:textId="4EF1DD87" w:rsidR="00846A49" w:rsidRPr="00B05C51" w:rsidRDefault="00846A49" w:rsidP="00415667">
    <w:pPr>
      <w:keepNext/>
      <w:widowControl w:val="0"/>
      <w:tabs>
        <w:tab w:val="left" w:pos="567"/>
      </w:tabs>
      <w:suppressAutoHyphens/>
      <w:autoSpaceDE w:val="0"/>
      <w:autoSpaceDN w:val="0"/>
      <w:adjustRightInd w:val="0"/>
      <w:spacing w:after="0" w:line="240" w:lineRule="auto"/>
      <w:ind w:right="360"/>
      <w:jc w:val="right"/>
      <w:textAlignment w:val="center"/>
      <w:rPr>
        <w:rFonts w:cs="Arial"/>
        <w:b/>
        <w:bCs/>
        <w:sz w:val="20"/>
        <w:szCs w:val="20"/>
        <w:lang w:val="en-AU" w:eastAsia="en-AU" w:bidi="ar-YE"/>
      </w:rPr>
    </w:pPr>
    <w:r>
      <w:rPr>
        <w:rFonts w:cs="Arial"/>
        <w:b/>
        <w:bCs/>
        <w:sz w:val="20"/>
        <w:szCs w:val="20"/>
        <w:lang w:val="en-AU" w:eastAsia="en-AU" w:bidi="ar-YE"/>
      </w:rPr>
      <w:t>TM v Linfox Australia Pty Ltd</w:t>
    </w:r>
    <w:r>
      <w:rPr>
        <w:rFonts w:cs="Arial"/>
        <w:sz w:val="20"/>
        <w:szCs w:val="20"/>
        <w:lang w:val="en-AU" w:eastAsia="en-AU"/>
      </w:rPr>
      <w:t xml:space="preserve"> • [2014] AusHRC 81</w:t>
    </w:r>
    <w:r w:rsidRPr="00415667">
      <w:rPr>
        <w:rFonts w:cs="Arial"/>
        <w:sz w:val="20"/>
        <w:szCs w:val="20"/>
        <w:lang w:val="en-AU" w:eastAsia="en-AU"/>
      </w:rPr>
      <w:t xml:space="preserve"> • </w:t>
    </w:r>
    <w:r w:rsidRPr="00232D6D">
      <w:rPr>
        <w:rStyle w:val="PageNumber"/>
        <w:b/>
      </w:rPr>
      <w:fldChar w:fldCharType="begin"/>
    </w:r>
    <w:r w:rsidRPr="00232D6D">
      <w:rPr>
        <w:rStyle w:val="PageNumber"/>
        <w:b/>
      </w:rPr>
      <w:instrText xml:space="preserve"> PAGE </w:instrText>
    </w:r>
    <w:r w:rsidRPr="00232D6D">
      <w:rPr>
        <w:rStyle w:val="PageNumber"/>
        <w:b/>
      </w:rPr>
      <w:fldChar w:fldCharType="separate"/>
    </w:r>
    <w:r w:rsidR="00275025">
      <w:rPr>
        <w:rStyle w:val="PageNumber"/>
        <w:b/>
        <w:noProof/>
      </w:rPr>
      <w:t>23</w:t>
    </w:r>
    <w:r w:rsidRPr="00232D6D">
      <w:rPr>
        <w:rStyle w:val="PageNumbe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9D69B2" w14:textId="77777777" w:rsidR="00846A49" w:rsidRDefault="00846A49" w:rsidP="00B05C51">
      <w:pPr>
        <w:spacing w:after="0" w:line="240" w:lineRule="auto"/>
      </w:pPr>
      <w:r>
        <w:separator/>
      </w:r>
    </w:p>
  </w:footnote>
  <w:footnote w:type="continuationSeparator" w:id="0">
    <w:p w14:paraId="65E384CE" w14:textId="77777777" w:rsidR="00846A49" w:rsidRDefault="00846A49" w:rsidP="00B05C5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81F87"/>
    <w:multiLevelType w:val="multilevel"/>
    <w:tmpl w:val="063A5FEE"/>
    <w:lvl w:ilvl="0">
      <w:start w:val="1"/>
      <w:numFmt w:val="decimal"/>
      <w:lvlText w:val="%1"/>
      <w:lvlJc w:val="left"/>
      <w:pPr>
        <w:tabs>
          <w:tab w:val="num" w:pos="720"/>
        </w:tabs>
        <w:ind w:left="0" w:firstLine="0"/>
      </w:pPr>
      <w:rPr>
        <w:rFonts w:ascii="Arial" w:hAnsi="Arial" w:hint="default"/>
        <w:b/>
        <w:bCs/>
        <w:i w:val="0"/>
        <w:iCs w:val="0"/>
        <w:sz w:val="36"/>
        <w:szCs w:val="36"/>
      </w:rPr>
    </w:lvl>
    <w:lvl w:ilvl="1">
      <w:start w:val="1"/>
      <w:numFmt w:val="decimal"/>
      <w:lvlText w:val="%1.%2"/>
      <w:lvlJc w:val="left"/>
      <w:pPr>
        <w:tabs>
          <w:tab w:val="num" w:pos="720"/>
        </w:tabs>
        <w:ind w:left="0" w:firstLine="0"/>
      </w:pPr>
      <w:rPr>
        <w:rFonts w:hint="default"/>
      </w:rPr>
    </w:lvl>
    <w:lvl w:ilvl="2">
      <w:start w:val="1"/>
      <w:numFmt w:val="lowerLetter"/>
      <w:lvlText w:val="(%3)"/>
      <w:lvlJc w:val="left"/>
      <w:pPr>
        <w:tabs>
          <w:tab w:val="num" w:pos="567"/>
        </w:tabs>
        <w:ind w:left="0" w:firstLine="0"/>
      </w:pPr>
      <w:rPr>
        <w:rFonts w:ascii="Arial" w:hAnsi="Arial" w:hint="default"/>
        <w:b/>
        <w:bCs/>
        <w:i w:val="0"/>
        <w:iCs w:val="0"/>
        <w:sz w:val="24"/>
        <w:szCs w:val="24"/>
      </w:rPr>
    </w:lvl>
    <w:lvl w:ilvl="3">
      <w:start w:val="1"/>
      <w:numFmt w:val="lowerRoman"/>
      <w:lvlText w:val="(%4)"/>
      <w:lvlJc w:val="left"/>
      <w:pPr>
        <w:tabs>
          <w:tab w:val="num" w:pos="567"/>
        </w:tabs>
        <w:ind w:left="0" w:firstLine="0"/>
      </w:pPr>
      <w:rPr>
        <w:rFonts w:ascii="Arial" w:hAnsi="Arial" w:hint="default"/>
        <w:b w:val="0"/>
        <w:bCs w:val="0"/>
        <w:i/>
        <w:iCs/>
        <w:sz w:val="24"/>
        <w:szCs w:val="24"/>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nsid w:val="08926A67"/>
    <w:multiLevelType w:val="hybridMultilevel"/>
    <w:tmpl w:val="6900A6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ABB68AF"/>
    <w:multiLevelType w:val="hybridMultilevel"/>
    <w:tmpl w:val="AECC557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CE72B5A"/>
    <w:multiLevelType w:val="hybridMultilevel"/>
    <w:tmpl w:val="9A48542E"/>
    <w:lvl w:ilvl="0" w:tplc="E2C688B2">
      <w:start w:val="1"/>
      <w:numFmt w:val="decimal"/>
      <w:lvlText w:val="%1."/>
      <w:lvlJc w:val="left"/>
      <w:pPr>
        <w:tabs>
          <w:tab w:val="num" w:pos="567"/>
        </w:tabs>
        <w:ind w:left="567" w:hanging="567"/>
      </w:pPr>
      <w:rPr>
        <w:rFonts w:ascii="Arial" w:hAnsi="Arial" w:hint="default"/>
        <w:b w:val="0"/>
        <w:bCs w:val="0"/>
        <w:i w:val="0"/>
        <w:iCs w:val="0"/>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F824A8"/>
    <w:multiLevelType w:val="hybridMultilevel"/>
    <w:tmpl w:val="841C94AC"/>
    <w:lvl w:ilvl="0" w:tplc="CA581E8A">
      <w:start w:val="1"/>
      <w:numFmt w:val="bullet"/>
      <w:lvlText w:val=""/>
      <w:lvlJc w:val="left"/>
      <w:pPr>
        <w:tabs>
          <w:tab w:val="num" w:pos="964"/>
        </w:tabs>
        <w:ind w:left="964" w:hanging="284"/>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4769EE"/>
    <w:multiLevelType w:val="multilevel"/>
    <w:tmpl w:val="3F667F7C"/>
    <w:lvl w:ilvl="0">
      <w:start w:val="1"/>
      <w:numFmt w:val="decimal"/>
      <w:lvlText w:val="%1"/>
      <w:lvlJc w:val="left"/>
      <w:pPr>
        <w:tabs>
          <w:tab w:val="num" w:pos="397"/>
        </w:tabs>
        <w:ind w:left="397" w:hanging="397"/>
      </w:pPr>
      <w:rPr>
        <w:rFonts w:ascii="Arial" w:hAnsi="Arial" w:hint="default"/>
        <w:b w:val="0"/>
        <w:bCs w:val="0"/>
        <w:i w:val="0"/>
        <w:iCs w:val="0"/>
        <w:color w:val="auto"/>
        <w:sz w:val="20"/>
        <w:szCs w:val="20"/>
      </w:rPr>
    </w:lvl>
    <w:lvl w:ilvl="1">
      <w:start w:val="1"/>
      <w:numFmt w:val="decimal"/>
      <w:lvlText w:val="%1.%2"/>
      <w:lvlJc w:val="left"/>
      <w:pPr>
        <w:tabs>
          <w:tab w:val="num" w:pos="680"/>
        </w:tabs>
        <w:ind w:left="0" w:firstLine="0"/>
      </w:pPr>
      <w:rPr>
        <w:rFonts w:ascii="Arial" w:hAnsi="Arial" w:hint="default"/>
        <w:b/>
        <w:bCs/>
        <w:i w:val="0"/>
        <w:iCs w:val="0"/>
        <w:sz w:val="28"/>
        <w:szCs w:val="28"/>
      </w:rPr>
    </w:lvl>
    <w:lvl w:ilvl="2">
      <w:start w:val="1"/>
      <w:numFmt w:val="lowerLetter"/>
      <w:lvlText w:val="(%3)"/>
      <w:lvlJc w:val="left"/>
      <w:pPr>
        <w:tabs>
          <w:tab w:val="num" w:pos="680"/>
        </w:tabs>
        <w:ind w:left="680" w:hanging="680"/>
      </w:pPr>
      <w:rPr>
        <w:rFonts w:ascii="Arial" w:hAnsi="Arial" w:hint="default"/>
        <w:b/>
        <w:bCs/>
        <w:i w:val="0"/>
        <w:iCs w:val="0"/>
        <w:sz w:val="24"/>
        <w:szCs w:val="24"/>
      </w:rPr>
    </w:lvl>
    <w:lvl w:ilvl="3">
      <w:start w:val="1"/>
      <w:numFmt w:val="lowerRoman"/>
      <w:lvlText w:val="(%4)"/>
      <w:lvlJc w:val="left"/>
      <w:pPr>
        <w:tabs>
          <w:tab w:val="num" w:pos="680"/>
        </w:tabs>
        <w:ind w:left="680" w:hanging="680"/>
      </w:pPr>
      <w:rPr>
        <w:rFonts w:ascii="Arial" w:hAnsi="Arial" w:hint="default"/>
        <w:b w:val="0"/>
        <w:bCs w:val="0"/>
        <w:i/>
        <w:iCs/>
        <w:sz w:val="24"/>
        <w:szCs w:val="24"/>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6">
    <w:nsid w:val="17374DA9"/>
    <w:multiLevelType w:val="hybridMultilevel"/>
    <w:tmpl w:val="0C86E7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920254D"/>
    <w:multiLevelType w:val="multilevel"/>
    <w:tmpl w:val="063A5FEE"/>
    <w:lvl w:ilvl="0">
      <w:start w:val="1"/>
      <w:numFmt w:val="decimal"/>
      <w:lvlText w:val="%1"/>
      <w:lvlJc w:val="left"/>
      <w:pPr>
        <w:tabs>
          <w:tab w:val="num" w:pos="720"/>
        </w:tabs>
        <w:ind w:left="0" w:firstLine="0"/>
      </w:pPr>
      <w:rPr>
        <w:rFonts w:ascii="Arial" w:hAnsi="Arial" w:hint="default"/>
        <w:b/>
        <w:bCs/>
        <w:i w:val="0"/>
        <w:iCs w:val="0"/>
        <w:sz w:val="36"/>
        <w:szCs w:val="36"/>
      </w:rPr>
    </w:lvl>
    <w:lvl w:ilvl="1">
      <w:start w:val="1"/>
      <w:numFmt w:val="decimal"/>
      <w:lvlText w:val="%1.%2"/>
      <w:lvlJc w:val="left"/>
      <w:pPr>
        <w:tabs>
          <w:tab w:val="num" w:pos="720"/>
        </w:tabs>
        <w:ind w:left="0" w:firstLine="0"/>
      </w:pPr>
      <w:rPr>
        <w:rFonts w:hint="default"/>
      </w:rPr>
    </w:lvl>
    <w:lvl w:ilvl="2">
      <w:start w:val="1"/>
      <w:numFmt w:val="lowerLetter"/>
      <w:lvlText w:val="(%3)"/>
      <w:lvlJc w:val="left"/>
      <w:pPr>
        <w:tabs>
          <w:tab w:val="num" w:pos="567"/>
        </w:tabs>
        <w:ind w:left="0" w:firstLine="0"/>
      </w:pPr>
      <w:rPr>
        <w:rFonts w:ascii="Arial" w:hAnsi="Arial" w:hint="default"/>
        <w:b/>
        <w:bCs/>
        <w:i w:val="0"/>
        <w:iCs w:val="0"/>
        <w:sz w:val="24"/>
        <w:szCs w:val="24"/>
      </w:rPr>
    </w:lvl>
    <w:lvl w:ilvl="3">
      <w:start w:val="1"/>
      <w:numFmt w:val="lowerRoman"/>
      <w:lvlText w:val="(%4)"/>
      <w:lvlJc w:val="left"/>
      <w:pPr>
        <w:tabs>
          <w:tab w:val="num" w:pos="567"/>
        </w:tabs>
        <w:ind w:left="0" w:firstLine="0"/>
      </w:pPr>
      <w:rPr>
        <w:rFonts w:ascii="Arial" w:hAnsi="Arial" w:hint="default"/>
        <w:b w:val="0"/>
        <w:bCs w:val="0"/>
        <w:i/>
        <w:iCs/>
        <w:sz w:val="24"/>
        <w:szCs w:val="24"/>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nsid w:val="1C6C166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1DF1697A"/>
    <w:multiLevelType w:val="hybridMultilevel"/>
    <w:tmpl w:val="91760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6F66091"/>
    <w:multiLevelType w:val="hybridMultilevel"/>
    <w:tmpl w:val="EE6EACAE"/>
    <w:lvl w:ilvl="0" w:tplc="9EDABC2A">
      <w:start w:val="1"/>
      <w:numFmt w:val="bullet"/>
      <w:lvlText w:val=""/>
      <w:lvlJc w:val="left"/>
      <w:pPr>
        <w:tabs>
          <w:tab w:val="num" w:pos="1440"/>
        </w:tabs>
        <w:ind w:left="1440" w:hanging="108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96703E3"/>
    <w:multiLevelType w:val="hybridMultilevel"/>
    <w:tmpl w:val="7200FD56"/>
    <w:lvl w:ilvl="0" w:tplc="80825AD0">
      <w:start w:val="1"/>
      <w:numFmt w:val="bullet"/>
      <w:lvlText w:val=""/>
      <w:lvlJc w:val="left"/>
      <w:pPr>
        <w:tabs>
          <w:tab w:val="num" w:pos="1531"/>
        </w:tabs>
        <w:ind w:left="1531" w:hanging="284"/>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AF0741F"/>
    <w:multiLevelType w:val="hybridMultilevel"/>
    <w:tmpl w:val="570271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2C840728"/>
    <w:multiLevelType w:val="hybridMultilevel"/>
    <w:tmpl w:val="60646F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2EF246B3"/>
    <w:multiLevelType w:val="multilevel"/>
    <w:tmpl w:val="3F667F7C"/>
    <w:lvl w:ilvl="0">
      <w:start w:val="1"/>
      <w:numFmt w:val="decimal"/>
      <w:lvlText w:val="%1"/>
      <w:lvlJc w:val="left"/>
      <w:pPr>
        <w:tabs>
          <w:tab w:val="num" w:pos="397"/>
        </w:tabs>
        <w:ind w:left="397" w:hanging="397"/>
      </w:pPr>
      <w:rPr>
        <w:rFonts w:ascii="Arial" w:hAnsi="Arial" w:hint="default"/>
        <w:b w:val="0"/>
        <w:bCs w:val="0"/>
        <w:i w:val="0"/>
        <w:iCs w:val="0"/>
        <w:color w:val="auto"/>
        <w:sz w:val="20"/>
        <w:szCs w:val="20"/>
      </w:rPr>
    </w:lvl>
    <w:lvl w:ilvl="1">
      <w:start w:val="1"/>
      <w:numFmt w:val="decimal"/>
      <w:lvlText w:val="%1.%2"/>
      <w:lvlJc w:val="left"/>
      <w:pPr>
        <w:tabs>
          <w:tab w:val="num" w:pos="680"/>
        </w:tabs>
        <w:ind w:left="0" w:firstLine="0"/>
      </w:pPr>
      <w:rPr>
        <w:rFonts w:ascii="Arial" w:hAnsi="Arial" w:hint="default"/>
        <w:b/>
        <w:bCs/>
        <w:i w:val="0"/>
        <w:iCs w:val="0"/>
        <w:sz w:val="28"/>
        <w:szCs w:val="28"/>
      </w:rPr>
    </w:lvl>
    <w:lvl w:ilvl="2">
      <w:start w:val="1"/>
      <w:numFmt w:val="lowerLetter"/>
      <w:lvlText w:val="(%3)"/>
      <w:lvlJc w:val="left"/>
      <w:pPr>
        <w:tabs>
          <w:tab w:val="num" w:pos="680"/>
        </w:tabs>
        <w:ind w:left="680" w:hanging="680"/>
      </w:pPr>
      <w:rPr>
        <w:rFonts w:ascii="Arial" w:hAnsi="Arial" w:hint="default"/>
        <w:b/>
        <w:bCs/>
        <w:i w:val="0"/>
        <w:iCs w:val="0"/>
        <w:sz w:val="24"/>
        <w:szCs w:val="24"/>
      </w:rPr>
    </w:lvl>
    <w:lvl w:ilvl="3">
      <w:start w:val="1"/>
      <w:numFmt w:val="lowerRoman"/>
      <w:lvlText w:val="(%4)"/>
      <w:lvlJc w:val="left"/>
      <w:pPr>
        <w:tabs>
          <w:tab w:val="num" w:pos="680"/>
        </w:tabs>
        <w:ind w:left="680" w:hanging="680"/>
      </w:pPr>
      <w:rPr>
        <w:rFonts w:ascii="Arial" w:hAnsi="Arial" w:hint="default"/>
        <w:b w:val="0"/>
        <w:bCs w:val="0"/>
        <w:i/>
        <w:iCs/>
        <w:sz w:val="24"/>
        <w:szCs w:val="24"/>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15">
    <w:nsid w:val="2F3A7FDF"/>
    <w:multiLevelType w:val="hybridMultilevel"/>
    <w:tmpl w:val="65A6EE46"/>
    <w:lvl w:ilvl="0" w:tplc="AE50B114">
      <w:start w:val="1"/>
      <w:numFmt w:val="bullet"/>
      <w:lvlText w:val="»"/>
      <w:lvlJc w:val="left"/>
      <w:pPr>
        <w:tabs>
          <w:tab w:val="num" w:pos="1247"/>
        </w:tabs>
        <w:ind w:left="1247" w:hanging="283"/>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33D6F50"/>
    <w:multiLevelType w:val="hybridMultilevel"/>
    <w:tmpl w:val="3962F7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374B72DC"/>
    <w:multiLevelType w:val="hybridMultilevel"/>
    <w:tmpl w:val="6A6C2D90"/>
    <w:lvl w:ilvl="0" w:tplc="04090001">
      <w:start w:val="1"/>
      <w:numFmt w:val="bullet"/>
      <w:lvlText w:val=""/>
      <w:lvlJc w:val="left"/>
      <w:pPr>
        <w:ind w:left="1797" w:hanging="360"/>
      </w:pPr>
      <w:rPr>
        <w:rFonts w:ascii="Symbol" w:hAnsi="Symbol" w:hint="default"/>
      </w:rPr>
    </w:lvl>
    <w:lvl w:ilvl="1" w:tplc="04090003" w:tentative="1">
      <w:start w:val="1"/>
      <w:numFmt w:val="bullet"/>
      <w:lvlText w:val="o"/>
      <w:lvlJc w:val="left"/>
      <w:pPr>
        <w:ind w:left="2517" w:hanging="360"/>
      </w:pPr>
      <w:rPr>
        <w:rFonts w:ascii="Courier New" w:hAnsi="Courier New" w:hint="default"/>
      </w:rPr>
    </w:lvl>
    <w:lvl w:ilvl="2" w:tplc="04090005" w:tentative="1">
      <w:start w:val="1"/>
      <w:numFmt w:val="bullet"/>
      <w:lvlText w:val=""/>
      <w:lvlJc w:val="left"/>
      <w:pPr>
        <w:ind w:left="3237" w:hanging="360"/>
      </w:pPr>
      <w:rPr>
        <w:rFonts w:ascii="Wingdings" w:hAnsi="Wingdings" w:hint="default"/>
      </w:rPr>
    </w:lvl>
    <w:lvl w:ilvl="3" w:tplc="04090001" w:tentative="1">
      <w:start w:val="1"/>
      <w:numFmt w:val="bullet"/>
      <w:lvlText w:val=""/>
      <w:lvlJc w:val="left"/>
      <w:pPr>
        <w:ind w:left="3957" w:hanging="360"/>
      </w:pPr>
      <w:rPr>
        <w:rFonts w:ascii="Symbol" w:hAnsi="Symbol" w:hint="default"/>
      </w:rPr>
    </w:lvl>
    <w:lvl w:ilvl="4" w:tplc="04090003" w:tentative="1">
      <w:start w:val="1"/>
      <w:numFmt w:val="bullet"/>
      <w:lvlText w:val="o"/>
      <w:lvlJc w:val="left"/>
      <w:pPr>
        <w:ind w:left="4677" w:hanging="360"/>
      </w:pPr>
      <w:rPr>
        <w:rFonts w:ascii="Courier New" w:hAnsi="Courier New" w:hint="default"/>
      </w:rPr>
    </w:lvl>
    <w:lvl w:ilvl="5" w:tplc="04090005" w:tentative="1">
      <w:start w:val="1"/>
      <w:numFmt w:val="bullet"/>
      <w:lvlText w:val=""/>
      <w:lvlJc w:val="left"/>
      <w:pPr>
        <w:ind w:left="5397" w:hanging="360"/>
      </w:pPr>
      <w:rPr>
        <w:rFonts w:ascii="Wingdings" w:hAnsi="Wingdings" w:hint="default"/>
      </w:rPr>
    </w:lvl>
    <w:lvl w:ilvl="6" w:tplc="04090001" w:tentative="1">
      <w:start w:val="1"/>
      <w:numFmt w:val="bullet"/>
      <w:lvlText w:val=""/>
      <w:lvlJc w:val="left"/>
      <w:pPr>
        <w:ind w:left="6117" w:hanging="360"/>
      </w:pPr>
      <w:rPr>
        <w:rFonts w:ascii="Symbol" w:hAnsi="Symbol" w:hint="default"/>
      </w:rPr>
    </w:lvl>
    <w:lvl w:ilvl="7" w:tplc="04090003" w:tentative="1">
      <w:start w:val="1"/>
      <w:numFmt w:val="bullet"/>
      <w:lvlText w:val="o"/>
      <w:lvlJc w:val="left"/>
      <w:pPr>
        <w:ind w:left="6837" w:hanging="360"/>
      </w:pPr>
      <w:rPr>
        <w:rFonts w:ascii="Courier New" w:hAnsi="Courier New" w:hint="default"/>
      </w:rPr>
    </w:lvl>
    <w:lvl w:ilvl="8" w:tplc="04090005" w:tentative="1">
      <w:start w:val="1"/>
      <w:numFmt w:val="bullet"/>
      <w:lvlText w:val=""/>
      <w:lvlJc w:val="left"/>
      <w:pPr>
        <w:ind w:left="7557" w:hanging="360"/>
      </w:pPr>
      <w:rPr>
        <w:rFonts w:ascii="Wingdings" w:hAnsi="Wingdings" w:hint="default"/>
      </w:rPr>
    </w:lvl>
  </w:abstractNum>
  <w:abstractNum w:abstractNumId="18">
    <w:nsid w:val="3D565913"/>
    <w:multiLevelType w:val="multilevel"/>
    <w:tmpl w:val="3F667F7C"/>
    <w:lvl w:ilvl="0">
      <w:start w:val="1"/>
      <w:numFmt w:val="decimal"/>
      <w:lvlText w:val="%1"/>
      <w:lvlJc w:val="left"/>
      <w:pPr>
        <w:tabs>
          <w:tab w:val="num" w:pos="397"/>
        </w:tabs>
        <w:ind w:left="397" w:hanging="397"/>
      </w:pPr>
      <w:rPr>
        <w:rFonts w:ascii="Arial" w:hAnsi="Arial" w:hint="default"/>
        <w:b w:val="0"/>
        <w:bCs w:val="0"/>
        <w:i w:val="0"/>
        <w:iCs w:val="0"/>
        <w:color w:val="auto"/>
        <w:sz w:val="20"/>
        <w:szCs w:val="20"/>
      </w:rPr>
    </w:lvl>
    <w:lvl w:ilvl="1">
      <w:start w:val="1"/>
      <w:numFmt w:val="decimal"/>
      <w:lvlText w:val="%1.%2"/>
      <w:lvlJc w:val="left"/>
      <w:pPr>
        <w:tabs>
          <w:tab w:val="num" w:pos="680"/>
        </w:tabs>
        <w:ind w:left="0" w:firstLine="0"/>
      </w:pPr>
      <w:rPr>
        <w:rFonts w:ascii="Arial" w:hAnsi="Arial" w:hint="default"/>
        <w:b/>
        <w:bCs/>
        <w:i w:val="0"/>
        <w:iCs w:val="0"/>
        <w:sz w:val="28"/>
        <w:szCs w:val="28"/>
      </w:rPr>
    </w:lvl>
    <w:lvl w:ilvl="2">
      <w:start w:val="1"/>
      <w:numFmt w:val="lowerLetter"/>
      <w:lvlText w:val="(%3)"/>
      <w:lvlJc w:val="left"/>
      <w:pPr>
        <w:tabs>
          <w:tab w:val="num" w:pos="680"/>
        </w:tabs>
        <w:ind w:left="680" w:hanging="680"/>
      </w:pPr>
      <w:rPr>
        <w:rFonts w:ascii="Arial" w:hAnsi="Arial" w:hint="default"/>
        <w:b/>
        <w:bCs/>
        <w:i w:val="0"/>
        <w:iCs w:val="0"/>
        <w:sz w:val="24"/>
        <w:szCs w:val="24"/>
      </w:rPr>
    </w:lvl>
    <w:lvl w:ilvl="3">
      <w:start w:val="1"/>
      <w:numFmt w:val="lowerRoman"/>
      <w:lvlText w:val="(%4)"/>
      <w:lvlJc w:val="left"/>
      <w:pPr>
        <w:tabs>
          <w:tab w:val="num" w:pos="680"/>
        </w:tabs>
        <w:ind w:left="680" w:hanging="680"/>
      </w:pPr>
      <w:rPr>
        <w:rFonts w:ascii="Arial" w:hAnsi="Arial" w:hint="default"/>
        <w:b w:val="0"/>
        <w:bCs w:val="0"/>
        <w:i/>
        <w:iCs/>
        <w:sz w:val="24"/>
        <w:szCs w:val="24"/>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19">
    <w:nsid w:val="3DFD46FC"/>
    <w:multiLevelType w:val="hybridMultilevel"/>
    <w:tmpl w:val="E8EC693E"/>
    <w:lvl w:ilvl="0" w:tplc="04090001">
      <w:start w:val="1"/>
      <w:numFmt w:val="bullet"/>
      <w:lvlText w:val=""/>
      <w:lvlJc w:val="left"/>
      <w:pPr>
        <w:ind w:left="2007" w:hanging="360"/>
      </w:pPr>
      <w:rPr>
        <w:rFonts w:ascii="Symbol" w:hAnsi="Symbol" w:hint="default"/>
      </w:rPr>
    </w:lvl>
    <w:lvl w:ilvl="1" w:tplc="04090003" w:tentative="1">
      <w:start w:val="1"/>
      <w:numFmt w:val="bullet"/>
      <w:lvlText w:val="o"/>
      <w:lvlJc w:val="left"/>
      <w:pPr>
        <w:ind w:left="2727" w:hanging="360"/>
      </w:pPr>
      <w:rPr>
        <w:rFonts w:ascii="Courier New" w:hAnsi="Courier New" w:hint="default"/>
      </w:rPr>
    </w:lvl>
    <w:lvl w:ilvl="2" w:tplc="04090005" w:tentative="1">
      <w:start w:val="1"/>
      <w:numFmt w:val="bullet"/>
      <w:lvlText w:val=""/>
      <w:lvlJc w:val="left"/>
      <w:pPr>
        <w:ind w:left="3447" w:hanging="360"/>
      </w:pPr>
      <w:rPr>
        <w:rFonts w:ascii="Wingdings" w:hAnsi="Wingdings" w:hint="default"/>
      </w:rPr>
    </w:lvl>
    <w:lvl w:ilvl="3" w:tplc="04090001" w:tentative="1">
      <w:start w:val="1"/>
      <w:numFmt w:val="bullet"/>
      <w:lvlText w:val=""/>
      <w:lvlJc w:val="left"/>
      <w:pPr>
        <w:ind w:left="4167" w:hanging="360"/>
      </w:pPr>
      <w:rPr>
        <w:rFonts w:ascii="Symbol" w:hAnsi="Symbol" w:hint="default"/>
      </w:rPr>
    </w:lvl>
    <w:lvl w:ilvl="4" w:tplc="04090003" w:tentative="1">
      <w:start w:val="1"/>
      <w:numFmt w:val="bullet"/>
      <w:lvlText w:val="o"/>
      <w:lvlJc w:val="left"/>
      <w:pPr>
        <w:ind w:left="4887" w:hanging="360"/>
      </w:pPr>
      <w:rPr>
        <w:rFonts w:ascii="Courier New" w:hAnsi="Courier New" w:hint="default"/>
      </w:rPr>
    </w:lvl>
    <w:lvl w:ilvl="5" w:tplc="04090005" w:tentative="1">
      <w:start w:val="1"/>
      <w:numFmt w:val="bullet"/>
      <w:lvlText w:val=""/>
      <w:lvlJc w:val="left"/>
      <w:pPr>
        <w:ind w:left="5607" w:hanging="360"/>
      </w:pPr>
      <w:rPr>
        <w:rFonts w:ascii="Wingdings" w:hAnsi="Wingdings" w:hint="default"/>
      </w:rPr>
    </w:lvl>
    <w:lvl w:ilvl="6" w:tplc="04090001" w:tentative="1">
      <w:start w:val="1"/>
      <w:numFmt w:val="bullet"/>
      <w:lvlText w:val=""/>
      <w:lvlJc w:val="left"/>
      <w:pPr>
        <w:ind w:left="6327" w:hanging="360"/>
      </w:pPr>
      <w:rPr>
        <w:rFonts w:ascii="Symbol" w:hAnsi="Symbol" w:hint="default"/>
      </w:rPr>
    </w:lvl>
    <w:lvl w:ilvl="7" w:tplc="04090003" w:tentative="1">
      <w:start w:val="1"/>
      <w:numFmt w:val="bullet"/>
      <w:lvlText w:val="o"/>
      <w:lvlJc w:val="left"/>
      <w:pPr>
        <w:ind w:left="7047" w:hanging="360"/>
      </w:pPr>
      <w:rPr>
        <w:rFonts w:ascii="Courier New" w:hAnsi="Courier New" w:hint="default"/>
      </w:rPr>
    </w:lvl>
    <w:lvl w:ilvl="8" w:tplc="04090005" w:tentative="1">
      <w:start w:val="1"/>
      <w:numFmt w:val="bullet"/>
      <w:lvlText w:val=""/>
      <w:lvlJc w:val="left"/>
      <w:pPr>
        <w:ind w:left="7767" w:hanging="360"/>
      </w:pPr>
      <w:rPr>
        <w:rFonts w:ascii="Wingdings" w:hAnsi="Wingdings" w:hint="default"/>
      </w:rPr>
    </w:lvl>
  </w:abstractNum>
  <w:abstractNum w:abstractNumId="20">
    <w:nsid w:val="408910F3"/>
    <w:multiLevelType w:val="multilevel"/>
    <w:tmpl w:val="A29EEE66"/>
    <w:lvl w:ilvl="0">
      <w:start w:val="1"/>
      <w:numFmt w:val="decimal"/>
      <w:pStyle w:val="Heading1"/>
      <w:lvlText w:val="%1"/>
      <w:lvlJc w:val="left"/>
      <w:pPr>
        <w:tabs>
          <w:tab w:val="num" w:pos="720"/>
        </w:tabs>
        <w:ind w:left="0" w:firstLine="0"/>
      </w:pPr>
      <w:rPr>
        <w:rFonts w:ascii="Arial" w:hAnsi="Arial" w:hint="default"/>
        <w:b/>
        <w:bCs/>
        <w:i w:val="0"/>
        <w:iCs w:val="0"/>
        <w:sz w:val="36"/>
        <w:szCs w:val="36"/>
      </w:rPr>
    </w:lvl>
    <w:lvl w:ilvl="1">
      <w:start w:val="1"/>
      <w:numFmt w:val="decimal"/>
      <w:pStyle w:val="Heading2"/>
      <w:lvlText w:val="%1.%2"/>
      <w:lvlJc w:val="left"/>
      <w:pPr>
        <w:tabs>
          <w:tab w:val="num" w:pos="720"/>
        </w:tabs>
        <w:ind w:left="0" w:firstLine="0"/>
      </w:pPr>
      <w:rPr>
        <w:rFonts w:ascii="Arial" w:hAnsi="Arial" w:cs="Arial" w:hint="default"/>
        <w:b/>
        <w:bCs/>
        <w:i w:val="0"/>
        <w:iCs w:val="0"/>
        <w:sz w:val="28"/>
        <w:szCs w:val="28"/>
      </w:rPr>
    </w:lvl>
    <w:lvl w:ilvl="2">
      <w:start w:val="1"/>
      <w:numFmt w:val="lowerLetter"/>
      <w:pStyle w:val="Heading3"/>
      <w:lvlText w:val="(%3)"/>
      <w:lvlJc w:val="left"/>
      <w:pPr>
        <w:tabs>
          <w:tab w:val="num" w:pos="567"/>
        </w:tabs>
        <w:ind w:left="0" w:firstLine="0"/>
      </w:pPr>
      <w:rPr>
        <w:rFonts w:ascii="Arial" w:hAnsi="Arial" w:hint="default"/>
        <w:b/>
        <w:bCs/>
        <w:i w:val="0"/>
        <w:iCs w:val="0"/>
        <w:sz w:val="24"/>
        <w:szCs w:val="24"/>
      </w:rPr>
    </w:lvl>
    <w:lvl w:ilvl="3">
      <w:start w:val="1"/>
      <w:numFmt w:val="lowerRoman"/>
      <w:pStyle w:val="Heading4"/>
      <w:lvlText w:val="(%4)"/>
      <w:lvlJc w:val="left"/>
      <w:pPr>
        <w:tabs>
          <w:tab w:val="num" w:pos="567"/>
        </w:tabs>
        <w:ind w:left="0" w:firstLine="0"/>
      </w:pPr>
      <w:rPr>
        <w:rFonts w:ascii="Arial" w:hAnsi="Arial" w:hint="default"/>
        <w:b w:val="0"/>
        <w:bCs w:val="0"/>
        <w:i/>
        <w:iCs/>
        <w:sz w:val="24"/>
        <w:szCs w:val="24"/>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nsid w:val="41E65F74"/>
    <w:multiLevelType w:val="multilevel"/>
    <w:tmpl w:val="3F667F7C"/>
    <w:lvl w:ilvl="0">
      <w:start w:val="1"/>
      <w:numFmt w:val="decimal"/>
      <w:lvlText w:val="%1"/>
      <w:lvlJc w:val="left"/>
      <w:pPr>
        <w:tabs>
          <w:tab w:val="num" w:pos="397"/>
        </w:tabs>
        <w:ind w:left="397" w:hanging="397"/>
      </w:pPr>
      <w:rPr>
        <w:rFonts w:ascii="Arial" w:hAnsi="Arial" w:hint="default"/>
        <w:b w:val="0"/>
        <w:bCs w:val="0"/>
        <w:i w:val="0"/>
        <w:iCs w:val="0"/>
        <w:color w:val="auto"/>
        <w:sz w:val="20"/>
        <w:szCs w:val="20"/>
      </w:rPr>
    </w:lvl>
    <w:lvl w:ilvl="1">
      <w:start w:val="1"/>
      <w:numFmt w:val="decimal"/>
      <w:lvlText w:val="%1.%2"/>
      <w:lvlJc w:val="left"/>
      <w:pPr>
        <w:tabs>
          <w:tab w:val="num" w:pos="680"/>
        </w:tabs>
        <w:ind w:left="0" w:firstLine="0"/>
      </w:pPr>
      <w:rPr>
        <w:rFonts w:ascii="Arial" w:hAnsi="Arial" w:hint="default"/>
        <w:b/>
        <w:bCs/>
        <w:i w:val="0"/>
        <w:iCs w:val="0"/>
        <w:sz w:val="28"/>
        <w:szCs w:val="28"/>
      </w:rPr>
    </w:lvl>
    <w:lvl w:ilvl="2">
      <w:start w:val="1"/>
      <w:numFmt w:val="lowerLetter"/>
      <w:lvlText w:val="(%3)"/>
      <w:lvlJc w:val="left"/>
      <w:pPr>
        <w:tabs>
          <w:tab w:val="num" w:pos="680"/>
        </w:tabs>
        <w:ind w:left="680" w:hanging="680"/>
      </w:pPr>
      <w:rPr>
        <w:rFonts w:ascii="Arial" w:hAnsi="Arial" w:hint="default"/>
        <w:b/>
        <w:bCs/>
        <w:i w:val="0"/>
        <w:iCs w:val="0"/>
        <w:sz w:val="24"/>
        <w:szCs w:val="24"/>
      </w:rPr>
    </w:lvl>
    <w:lvl w:ilvl="3">
      <w:start w:val="1"/>
      <w:numFmt w:val="lowerRoman"/>
      <w:lvlText w:val="(%4)"/>
      <w:lvlJc w:val="left"/>
      <w:pPr>
        <w:tabs>
          <w:tab w:val="num" w:pos="680"/>
        </w:tabs>
        <w:ind w:left="680" w:hanging="680"/>
      </w:pPr>
      <w:rPr>
        <w:rFonts w:ascii="Arial" w:hAnsi="Arial" w:hint="default"/>
        <w:b w:val="0"/>
        <w:bCs w:val="0"/>
        <w:i/>
        <w:iCs/>
        <w:sz w:val="24"/>
        <w:szCs w:val="24"/>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22">
    <w:nsid w:val="43FA0F12"/>
    <w:multiLevelType w:val="multilevel"/>
    <w:tmpl w:val="AECC557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nsid w:val="47CD52FB"/>
    <w:multiLevelType w:val="hybridMultilevel"/>
    <w:tmpl w:val="6A9683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47F2458A"/>
    <w:multiLevelType w:val="hybridMultilevel"/>
    <w:tmpl w:val="F1027EE4"/>
    <w:lvl w:ilvl="0" w:tplc="896EDB74">
      <w:start w:val="1"/>
      <w:numFmt w:val="bullet"/>
      <w:lvlText w:val=""/>
      <w:lvlJc w:val="left"/>
      <w:pPr>
        <w:tabs>
          <w:tab w:val="num" w:pos="680"/>
        </w:tabs>
        <w:ind w:left="680" w:hanging="39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8EA05C7"/>
    <w:multiLevelType w:val="multilevel"/>
    <w:tmpl w:val="3F667F7C"/>
    <w:lvl w:ilvl="0">
      <w:start w:val="1"/>
      <w:numFmt w:val="decimal"/>
      <w:lvlText w:val="%1"/>
      <w:lvlJc w:val="left"/>
      <w:pPr>
        <w:tabs>
          <w:tab w:val="num" w:pos="397"/>
        </w:tabs>
        <w:ind w:left="397" w:hanging="397"/>
      </w:pPr>
      <w:rPr>
        <w:rFonts w:ascii="Arial" w:hAnsi="Arial" w:hint="default"/>
        <w:b w:val="0"/>
        <w:bCs w:val="0"/>
        <w:i w:val="0"/>
        <w:iCs w:val="0"/>
        <w:color w:val="auto"/>
        <w:sz w:val="20"/>
        <w:szCs w:val="20"/>
      </w:rPr>
    </w:lvl>
    <w:lvl w:ilvl="1">
      <w:start w:val="1"/>
      <w:numFmt w:val="decimal"/>
      <w:lvlText w:val="%1.%2"/>
      <w:lvlJc w:val="left"/>
      <w:pPr>
        <w:tabs>
          <w:tab w:val="num" w:pos="680"/>
        </w:tabs>
        <w:ind w:left="0" w:firstLine="0"/>
      </w:pPr>
      <w:rPr>
        <w:rFonts w:ascii="Arial" w:hAnsi="Arial" w:hint="default"/>
        <w:b/>
        <w:bCs/>
        <w:i w:val="0"/>
        <w:iCs w:val="0"/>
        <w:sz w:val="28"/>
        <w:szCs w:val="28"/>
      </w:rPr>
    </w:lvl>
    <w:lvl w:ilvl="2">
      <w:start w:val="1"/>
      <w:numFmt w:val="lowerLetter"/>
      <w:lvlText w:val="(%3)"/>
      <w:lvlJc w:val="left"/>
      <w:pPr>
        <w:tabs>
          <w:tab w:val="num" w:pos="680"/>
        </w:tabs>
        <w:ind w:left="680" w:hanging="680"/>
      </w:pPr>
      <w:rPr>
        <w:rFonts w:ascii="Arial" w:hAnsi="Arial" w:hint="default"/>
        <w:b/>
        <w:bCs/>
        <w:i w:val="0"/>
        <w:iCs w:val="0"/>
        <w:sz w:val="24"/>
        <w:szCs w:val="24"/>
      </w:rPr>
    </w:lvl>
    <w:lvl w:ilvl="3">
      <w:start w:val="1"/>
      <w:numFmt w:val="lowerRoman"/>
      <w:lvlText w:val="(%4)"/>
      <w:lvlJc w:val="left"/>
      <w:pPr>
        <w:tabs>
          <w:tab w:val="num" w:pos="680"/>
        </w:tabs>
        <w:ind w:left="680" w:hanging="680"/>
      </w:pPr>
      <w:rPr>
        <w:rFonts w:ascii="Arial" w:hAnsi="Arial" w:hint="default"/>
        <w:b w:val="0"/>
        <w:bCs w:val="0"/>
        <w:i/>
        <w:iCs/>
        <w:sz w:val="24"/>
        <w:szCs w:val="24"/>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26">
    <w:nsid w:val="50E17F0C"/>
    <w:multiLevelType w:val="multilevel"/>
    <w:tmpl w:val="063A5FEE"/>
    <w:lvl w:ilvl="0">
      <w:start w:val="1"/>
      <w:numFmt w:val="decimal"/>
      <w:lvlText w:val="%1"/>
      <w:lvlJc w:val="left"/>
      <w:pPr>
        <w:tabs>
          <w:tab w:val="num" w:pos="720"/>
        </w:tabs>
        <w:ind w:left="0" w:firstLine="0"/>
      </w:pPr>
      <w:rPr>
        <w:rFonts w:ascii="Arial" w:hAnsi="Arial" w:hint="default"/>
        <w:b/>
        <w:bCs/>
        <w:i w:val="0"/>
        <w:iCs w:val="0"/>
        <w:sz w:val="36"/>
        <w:szCs w:val="36"/>
      </w:rPr>
    </w:lvl>
    <w:lvl w:ilvl="1">
      <w:start w:val="1"/>
      <w:numFmt w:val="decimal"/>
      <w:lvlText w:val="%1.%2"/>
      <w:lvlJc w:val="left"/>
      <w:pPr>
        <w:tabs>
          <w:tab w:val="num" w:pos="720"/>
        </w:tabs>
        <w:ind w:left="0" w:firstLine="0"/>
      </w:pPr>
      <w:rPr>
        <w:rFonts w:hint="default"/>
      </w:rPr>
    </w:lvl>
    <w:lvl w:ilvl="2">
      <w:start w:val="1"/>
      <w:numFmt w:val="lowerLetter"/>
      <w:lvlText w:val="(%3)"/>
      <w:lvlJc w:val="left"/>
      <w:pPr>
        <w:tabs>
          <w:tab w:val="num" w:pos="567"/>
        </w:tabs>
        <w:ind w:left="0" w:firstLine="0"/>
      </w:pPr>
      <w:rPr>
        <w:rFonts w:ascii="Arial" w:hAnsi="Arial" w:hint="default"/>
        <w:b/>
        <w:bCs/>
        <w:i w:val="0"/>
        <w:iCs w:val="0"/>
        <w:sz w:val="24"/>
        <w:szCs w:val="24"/>
      </w:rPr>
    </w:lvl>
    <w:lvl w:ilvl="3">
      <w:start w:val="1"/>
      <w:numFmt w:val="lowerRoman"/>
      <w:lvlText w:val="(%4)"/>
      <w:lvlJc w:val="left"/>
      <w:pPr>
        <w:tabs>
          <w:tab w:val="num" w:pos="567"/>
        </w:tabs>
        <w:ind w:left="0" w:firstLine="0"/>
      </w:pPr>
      <w:rPr>
        <w:rFonts w:ascii="Arial" w:hAnsi="Arial" w:hint="default"/>
        <w:b w:val="0"/>
        <w:bCs w:val="0"/>
        <w:i/>
        <w:iCs/>
        <w:sz w:val="24"/>
        <w:szCs w:val="24"/>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nsid w:val="51CA7B91"/>
    <w:multiLevelType w:val="multilevel"/>
    <w:tmpl w:val="35A2172A"/>
    <w:lvl w:ilvl="0">
      <w:start w:val="1"/>
      <w:numFmt w:val="decimal"/>
      <w:lvlText w:val="%1"/>
      <w:lvlJc w:val="left"/>
      <w:pPr>
        <w:tabs>
          <w:tab w:val="num" w:pos="720"/>
        </w:tabs>
        <w:ind w:left="0" w:firstLine="0"/>
      </w:pPr>
      <w:rPr>
        <w:rFonts w:ascii="Arial" w:hAnsi="Arial" w:hint="default"/>
        <w:b/>
        <w:bCs/>
        <w:i w:val="0"/>
        <w:iCs w:val="0"/>
        <w:sz w:val="36"/>
        <w:szCs w:val="36"/>
      </w:rPr>
    </w:lvl>
    <w:lvl w:ilvl="1">
      <w:start w:val="1"/>
      <w:numFmt w:val="decimal"/>
      <w:lvlText w:val="%1.%2"/>
      <w:lvlJc w:val="left"/>
      <w:pPr>
        <w:tabs>
          <w:tab w:val="num" w:pos="720"/>
        </w:tabs>
        <w:ind w:left="0" w:firstLine="0"/>
      </w:pPr>
      <w:rPr>
        <w:rFonts w:hint="default"/>
      </w:rPr>
    </w:lvl>
    <w:lvl w:ilvl="2">
      <w:start w:val="1"/>
      <w:numFmt w:val="lowerLetter"/>
      <w:lvlText w:val="(%3)"/>
      <w:lvlJc w:val="left"/>
      <w:pPr>
        <w:tabs>
          <w:tab w:val="num" w:pos="567"/>
        </w:tabs>
        <w:ind w:left="0" w:firstLine="0"/>
      </w:pPr>
      <w:rPr>
        <w:rFonts w:ascii="Arial" w:hAnsi="Arial" w:hint="default"/>
        <w:b/>
        <w:bCs/>
        <w:i w:val="0"/>
        <w:iCs w:val="0"/>
        <w:sz w:val="24"/>
        <w:szCs w:val="24"/>
      </w:rPr>
    </w:lvl>
    <w:lvl w:ilvl="3">
      <w:start w:val="1"/>
      <w:numFmt w:val="lowerRoman"/>
      <w:lvlText w:val="(%4)"/>
      <w:lvlJc w:val="left"/>
      <w:pPr>
        <w:tabs>
          <w:tab w:val="num" w:pos="567"/>
        </w:tabs>
        <w:ind w:left="0" w:firstLine="0"/>
      </w:pPr>
      <w:rPr>
        <w:rFonts w:ascii="Arial" w:hAnsi="Arial" w:hint="default"/>
        <w:b w:val="0"/>
        <w:bCs w:val="0"/>
        <w:i/>
        <w:iCs/>
        <w:sz w:val="24"/>
        <w:szCs w:val="24"/>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8">
    <w:nsid w:val="56C62647"/>
    <w:multiLevelType w:val="multilevel"/>
    <w:tmpl w:val="3F667F7C"/>
    <w:lvl w:ilvl="0">
      <w:start w:val="1"/>
      <w:numFmt w:val="decimal"/>
      <w:lvlText w:val="%1"/>
      <w:lvlJc w:val="left"/>
      <w:pPr>
        <w:tabs>
          <w:tab w:val="num" w:pos="397"/>
        </w:tabs>
        <w:ind w:left="397" w:hanging="397"/>
      </w:pPr>
      <w:rPr>
        <w:rFonts w:ascii="Arial" w:hAnsi="Arial" w:hint="default"/>
        <w:b w:val="0"/>
        <w:bCs w:val="0"/>
        <w:i w:val="0"/>
        <w:iCs w:val="0"/>
        <w:color w:val="auto"/>
        <w:sz w:val="20"/>
        <w:szCs w:val="20"/>
      </w:rPr>
    </w:lvl>
    <w:lvl w:ilvl="1">
      <w:start w:val="1"/>
      <w:numFmt w:val="decimal"/>
      <w:lvlText w:val="%1.%2"/>
      <w:lvlJc w:val="left"/>
      <w:pPr>
        <w:tabs>
          <w:tab w:val="num" w:pos="680"/>
        </w:tabs>
        <w:ind w:left="0" w:firstLine="0"/>
      </w:pPr>
      <w:rPr>
        <w:rFonts w:ascii="Arial" w:hAnsi="Arial" w:hint="default"/>
        <w:b/>
        <w:bCs/>
        <w:i w:val="0"/>
        <w:iCs w:val="0"/>
        <w:sz w:val="28"/>
        <w:szCs w:val="28"/>
      </w:rPr>
    </w:lvl>
    <w:lvl w:ilvl="2">
      <w:start w:val="1"/>
      <w:numFmt w:val="lowerLetter"/>
      <w:lvlText w:val="(%3)"/>
      <w:lvlJc w:val="left"/>
      <w:pPr>
        <w:tabs>
          <w:tab w:val="num" w:pos="680"/>
        </w:tabs>
        <w:ind w:left="680" w:hanging="680"/>
      </w:pPr>
      <w:rPr>
        <w:rFonts w:ascii="Arial" w:hAnsi="Arial" w:hint="default"/>
        <w:b/>
        <w:bCs/>
        <w:i w:val="0"/>
        <w:iCs w:val="0"/>
        <w:sz w:val="24"/>
        <w:szCs w:val="24"/>
      </w:rPr>
    </w:lvl>
    <w:lvl w:ilvl="3">
      <w:start w:val="1"/>
      <w:numFmt w:val="lowerRoman"/>
      <w:lvlText w:val="(%4)"/>
      <w:lvlJc w:val="left"/>
      <w:pPr>
        <w:tabs>
          <w:tab w:val="num" w:pos="680"/>
        </w:tabs>
        <w:ind w:left="680" w:hanging="680"/>
      </w:pPr>
      <w:rPr>
        <w:rFonts w:ascii="Arial" w:hAnsi="Arial" w:hint="default"/>
        <w:b w:val="0"/>
        <w:bCs w:val="0"/>
        <w:i/>
        <w:iCs/>
        <w:sz w:val="24"/>
        <w:szCs w:val="24"/>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29">
    <w:nsid w:val="5B8A1362"/>
    <w:multiLevelType w:val="multilevel"/>
    <w:tmpl w:val="3F667F7C"/>
    <w:lvl w:ilvl="0">
      <w:start w:val="1"/>
      <w:numFmt w:val="decimal"/>
      <w:lvlText w:val="%1"/>
      <w:lvlJc w:val="left"/>
      <w:pPr>
        <w:tabs>
          <w:tab w:val="num" w:pos="397"/>
        </w:tabs>
        <w:ind w:left="397" w:hanging="397"/>
      </w:pPr>
      <w:rPr>
        <w:rFonts w:ascii="Arial" w:hAnsi="Arial" w:hint="default"/>
        <w:b w:val="0"/>
        <w:bCs w:val="0"/>
        <w:i w:val="0"/>
        <w:iCs w:val="0"/>
        <w:color w:val="auto"/>
        <w:sz w:val="20"/>
        <w:szCs w:val="20"/>
      </w:rPr>
    </w:lvl>
    <w:lvl w:ilvl="1">
      <w:start w:val="1"/>
      <w:numFmt w:val="decimal"/>
      <w:lvlText w:val="%1.%2"/>
      <w:lvlJc w:val="left"/>
      <w:pPr>
        <w:tabs>
          <w:tab w:val="num" w:pos="680"/>
        </w:tabs>
        <w:ind w:left="0" w:firstLine="0"/>
      </w:pPr>
      <w:rPr>
        <w:rFonts w:ascii="Arial" w:hAnsi="Arial" w:hint="default"/>
        <w:b/>
        <w:bCs/>
        <w:i w:val="0"/>
        <w:iCs w:val="0"/>
        <w:sz w:val="28"/>
        <w:szCs w:val="28"/>
      </w:rPr>
    </w:lvl>
    <w:lvl w:ilvl="2">
      <w:start w:val="1"/>
      <w:numFmt w:val="lowerLetter"/>
      <w:lvlText w:val="(%3)"/>
      <w:lvlJc w:val="left"/>
      <w:pPr>
        <w:tabs>
          <w:tab w:val="num" w:pos="680"/>
        </w:tabs>
        <w:ind w:left="680" w:hanging="680"/>
      </w:pPr>
      <w:rPr>
        <w:rFonts w:ascii="Arial" w:hAnsi="Arial" w:hint="default"/>
        <w:b/>
        <w:bCs/>
        <w:i w:val="0"/>
        <w:iCs w:val="0"/>
        <w:sz w:val="24"/>
        <w:szCs w:val="24"/>
      </w:rPr>
    </w:lvl>
    <w:lvl w:ilvl="3">
      <w:start w:val="1"/>
      <w:numFmt w:val="lowerRoman"/>
      <w:lvlText w:val="(%4)"/>
      <w:lvlJc w:val="left"/>
      <w:pPr>
        <w:tabs>
          <w:tab w:val="num" w:pos="680"/>
        </w:tabs>
        <w:ind w:left="680" w:hanging="680"/>
      </w:pPr>
      <w:rPr>
        <w:rFonts w:ascii="Arial" w:hAnsi="Arial" w:hint="default"/>
        <w:b w:val="0"/>
        <w:bCs w:val="0"/>
        <w:i/>
        <w:iCs/>
        <w:sz w:val="24"/>
        <w:szCs w:val="24"/>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30">
    <w:nsid w:val="5C8479EA"/>
    <w:multiLevelType w:val="multilevel"/>
    <w:tmpl w:val="3F667F7C"/>
    <w:lvl w:ilvl="0">
      <w:start w:val="1"/>
      <w:numFmt w:val="decimal"/>
      <w:lvlText w:val="%1"/>
      <w:lvlJc w:val="left"/>
      <w:pPr>
        <w:tabs>
          <w:tab w:val="num" w:pos="397"/>
        </w:tabs>
        <w:ind w:left="397" w:hanging="397"/>
      </w:pPr>
      <w:rPr>
        <w:rFonts w:ascii="Arial" w:hAnsi="Arial" w:hint="default"/>
        <w:b w:val="0"/>
        <w:bCs w:val="0"/>
        <w:i w:val="0"/>
        <w:iCs w:val="0"/>
        <w:color w:val="auto"/>
        <w:sz w:val="20"/>
        <w:szCs w:val="20"/>
      </w:rPr>
    </w:lvl>
    <w:lvl w:ilvl="1">
      <w:start w:val="1"/>
      <w:numFmt w:val="decimal"/>
      <w:lvlText w:val="%1.%2"/>
      <w:lvlJc w:val="left"/>
      <w:pPr>
        <w:tabs>
          <w:tab w:val="num" w:pos="680"/>
        </w:tabs>
        <w:ind w:left="0" w:firstLine="0"/>
      </w:pPr>
      <w:rPr>
        <w:rFonts w:ascii="Arial" w:hAnsi="Arial" w:hint="default"/>
        <w:b/>
        <w:bCs/>
        <w:i w:val="0"/>
        <w:iCs w:val="0"/>
        <w:sz w:val="28"/>
        <w:szCs w:val="28"/>
      </w:rPr>
    </w:lvl>
    <w:lvl w:ilvl="2">
      <w:start w:val="1"/>
      <w:numFmt w:val="lowerLetter"/>
      <w:lvlText w:val="(%3)"/>
      <w:lvlJc w:val="left"/>
      <w:pPr>
        <w:tabs>
          <w:tab w:val="num" w:pos="680"/>
        </w:tabs>
        <w:ind w:left="680" w:hanging="680"/>
      </w:pPr>
      <w:rPr>
        <w:rFonts w:ascii="Arial" w:hAnsi="Arial" w:hint="default"/>
        <w:b/>
        <w:bCs/>
        <w:i w:val="0"/>
        <w:iCs w:val="0"/>
        <w:sz w:val="24"/>
        <w:szCs w:val="24"/>
      </w:rPr>
    </w:lvl>
    <w:lvl w:ilvl="3">
      <w:start w:val="1"/>
      <w:numFmt w:val="lowerRoman"/>
      <w:lvlText w:val="(%4)"/>
      <w:lvlJc w:val="left"/>
      <w:pPr>
        <w:tabs>
          <w:tab w:val="num" w:pos="680"/>
        </w:tabs>
        <w:ind w:left="680" w:hanging="680"/>
      </w:pPr>
      <w:rPr>
        <w:rFonts w:ascii="Arial" w:hAnsi="Arial" w:hint="default"/>
        <w:b w:val="0"/>
        <w:bCs w:val="0"/>
        <w:i/>
        <w:iCs/>
        <w:sz w:val="24"/>
        <w:szCs w:val="24"/>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31">
    <w:nsid w:val="5D2A59C2"/>
    <w:multiLevelType w:val="hybridMultilevel"/>
    <w:tmpl w:val="7C228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E8D09C2"/>
    <w:multiLevelType w:val="hybridMultilevel"/>
    <w:tmpl w:val="E7065AA4"/>
    <w:lvl w:ilvl="0" w:tplc="A080D462">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nsid w:val="608B6FD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nsid w:val="697F0C98"/>
    <w:multiLevelType w:val="hybridMultilevel"/>
    <w:tmpl w:val="BE1232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71E7711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nsid w:val="73AC6708"/>
    <w:multiLevelType w:val="multilevel"/>
    <w:tmpl w:val="3F667F7C"/>
    <w:lvl w:ilvl="0">
      <w:start w:val="1"/>
      <w:numFmt w:val="decimal"/>
      <w:lvlText w:val="%1"/>
      <w:lvlJc w:val="left"/>
      <w:pPr>
        <w:tabs>
          <w:tab w:val="num" w:pos="397"/>
        </w:tabs>
        <w:ind w:left="397" w:hanging="397"/>
      </w:pPr>
      <w:rPr>
        <w:rFonts w:ascii="Arial" w:hAnsi="Arial" w:hint="default"/>
        <w:b w:val="0"/>
        <w:bCs w:val="0"/>
        <w:i w:val="0"/>
        <w:iCs w:val="0"/>
        <w:color w:val="auto"/>
        <w:sz w:val="20"/>
        <w:szCs w:val="20"/>
      </w:rPr>
    </w:lvl>
    <w:lvl w:ilvl="1">
      <w:start w:val="1"/>
      <w:numFmt w:val="decimal"/>
      <w:lvlText w:val="%1.%2"/>
      <w:lvlJc w:val="left"/>
      <w:pPr>
        <w:tabs>
          <w:tab w:val="num" w:pos="680"/>
        </w:tabs>
        <w:ind w:left="0" w:firstLine="0"/>
      </w:pPr>
      <w:rPr>
        <w:rFonts w:ascii="Arial" w:hAnsi="Arial" w:hint="default"/>
        <w:b/>
        <w:bCs/>
        <w:i w:val="0"/>
        <w:iCs w:val="0"/>
        <w:sz w:val="28"/>
        <w:szCs w:val="28"/>
      </w:rPr>
    </w:lvl>
    <w:lvl w:ilvl="2">
      <w:start w:val="1"/>
      <w:numFmt w:val="lowerLetter"/>
      <w:lvlText w:val="(%3)"/>
      <w:lvlJc w:val="left"/>
      <w:pPr>
        <w:tabs>
          <w:tab w:val="num" w:pos="680"/>
        </w:tabs>
        <w:ind w:left="680" w:hanging="680"/>
      </w:pPr>
      <w:rPr>
        <w:rFonts w:ascii="Arial" w:hAnsi="Arial" w:hint="default"/>
        <w:b/>
        <w:bCs/>
        <w:i w:val="0"/>
        <w:iCs w:val="0"/>
        <w:sz w:val="24"/>
        <w:szCs w:val="24"/>
      </w:rPr>
    </w:lvl>
    <w:lvl w:ilvl="3">
      <w:start w:val="1"/>
      <w:numFmt w:val="lowerRoman"/>
      <w:lvlText w:val="(%4)"/>
      <w:lvlJc w:val="left"/>
      <w:pPr>
        <w:tabs>
          <w:tab w:val="num" w:pos="680"/>
        </w:tabs>
        <w:ind w:left="680" w:hanging="680"/>
      </w:pPr>
      <w:rPr>
        <w:rFonts w:ascii="Arial" w:hAnsi="Arial" w:hint="default"/>
        <w:b w:val="0"/>
        <w:bCs w:val="0"/>
        <w:i/>
        <w:iCs/>
        <w:sz w:val="24"/>
        <w:szCs w:val="24"/>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37">
    <w:nsid w:val="7B1B1D9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nsid w:val="7F181B5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nsid w:val="7F89071B"/>
    <w:multiLevelType w:val="hybridMultilevel"/>
    <w:tmpl w:val="AFE21B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6"/>
  </w:num>
  <w:num w:numId="2">
    <w:abstractNumId w:val="24"/>
  </w:num>
  <w:num w:numId="3">
    <w:abstractNumId w:val="4"/>
  </w:num>
  <w:num w:numId="4">
    <w:abstractNumId w:val="15"/>
  </w:num>
  <w:num w:numId="5">
    <w:abstractNumId w:val="11"/>
  </w:num>
  <w:num w:numId="6">
    <w:abstractNumId w:val="27"/>
  </w:num>
  <w:num w:numId="7">
    <w:abstractNumId w:val="3"/>
  </w:num>
  <w:num w:numId="8">
    <w:abstractNumId w:val="7"/>
  </w:num>
  <w:num w:numId="9">
    <w:abstractNumId w:val="0"/>
  </w:num>
  <w:num w:numId="10">
    <w:abstractNumId w:val="33"/>
  </w:num>
  <w:num w:numId="11">
    <w:abstractNumId w:val="23"/>
  </w:num>
  <w:num w:numId="12">
    <w:abstractNumId w:val="13"/>
  </w:num>
  <w:num w:numId="13">
    <w:abstractNumId w:val="6"/>
  </w:num>
  <w:num w:numId="14">
    <w:abstractNumId w:val="16"/>
  </w:num>
  <w:num w:numId="15">
    <w:abstractNumId w:val="39"/>
  </w:num>
  <w:num w:numId="16">
    <w:abstractNumId w:val="1"/>
  </w:num>
  <w:num w:numId="17">
    <w:abstractNumId w:val="34"/>
  </w:num>
  <w:num w:numId="18">
    <w:abstractNumId w:val="12"/>
  </w:num>
  <w:num w:numId="19">
    <w:abstractNumId w:val="5"/>
  </w:num>
  <w:num w:numId="20">
    <w:abstractNumId w:val="2"/>
  </w:num>
  <w:num w:numId="21">
    <w:abstractNumId w:val="22"/>
  </w:num>
  <w:num w:numId="22">
    <w:abstractNumId w:val="17"/>
  </w:num>
  <w:num w:numId="23">
    <w:abstractNumId w:val="31"/>
  </w:num>
  <w:num w:numId="24">
    <w:abstractNumId w:val="9"/>
  </w:num>
  <w:num w:numId="25">
    <w:abstractNumId w:val="32"/>
  </w:num>
  <w:num w:numId="26">
    <w:abstractNumId w:val="10"/>
  </w:num>
  <w:num w:numId="27">
    <w:abstractNumId w:val="14"/>
  </w:num>
  <w:num w:numId="28">
    <w:abstractNumId w:val="38"/>
  </w:num>
  <w:num w:numId="29">
    <w:abstractNumId w:val="26"/>
  </w:num>
  <w:num w:numId="30">
    <w:abstractNumId w:val="20"/>
  </w:num>
  <w:num w:numId="31">
    <w:abstractNumId w:val="25"/>
  </w:num>
  <w:num w:numId="32">
    <w:abstractNumId w:val="8"/>
  </w:num>
  <w:num w:numId="33">
    <w:abstractNumId w:val="35"/>
  </w:num>
  <w:num w:numId="34">
    <w:abstractNumId w:val="37"/>
  </w:num>
  <w:num w:numId="35">
    <w:abstractNumId w:val="29"/>
  </w:num>
  <w:num w:numId="36">
    <w:abstractNumId w:val="19"/>
  </w:num>
  <w:num w:numId="37">
    <w:abstractNumId w:val="21"/>
  </w:num>
  <w:num w:numId="38">
    <w:abstractNumId w:val="28"/>
  </w:num>
  <w:num w:numId="39">
    <w:abstractNumId w:val="30"/>
  </w:num>
  <w:num w:numId="40">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embedSystemFonts/>
  <w:hideSpellingError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6"/>
  <w:drawingGridVerticalSpacing w:val="6"/>
  <w:displayHorizontalDrawingGridEvery w:val="0"/>
  <w:displayVerticalDrawingGridEvery w:val="0"/>
  <w:doNotUseMarginsForDrawingGridOrigin/>
  <w:drawingGridVerticalOrigin w:val="1985"/>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3DC1"/>
    <w:rsid w:val="00014710"/>
    <w:rsid w:val="00027EF8"/>
    <w:rsid w:val="0003227F"/>
    <w:rsid w:val="00034C5E"/>
    <w:rsid w:val="00037DA8"/>
    <w:rsid w:val="000433C2"/>
    <w:rsid w:val="00054926"/>
    <w:rsid w:val="00084C18"/>
    <w:rsid w:val="00095F05"/>
    <w:rsid w:val="0009644E"/>
    <w:rsid w:val="000B3067"/>
    <w:rsid w:val="000E3DC1"/>
    <w:rsid w:val="000E7A39"/>
    <w:rsid w:val="00146770"/>
    <w:rsid w:val="00155A60"/>
    <w:rsid w:val="00165BD0"/>
    <w:rsid w:val="00167726"/>
    <w:rsid w:val="001A1EBA"/>
    <w:rsid w:val="001B7059"/>
    <w:rsid w:val="001E576B"/>
    <w:rsid w:val="001F3461"/>
    <w:rsid w:val="0020724C"/>
    <w:rsid w:val="00232D6D"/>
    <w:rsid w:val="00243ED7"/>
    <w:rsid w:val="002449E2"/>
    <w:rsid w:val="00252D90"/>
    <w:rsid w:val="00275025"/>
    <w:rsid w:val="00275140"/>
    <w:rsid w:val="002C6E0D"/>
    <w:rsid w:val="003062CF"/>
    <w:rsid w:val="003418E5"/>
    <w:rsid w:val="0034597C"/>
    <w:rsid w:val="00350BA1"/>
    <w:rsid w:val="003705D1"/>
    <w:rsid w:val="0037390D"/>
    <w:rsid w:val="0039341C"/>
    <w:rsid w:val="003B3FD3"/>
    <w:rsid w:val="003B7A1D"/>
    <w:rsid w:val="003D5035"/>
    <w:rsid w:val="003D61E8"/>
    <w:rsid w:val="003E0558"/>
    <w:rsid w:val="00402009"/>
    <w:rsid w:val="0040547E"/>
    <w:rsid w:val="00415667"/>
    <w:rsid w:val="00434834"/>
    <w:rsid w:val="00440B66"/>
    <w:rsid w:val="00442615"/>
    <w:rsid w:val="00457DBF"/>
    <w:rsid w:val="00491DA5"/>
    <w:rsid w:val="00497316"/>
    <w:rsid w:val="004A6EC1"/>
    <w:rsid w:val="004B2F40"/>
    <w:rsid w:val="004B3F35"/>
    <w:rsid w:val="004C31E4"/>
    <w:rsid w:val="004D06B7"/>
    <w:rsid w:val="005103C4"/>
    <w:rsid w:val="00513ECA"/>
    <w:rsid w:val="005500E6"/>
    <w:rsid w:val="00563A42"/>
    <w:rsid w:val="00565EF2"/>
    <w:rsid w:val="005943F8"/>
    <w:rsid w:val="005B2430"/>
    <w:rsid w:val="005D0A49"/>
    <w:rsid w:val="005E44F3"/>
    <w:rsid w:val="005E73A5"/>
    <w:rsid w:val="005F31C2"/>
    <w:rsid w:val="00633DA7"/>
    <w:rsid w:val="00640F27"/>
    <w:rsid w:val="00651527"/>
    <w:rsid w:val="00662AFF"/>
    <w:rsid w:val="00675561"/>
    <w:rsid w:val="00676AF8"/>
    <w:rsid w:val="00692111"/>
    <w:rsid w:val="006A7C7D"/>
    <w:rsid w:val="006D72DA"/>
    <w:rsid w:val="006E443A"/>
    <w:rsid w:val="0070543A"/>
    <w:rsid w:val="0071026C"/>
    <w:rsid w:val="00724BF0"/>
    <w:rsid w:val="00744410"/>
    <w:rsid w:val="007573DB"/>
    <w:rsid w:val="00763387"/>
    <w:rsid w:val="007660C8"/>
    <w:rsid w:val="00774452"/>
    <w:rsid w:val="007A0E3A"/>
    <w:rsid w:val="007B4954"/>
    <w:rsid w:val="007D7793"/>
    <w:rsid w:val="007E1FD7"/>
    <w:rsid w:val="007E205C"/>
    <w:rsid w:val="00800732"/>
    <w:rsid w:val="00816522"/>
    <w:rsid w:val="00833542"/>
    <w:rsid w:val="00842896"/>
    <w:rsid w:val="00846A49"/>
    <w:rsid w:val="008643C2"/>
    <w:rsid w:val="00875B9B"/>
    <w:rsid w:val="0088757B"/>
    <w:rsid w:val="00891073"/>
    <w:rsid w:val="00891A5E"/>
    <w:rsid w:val="00891E89"/>
    <w:rsid w:val="00895D0B"/>
    <w:rsid w:val="008A1BA1"/>
    <w:rsid w:val="008B4D28"/>
    <w:rsid w:val="008D2E0B"/>
    <w:rsid w:val="008D79D6"/>
    <w:rsid w:val="008E3985"/>
    <w:rsid w:val="00900EC9"/>
    <w:rsid w:val="009037B0"/>
    <w:rsid w:val="00912998"/>
    <w:rsid w:val="00970456"/>
    <w:rsid w:val="0097780D"/>
    <w:rsid w:val="009B49AF"/>
    <w:rsid w:val="009E282E"/>
    <w:rsid w:val="009F3D05"/>
    <w:rsid w:val="009F42AD"/>
    <w:rsid w:val="00A22878"/>
    <w:rsid w:val="00A232E4"/>
    <w:rsid w:val="00A43AB6"/>
    <w:rsid w:val="00A43AE1"/>
    <w:rsid w:val="00A44514"/>
    <w:rsid w:val="00A47107"/>
    <w:rsid w:val="00A52110"/>
    <w:rsid w:val="00A5374D"/>
    <w:rsid w:val="00A77E7B"/>
    <w:rsid w:val="00A93A26"/>
    <w:rsid w:val="00AA498B"/>
    <w:rsid w:val="00AD328B"/>
    <w:rsid w:val="00AE3321"/>
    <w:rsid w:val="00AE5CFC"/>
    <w:rsid w:val="00B03154"/>
    <w:rsid w:val="00B05C51"/>
    <w:rsid w:val="00B66FDE"/>
    <w:rsid w:val="00B7591A"/>
    <w:rsid w:val="00B9369D"/>
    <w:rsid w:val="00B971F2"/>
    <w:rsid w:val="00BB0E8F"/>
    <w:rsid w:val="00BC569C"/>
    <w:rsid w:val="00C157A7"/>
    <w:rsid w:val="00C17F32"/>
    <w:rsid w:val="00C53A1D"/>
    <w:rsid w:val="00C650C0"/>
    <w:rsid w:val="00C72ACE"/>
    <w:rsid w:val="00C9166F"/>
    <w:rsid w:val="00C95492"/>
    <w:rsid w:val="00CA7116"/>
    <w:rsid w:val="00CC2847"/>
    <w:rsid w:val="00CD79B0"/>
    <w:rsid w:val="00D13A67"/>
    <w:rsid w:val="00D34895"/>
    <w:rsid w:val="00D44C18"/>
    <w:rsid w:val="00D46946"/>
    <w:rsid w:val="00D50C8E"/>
    <w:rsid w:val="00D61731"/>
    <w:rsid w:val="00D6621A"/>
    <w:rsid w:val="00D678E3"/>
    <w:rsid w:val="00D82B60"/>
    <w:rsid w:val="00DA0288"/>
    <w:rsid w:val="00DB1EBA"/>
    <w:rsid w:val="00DB4E90"/>
    <w:rsid w:val="00DC3F2B"/>
    <w:rsid w:val="00DD1149"/>
    <w:rsid w:val="00E25CEE"/>
    <w:rsid w:val="00E45C1D"/>
    <w:rsid w:val="00E46837"/>
    <w:rsid w:val="00E521A5"/>
    <w:rsid w:val="00E628AD"/>
    <w:rsid w:val="00EA41DB"/>
    <w:rsid w:val="00EB00AD"/>
    <w:rsid w:val="00EC3802"/>
    <w:rsid w:val="00EC4340"/>
    <w:rsid w:val="00F107F0"/>
    <w:rsid w:val="00F3443D"/>
    <w:rsid w:val="00F40B1A"/>
    <w:rsid w:val="00F4293A"/>
    <w:rsid w:val="00F4339F"/>
    <w:rsid w:val="00F57E16"/>
    <w:rsid w:val="00F801A4"/>
    <w:rsid w:val="00F87B03"/>
    <w:rsid w:val="00FA456C"/>
    <w:rsid w:val="00FC67CA"/>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0D553B7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qFormat="1"/>
    <w:lsdException w:name="page number" w:uiPriority="0"/>
    <w:lsdException w:name="endnote reference" w:qFormat="1"/>
    <w:lsdException w:name="endnote text"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5667"/>
    <w:pPr>
      <w:spacing w:after="200" w:line="288" w:lineRule="auto"/>
    </w:pPr>
    <w:rPr>
      <w:rFonts w:ascii="Arial" w:hAnsi="Arial"/>
      <w:sz w:val="24"/>
      <w:szCs w:val="24"/>
      <w:lang w:val="it-IT" w:eastAsia="en-US"/>
    </w:rPr>
  </w:style>
  <w:style w:type="paragraph" w:styleId="Heading1">
    <w:name w:val="heading 1"/>
    <w:basedOn w:val="Normal"/>
    <w:next w:val="Normal"/>
    <w:link w:val="Heading1Char"/>
    <w:autoRedefine/>
    <w:uiPriority w:val="9"/>
    <w:qFormat/>
    <w:rsid w:val="004B3F35"/>
    <w:pPr>
      <w:keepNext/>
      <w:keepLines/>
      <w:numPr>
        <w:numId w:val="30"/>
      </w:numPr>
      <w:spacing w:before="400" w:line="240" w:lineRule="auto"/>
      <w:ind w:left="720" w:hanging="720"/>
      <w:outlineLvl w:val="0"/>
    </w:pPr>
    <w:rPr>
      <w:rFonts w:eastAsiaTheme="majorEastAsia" w:cstheme="majorBidi"/>
      <w:b/>
      <w:bCs/>
      <w:sz w:val="36"/>
      <w:szCs w:val="32"/>
    </w:rPr>
  </w:style>
  <w:style w:type="paragraph" w:styleId="Heading2">
    <w:name w:val="heading 2"/>
    <w:next w:val="Normal"/>
    <w:link w:val="Heading2Char"/>
    <w:uiPriority w:val="9"/>
    <w:unhideWhenUsed/>
    <w:qFormat/>
    <w:rsid w:val="004B2F40"/>
    <w:pPr>
      <w:keepNext/>
      <w:keepLines/>
      <w:numPr>
        <w:ilvl w:val="1"/>
        <w:numId w:val="30"/>
      </w:numPr>
      <w:spacing w:before="400" w:after="200"/>
      <w:ind w:left="720" w:hanging="720"/>
      <w:outlineLvl w:val="1"/>
    </w:pPr>
    <w:rPr>
      <w:rFonts w:ascii="Arial" w:eastAsiaTheme="majorEastAsia" w:hAnsi="Arial" w:cstheme="majorBidi"/>
      <w:b/>
      <w:bCs/>
      <w:sz w:val="28"/>
      <w:szCs w:val="26"/>
      <w:lang w:eastAsia="en-US"/>
    </w:rPr>
  </w:style>
  <w:style w:type="paragraph" w:styleId="Heading3">
    <w:name w:val="heading 3"/>
    <w:basedOn w:val="Normal"/>
    <w:next w:val="Normal"/>
    <w:link w:val="Heading3Char"/>
    <w:uiPriority w:val="9"/>
    <w:unhideWhenUsed/>
    <w:qFormat/>
    <w:rsid w:val="00F57E16"/>
    <w:pPr>
      <w:keepNext/>
      <w:keepLines/>
      <w:numPr>
        <w:ilvl w:val="2"/>
        <w:numId w:val="30"/>
      </w:numPr>
      <w:tabs>
        <w:tab w:val="clear" w:pos="567"/>
        <w:tab w:val="left" w:pos="720"/>
      </w:tabs>
      <w:spacing w:before="400"/>
      <w:ind w:left="720" w:hanging="720"/>
      <w:outlineLvl w:val="2"/>
    </w:pPr>
    <w:rPr>
      <w:rFonts w:eastAsiaTheme="majorEastAsia" w:cstheme="majorBidi"/>
      <w:b/>
      <w:bCs/>
    </w:rPr>
  </w:style>
  <w:style w:type="paragraph" w:styleId="Heading4">
    <w:name w:val="heading 4"/>
    <w:next w:val="Normal"/>
    <w:link w:val="Heading4Char"/>
    <w:uiPriority w:val="9"/>
    <w:unhideWhenUsed/>
    <w:qFormat/>
    <w:rsid w:val="006D72DA"/>
    <w:pPr>
      <w:keepNext/>
      <w:numPr>
        <w:ilvl w:val="3"/>
        <w:numId w:val="30"/>
      </w:numPr>
      <w:spacing w:before="300" w:after="200"/>
      <w:outlineLvl w:val="3"/>
    </w:pPr>
    <w:rPr>
      <w:rFonts w:ascii="Arial" w:eastAsiaTheme="majorEastAsia" w:hAnsi="Arial" w:cstheme="majorBidi"/>
      <w:bCs/>
      <w:i/>
      <w:iCs/>
      <w:sz w:val="24"/>
      <w:lang w:eastAsia="en-US"/>
    </w:rPr>
  </w:style>
  <w:style w:type="paragraph" w:styleId="Heading5">
    <w:name w:val="heading 5"/>
    <w:basedOn w:val="Normal"/>
    <w:next w:val="Normal"/>
    <w:link w:val="Heading5Char"/>
    <w:uiPriority w:val="9"/>
    <w:unhideWhenUsed/>
    <w:qFormat/>
    <w:rsid w:val="006D72DA"/>
    <w:pPr>
      <w:keepNext/>
      <w:keepLines/>
      <w:spacing w:before="300" w:line="240" w:lineRule="auto"/>
      <w:outlineLvl w:val="4"/>
    </w:pPr>
    <w:rPr>
      <w:rFonts w:eastAsiaTheme="majorEastAsia" w:cstheme="majorBidi"/>
      <w:b/>
    </w:rPr>
  </w:style>
  <w:style w:type="paragraph" w:styleId="Heading6">
    <w:name w:val="heading 6"/>
    <w:basedOn w:val="Normal"/>
    <w:next w:val="Normal"/>
    <w:link w:val="Heading6Char"/>
    <w:uiPriority w:val="9"/>
    <w:unhideWhenUsed/>
    <w:rsid w:val="006D72DA"/>
    <w:pPr>
      <w:keepNext/>
      <w:keepLines/>
      <w:spacing w:before="400"/>
      <w:outlineLvl w:val="5"/>
    </w:pPr>
    <w:rPr>
      <w:rFonts w:eastAsiaTheme="majorEastAsia" w:cstheme="majorBidi"/>
      <w:i/>
      <w:iCs/>
    </w:rPr>
  </w:style>
  <w:style w:type="paragraph" w:styleId="Heading7">
    <w:name w:val="heading 7"/>
    <w:basedOn w:val="Normal"/>
    <w:next w:val="Normal"/>
    <w:link w:val="Heading7Char"/>
    <w:uiPriority w:val="9"/>
    <w:semiHidden/>
    <w:unhideWhenUsed/>
    <w:rsid w:val="006D72DA"/>
    <w:pPr>
      <w:keepNext/>
      <w:keepLines/>
      <w:spacing w:before="300" w:line="240" w:lineRule="auto"/>
      <w:outlineLvl w:val="6"/>
    </w:pPr>
    <w:rPr>
      <w:rFonts w:eastAsiaTheme="majorEastAsia" w:cstheme="majorBidi"/>
      <w:b/>
      <w:i/>
      <w:iCs/>
      <w:color w:val="404040" w:themeColor="text1" w:themeTint="BF"/>
    </w:rPr>
  </w:style>
  <w:style w:type="paragraph" w:styleId="Heading8">
    <w:name w:val="heading 8"/>
    <w:basedOn w:val="Normal"/>
    <w:next w:val="Normal"/>
    <w:link w:val="Heading8Char"/>
    <w:uiPriority w:val="9"/>
    <w:unhideWhenUsed/>
    <w:rsid w:val="006D72DA"/>
    <w:pPr>
      <w:keepNext/>
      <w:keepLines/>
      <w:spacing w:before="400" w:line="240" w:lineRule="auto"/>
      <w:outlineLvl w:val="7"/>
    </w:pPr>
    <w:rPr>
      <w:rFonts w:eastAsiaTheme="majorEastAsia" w:cstheme="majorBidi"/>
      <w:b/>
      <w:sz w:val="36"/>
      <w:szCs w:val="20"/>
    </w:rPr>
  </w:style>
  <w:style w:type="paragraph" w:styleId="Heading9">
    <w:name w:val="heading 9"/>
    <w:basedOn w:val="Normal"/>
    <w:next w:val="Normal"/>
    <w:link w:val="Heading9Char"/>
    <w:uiPriority w:val="9"/>
    <w:unhideWhenUsed/>
    <w:rsid w:val="006D72DA"/>
    <w:pPr>
      <w:keepNext/>
      <w:keepLines/>
      <w:spacing w:before="400" w:line="240" w:lineRule="auto"/>
      <w:outlineLvl w:val="8"/>
    </w:pPr>
    <w:rPr>
      <w:rFonts w:eastAsiaTheme="majorEastAsia" w:cstheme="majorBidi"/>
      <w:b/>
      <w:i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3F35"/>
    <w:rPr>
      <w:rFonts w:ascii="Arial" w:eastAsiaTheme="majorEastAsia" w:hAnsi="Arial" w:cstheme="majorBidi"/>
      <w:b/>
      <w:bCs/>
      <w:sz w:val="36"/>
      <w:szCs w:val="32"/>
      <w:lang w:val="it-IT" w:eastAsia="en-US"/>
    </w:rPr>
  </w:style>
  <w:style w:type="character" w:customStyle="1" w:styleId="Heading2Char">
    <w:name w:val="Heading 2 Char"/>
    <w:basedOn w:val="DefaultParagraphFont"/>
    <w:link w:val="Heading2"/>
    <w:uiPriority w:val="9"/>
    <w:rsid w:val="004B2F40"/>
    <w:rPr>
      <w:rFonts w:ascii="Arial" w:eastAsiaTheme="majorEastAsia" w:hAnsi="Arial" w:cstheme="majorBidi"/>
      <w:b/>
      <w:bCs/>
      <w:sz w:val="28"/>
      <w:szCs w:val="26"/>
      <w:lang w:eastAsia="en-US"/>
    </w:rPr>
  </w:style>
  <w:style w:type="character" w:customStyle="1" w:styleId="Heading3Char">
    <w:name w:val="Heading 3 Char"/>
    <w:basedOn w:val="DefaultParagraphFont"/>
    <w:link w:val="Heading3"/>
    <w:uiPriority w:val="9"/>
    <w:rsid w:val="00F57E16"/>
    <w:rPr>
      <w:rFonts w:ascii="Arial" w:eastAsiaTheme="majorEastAsia" w:hAnsi="Arial" w:cstheme="majorBidi"/>
      <w:b/>
      <w:bCs/>
      <w:sz w:val="24"/>
      <w:szCs w:val="24"/>
      <w:lang w:val="it-IT" w:eastAsia="en-US"/>
    </w:rPr>
  </w:style>
  <w:style w:type="character" w:customStyle="1" w:styleId="Heading4Char">
    <w:name w:val="Heading 4 Char"/>
    <w:basedOn w:val="DefaultParagraphFont"/>
    <w:link w:val="Heading4"/>
    <w:uiPriority w:val="9"/>
    <w:rsid w:val="006D72DA"/>
    <w:rPr>
      <w:rFonts w:ascii="Arial" w:eastAsiaTheme="majorEastAsia" w:hAnsi="Arial" w:cstheme="majorBidi"/>
      <w:bCs/>
      <w:i/>
      <w:iCs/>
      <w:sz w:val="24"/>
      <w:lang w:eastAsia="en-US"/>
    </w:rPr>
  </w:style>
  <w:style w:type="character" w:customStyle="1" w:styleId="Heading5Char">
    <w:name w:val="Heading 5 Char"/>
    <w:basedOn w:val="DefaultParagraphFont"/>
    <w:link w:val="Heading5"/>
    <w:uiPriority w:val="9"/>
    <w:rsid w:val="000E7A39"/>
    <w:rPr>
      <w:rFonts w:ascii="Arial" w:eastAsiaTheme="majorEastAsia" w:hAnsi="Arial" w:cstheme="majorBidi"/>
      <w:b/>
      <w:sz w:val="24"/>
      <w:szCs w:val="24"/>
      <w:lang w:val="it-IT" w:eastAsia="en-US"/>
    </w:rPr>
  </w:style>
  <w:style w:type="character" w:customStyle="1" w:styleId="Heading6Char">
    <w:name w:val="Heading 6 Char"/>
    <w:basedOn w:val="DefaultParagraphFont"/>
    <w:link w:val="Heading6"/>
    <w:uiPriority w:val="9"/>
    <w:rsid w:val="000E7A39"/>
    <w:rPr>
      <w:rFonts w:ascii="Arial" w:eastAsiaTheme="majorEastAsia" w:hAnsi="Arial" w:cstheme="majorBidi"/>
      <w:i/>
      <w:iCs/>
      <w:sz w:val="24"/>
      <w:szCs w:val="24"/>
      <w:lang w:val="it-IT" w:eastAsia="en-US"/>
    </w:rPr>
  </w:style>
  <w:style w:type="character" w:customStyle="1" w:styleId="Heading7Char">
    <w:name w:val="Heading 7 Char"/>
    <w:basedOn w:val="DefaultParagraphFont"/>
    <w:link w:val="Heading7"/>
    <w:uiPriority w:val="9"/>
    <w:semiHidden/>
    <w:rsid w:val="006D72DA"/>
    <w:rPr>
      <w:rFonts w:ascii="Arial" w:eastAsiaTheme="majorEastAsia" w:hAnsi="Arial" w:cstheme="majorBidi"/>
      <w:b/>
      <w:i/>
      <w:iCs/>
      <w:color w:val="404040" w:themeColor="text1" w:themeTint="BF"/>
      <w:sz w:val="24"/>
      <w:szCs w:val="24"/>
      <w:lang w:val="it-IT" w:eastAsia="en-US"/>
    </w:rPr>
  </w:style>
  <w:style w:type="character" w:customStyle="1" w:styleId="Heading8Char">
    <w:name w:val="Heading 8 Char"/>
    <w:basedOn w:val="DefaultParagraphFont"/>
    <w:link w:val="Heading8"/>
    <w:uiPriority w:val="9"/>
    <w:rsid w:val="006D72DA"/>
    <w:rPr>
      <w:rFonts w:ascii="Arial" w:eastAsiaTheme="majorEastAsia" w:hAnsi="Arial" w:cstheme="majorBidi"/>
      <w:b/>
      <w:sz w:val="36"/>
      <w:lang w:val="it-IT" w:eastAsia="en-US"/>
    </w:rPr>
  </w:style>
  <w:style w:type="character" w:customStyle="1" w:styleId="Heading9Char">
    <w:name w:val="Heading 9 Char"/>
    <w:basedOn w:val="DefaultParagraphFont"/>
    <w:link w:val="Heading9"/>
    <w:uiPriority w:val="9"/>
    <w:rsid w:val="006D72DA"/>
    <w:rPr>
      <w:rFonts w:ascii="Arial" w:eastAsiaTheme="majorEastAsia" w:hAnsi="Arial" w:cstheme="majorBidi"/>
      <w:b/>
      <w:iCs/>
      <w:sz w:val="28"/>
      <w:lang w:val="it-IT" w:eastAsia="en-US"/>
    </w:rPr>
  </w:style>
  <w:style w:type="character" w:styleId="FootnoteReference">
    <w:name w:val="footnote reference"/>
    <w:semiHidden/>
    <w:qFormat/>
    <w:rsid w:val="00B7591A"/>
    <w:rPr>
      <w:rFonts w:ascii="Arial" w:hAnsi="Arial"/>
      <w:sz w:val="20"/>
      <w:vertAlign w:val="superscript"/>
    </w:rPr>
  </w:style>
  <w:style w:type="character" w:styleId="Emphasis">
    <w:name w:val="Emphasis"/>
    <w:basedOn w:val="DefaultParagraphFont"/>
    <w:uiPriority w:val="99"/>
    <w:qFormat/>
    <w:rsid w:val="00900EC9"/>
    <w:rPr>
      <w:rFonts w:ascii="Arial" w:hAnsi="Arial"/>
      <w:i/>
      <w:iCs/>
    </w:rPr>
  </w:style>
  <w:style w:type="character" w:styleId="EndnoteReference">
    <w:name w:val="endnote reference"/>
    <w:basedOn w:val="DefaultParagraphFont"/>
    <w:uiPriority w:val="99"/>
    <w:unhideWhenUsed/>
    <w:rsid w:val="00900EC9"/>
    <w:rPr>
      <w:rFonts w:ascii="Arial" w:hAnsi="Arial"/>
      <w:vertAlign w:val="superscript"/>
    </w:rPr>
  </w:style>
  <w:style w:type="paragraph" w:styleId="EndnoteText">
    <w:name w:val="endnote text"/>
    <w:basedOn w:val="Normal"/>
    <w:link w:val="EndnoteTextChar"/>
    <w:uiPriority w:val="99"/>
    <w:unhideWhenUsed/>
    <w:rsid w:val="00833542"/>
    <w:pPr>
      <w:keepLines/>
      <w:tabs>
        <w:tab w:val="num" w:pos="567"/>
      </w:tabs>
      <w:spacing w:after="0" w:line="240" w:lineRule="auto"/>
      <w:ind w:left="720" w:hanging="720"/>
    </w:pPr>
    <w:rPr>
      <w:sz w:val="20"/>
    </w:rPr>
  </w:style>
  <w:style w:type="character" w:customStyle="1" w:styleId="EndnoteTextChar">
    <w:name w:val="Endnote Text Char"/>
    <w:basedOn w:val="DefaultParagraphFont"/>
    <w:link w:val="EndnoteText"/>
    <w:uiPriority w:val="99"/>
    <w:rsid w:val="00833542"/>
    <w:rPr>
      <w:rFonts w:ascii="Arial" w:hAnsi="Arial"/>
      <w:szCs w:val="24"/>
      <w:lang w:val="it-IT" w:eastAsia="en-US"/>
    </w:rPr>
  </w:style>
  <w:style w:type="character" w:styleId="FollowedHyperlink">
    <w:name w:val="FollowedHyperlink"/>
    <w:basedOn w:val="DefaultParagraphFont"/>
    <w:uiPriority w:val="99"/>
    <w:unhideWhenUsed/>
    <w:rsid w:val="00900EC9"/>
    <w:rPr>
      <w:rFonts w:ascii="Arial" w:hAnsi="Arial"/>
      <w:color w:val="800080" w:themeColor="followedHyperlink"/>
      <w:u w:val="single"/>
    </w:rPr>
  </w:style>
  <w:style w:type="paragraph" w:styleId="Footer">
    <w:name w:val="footer"/>
    <w:basedOn w:val="Normal"/>
    <w:next w:val="Normal"/>
    <w:link w:val="FooterChar"/>
    <w:uiPriority w:val="99"/>
    <w:unhideWhenUsed/>
    <w:rsid w:val="00900EC9"/>
    <w:pPr>
      <w:keepLines/>
      <w:tabs>
        <w:tab w:val="center" w:pos="4320"/>
        <w:tab w:val="right" w:pos="8640"/>
      </w:tabs>
      <w:spacing w:after="0" w:line="240" w:lineRule="auto"/>
    </w:pPr>
    <w:rPr>
      <w:b/>
      <w:sz w:val="18"/>
    </w:rPr>
  </w:style>
  <w:style w:type="character" w:customStyle="1" w:styleId="FooterChar">
    <w:name w:val="Footer Char"/>
    <w:basedOn w:val="DefaultParagraphFont"/>
    <w:link w:val="Footer"/>
    <w:uiPriority w:val="99"/>
    <w:rsid w:val="00900EC9"/>
    <w:rPr>
      <w:rFonts w:ascii="Arial" w:hAnsi="Arial"/>
      <w:b/>
      <w:sz w:val="18"/>
      <w:szCs w:val="24"/>
      <w:lang w:eastAsia="en-US"/>
    </w:rPr>
  </w:style>
  <w:style w:type="paragraph" w:styleId="FootnoteText">
    <w:name w:val="footnote text"/>
    <w:link w:val="FootnoteTextChar"/>
    <w:autoRedefine/>
    <w:uiPriority w:val="99"/>
    <w:qFormat/>
    <w:rsid w:val="00B7591A"/>
    <w:pPr>
      <w:ind w:left="397" w:hanging="397"/>
    </w:pPr>
    <w:rPr>
      <w:rFonts w:ascii="Arial" w:eastAsia="MS Mincho" w:hAnsi="Arial"/>
    </w:rPr>
  </w:style>
  <w:style w:type="character" w:customStyle="1" w:styleId="FootnoteTextChar">
    <w:name w:val="Footnote Text Char"/>
    <w:link w:val="FootnoteText"/>
    <w:uiPriority w:val="99"/>
    <w:rsid w:val="00B7591A"/>
    <w:rPr>
      <w:rFonts w:ascii="Arial" w:eastAsia="MS Mincho" w:hAnsi="Arial"/>
    </w:rPr>
  </w:style>
  <w:style w:type="paragraph" w:styleId="ListParagraph">
    <w:name w:val="List Paragraph"/>
    <w:basedOn w:val="Normal"/>
    <w:uiPriority w:val="34"/>
    <w:qFormat/>
    <w:rsid w:val="006D72DA"/>
    <w:pPr>
      <w:keepLines/>
      <w:ind w:left="720" w:hanging="720"/>
    </w:pPr>
  </w:style>
  <w:style w:type="paragraph" w:styleId="NormalIndent">
    <w:name w:val="Normal Indent"/>
    <w:basedOn w:val="Normal"/>
    <w:uiPriority w:val="99"/>
    <w:semiHidden/>
    <w:unhideWhenUsed/>
    <w:rsid w:val="00B7591A"/>
    <w:pPr>
      <w:ind w:left="680"/>
    </w:pPr>
  </w:style>
  <w:style w:type="character" w:styleId="PageNumber">
    <w:name w:val="page number"/>
    <w:basedOn w:val="DefaultParagraphFont"/>
    <w:semiHidden/>
    <w:rsid w:val="00B7591A"/>
    <w:rPr>
      <w:rFonts w:ascii="Arial" w:hAnsi="Arial"/>
      <w:sz w:val="20"/>
    </w:rPr>
  </w:style>
  <w:style w:type="paragraph" w:styleId="Quote">
    <w:name w:val="Quote"/>
    <w:basedOn w:val="Normal"/>
    <w:next w:val="Normal"/>
    <w:link w:val="QuoteChar"/>
    <w:uiPriority w:val="99"/>
    <w:rsid w:val="0040547E"/>
    <w:pPr>
      <w:keepLines/>
      <w:ind w:left="1247"/>
    </w:pPr>
    <w:rPr>
      <w:iCs/>
      <w:color w:val="000000" w:themeColor="text1"/>
    </w:rPr>
  </w:style>
  <w:style w:type="character" w:customStyle="1" w:styleId="QuoteChar">
    <w:name w:val="Quote Char"/>
    <w:basedOn w:val="DefaultParagraphFont"/>
    <w:link w:val="Quote"/>
    <w:uiPriority w:val="99"/>
    <w:rsid w:val="0040547E"/>
    <w:rPr>
      <w:rFonts w:ascii="Arial" w:hAnsi="Arial"/>
      <w:iCs/>
      <w:color w:val="000000" w:themeColor="text1"/>
      <w:sz w:val="24"/>
      <w:szCs w:val="24"/>
      <w:lang w:val="it-IT" w:eastAsia="en-US"/>
    </w:rPr>
  </w:style>
  <w:style w:type="character" w:styleId="Strong">
    <w:name w:val="Strong"/>
    <w:basedOn w:val="DefaultParagraphFont"/>
    <w:uiPriority w:val="99"/>
    <w:qFormat/>
    <w:rsid w:val="00900EC9"/>
    <w:rPr>
      <w:rFonts w:ascii="Arial" w:hAnsi="Arial"/>
      <w:b/>
      <w:bCs/>
      <w:i w:val="0"/>
      <w:color w:val="auto"/>
    </w:rPr>
  </w:style>
  <w:style w:type="table" w:customStyle="1" w:styleId="TableNormal10ptArial">
    <w:name w:val="Table Normal 10pt Arial"/>
    <w:basedOn w:val="TableNormal"/>
    <w:uiPriority w:val="99"/>
    <w:rsid w:val="00B7591A"/>
    <w:rPr>
      <w:rFonts w:ascii="Arial" w:hAnsi="Arial"/>
    </w:rPr>
    <w:tblPr>
      <w:tblInd w:w="0" w:type="dxa"/>
      <w:tblCellMar>
        <w:top w:w="0" w:type="dxa"/>
        <w:left w:w="108" w:type="dxa"/>
        <w:bottom w:w="0" w:type="dxa"/>
        <w:right w:w="108" w:type="dxa"/>
      </w:tblCellMar>
    </w:tblPr>
  </w:style>
  <w:style w:type="character" w:styleId="Hyperlink">
    <w:name w:val="Hyperlink"/>
    <w:uiPriority w:val="99"/>
    <w:unhideWhenUsed/>
    <w:rsid w:val="00900EC9"/>
    <w:rPr>
      <w:rFonts w:ascii="Arial" w:hAnsi="Arial"/>
      <w:color w:val="548DD4" w:themeColor="text2" w:themeTint="99"/>
      <w:u w:val="none"/>
    </w:rPr>
  </w:style>
  <w:style w:type="character" w:styleId="IntenseEmphasis">
    <w:name w:val="Intense Emphasis"/>
    <w:basedOn w:val="DefaultParagraphFont"/>
    <w:uiPriority w:val="21"/>
    <w:rsid w:val="00900EC9"/>
    <w:rPr>
      <w:rFonts w:ascii="Arial" w:hAnsi="Arial"/>
      <w:b/>
      <w:bCs/>
      <w:i/>
      <w:iCs/>
      <w:color w:val="auto"/>
    </w:rPr>
  </w:style>
  <w:style w:type="paragraph" w:customStyle="1" w:styleId="CopyrightText">
    <w:name w:val="Copyright Text"/>
    <w:basedOn w:val="Normal"/>
    <w:uiPriority w:val="99"/>
    <w:rsid w:val="00900EC9"/>
    <w:pPr>
      <w:widowControl w:val="0"/>
      <w:tabs>
        <w:tab w:val="left" w:pos="170"/>
      </w:tabs>
      <w:suppressAutoHyphens/>
      <w:autoSpaceDE w:val="0"/>
      <w:autoSpaceDN w:val="0"/>
      <w:adjustRightInd w:val="0"/>
      <w:spacing w:after="57"/>
      <w:textAlignment w:val="center"/>
    </w:pPr>
    <w:rPr>
      <w:rFonts w:cs="HelveticaCYPlain"/>
      <w:sz w:val="20"/>
      <w:szCs w:val="16"/>
      <w:u w:color="000000"/>
      <w:lang w:eastAsia="en-AU"/>
    </w:rPr>
  </w:style>
  <w:style w:type="paragraph" w:styleId="Header">
    <w:name w:val="header"/>
    <w:basedOn w:val="Normal"/>
    <w:next w:val="Normal"/>
    <w:link w:val="HeaderChar"/>
    <w:uiPriority w:val="99"/>
    <w:unhideWhenUsed/>
    <w:rsid w:val="00900EC9"/>
    <w:pPr>
      <w:keepLines/>
      <w:tabs>
        <w:tab w:val="center" w:pos="4320"/>
        <w:tab w:val="right" w:pos="8640"/>
      </w:tabs>
      <w:spacing w:after="0" w:line="240" w:lineRule="auto"/>
    </w:pPr>
    <w:rPr>
      <w:b/>
      <w:sz w:val="18"/>
    </w:rPr>
  </w:style>
  <w:style w:type="character" w:customStyle="1" w:styleId="HeaderChar">
    <w:name w:val="Header Char"/>
    <w:basedOn w:val="DefaultParagraphFont"/>
    <w:link w:val="Header"/>
    <w:uiPriority w:val="99"/>
    <w:rsid w:val="00900EC9"/>
    <w:rPr>
      <w:rFonts w:ascii="Arial" w:hAnsi="Arial"/>
      <w:b/>
      <w:sz w:val="18"/>
      <w:szCs w:val="24"/>
      <w:lang w:eastAsia="en-US"/>
    </w:rPr>
  </w:style>
  <w:style w:type="paragraph" w:customStyle="1" w:styleId="InternalTitleAHRC">
    <w:name w:val="Internal Title AHRC"/>
    <w:basedOn w:val="Normal"/>
    <w:uiPriority w:val="99"/>
    <w:rsid w:val="00900EC9"/>
    <w:pPr>
      <w:keepLines/>
      <w:widowControl w:val="0"/>
      <w:tabs>
        <w:tab w:val="left" w:pos="680"/>
      </w:tabs>
      <w:suppressAutoHyphens/>
      <w:autoSpaceDE w:val="0"/>
      <w:autoSpaceDN w:val="0"/>
      <w:adjustRightInd w:val="0"/>
      <w:spacing w:after="0"/>
      <w:ind w:left="283" w:hanging="283"/>
      <w:textAlignment w:val="center"/>
    </w:pPr>
    <w:rPr>
      <w:rFonts w:cs="HelveticaNeue-Bold"/>
      <w:b/>
      <w:bCs/>
      <w:color w:val="6D6F70"/>
      <w:sz w:val="20"/>
      <w:szCs w:val="20"/>
      <w:lang w:eastAsia="en-AU"/>
    </w:rPr>
  </w:style>
  <w:style w:type="paragraph" w:customStyle="1" w:styleId="EndnotesHeading">
    <w:name w:val="Endnotes (Heading)"/>
    <w:basedOn w:val="Normal"/>
    <w:rsid w:val="00B9369D"/>
    <w:pPr>
      <w:keepLines/>
    </w:pPr>
    <w:rPr>
      <w:b/>
      <w:color w:val="548DD4" w:themeColor="text2" w:themeTint="99"/>
      <w:sz w:val="20"/>
      <w:szCs w:val="18"/>
    </w:rPr>
  </w:style>
  <w:style w:type="paragraph" w:customStyle="1" w:styleId="TableHeader">
    <w:name w:val="Table Header"/>
    <w:basedOn w:val="Normal"/>
    <w:uiPriority w:val="99"/>
    <w:rsid w:val="00402009"/>
    <w:pPr>
      <w:widowControl w:val="0"/>
      <w:suppressAutoHyphens/>
      <w:autoSpaceDE w:val="0"/>
      <w:autoSpaceDN w:val="0"/>
      <w:adjustRightInd w:val="0"/>
      <w:spacing w:after="0" w:line="240" w:lineRule="auto"/>
      <w:textAlignment w:val="center"/>
    </w:pPr>
    <w:rPr>
      <w:rFonts w:cs="HelveticaCYBold"/>
      <w:b/>
      <w:bCs/>
      <w:sz w:val="20"/>
      <w:szCs w:val="17"/>
      <w:lang w:val="en-US" w:eastAsia="en-AU"/>
    </w:rPr>
  </w:style>
  <w:style w:type="paragraph" w:customStyle="1" w:styleId="TableText">
    <w:name w:val="Table Text"/>
    <w:basedOn w:val="Normal"/>
    <w:uiPriority w:val="99"/>
    <w:rsid w:val="00402009"/>
    <w:pPr>
      <w:widowControl w:val="0"/>
      <w:suppressAutoHyphens/>
      <w:autoSpaceDE w:val="0"/>
      <w:autoSpaceDN w:val="0"/>
      <w:adjustRightInd w:val="0"/>
      <w:spacing w:after="0" w:line="240" w:lineRule="auto"/>
      <w:textAlignment w:val="center"/>
    </w:pPr>
    <w:rPr>
      <w:rFonts w:cs="HelveticaCYPlain"/>
      <w:color w:val="000000"/>
      <w:sz w:val="20"/>
      <w:szCs w:val="15"/>
      <w:lang w:val="en-US" w:eastAsia="en-AU"/>
    </w:rPr>
  </w:style>
  <w:style w:type="paragraph" w:customStyle="1" w:styleId="BulletsList">
    <w:name w:val="Bullets List"/>
    <w:basedOn w:val="Normal"/>
    <w:uiPriority w:val="99"/>
    <w:rsid w:val="00D82B60"/>
    <w:pPr>
      <w:keepLines/>
      <w:widowControl w:val="0"/>
      <w:tabs>
        <w:tab w:val="left" w:pos="567"/>
        <w:tab w:val="num" w:pos="964"/>
      </w:tabs>
      <w:suppressAutoHyphens/>
      <w:autoSpaceDE w:val="0"/>
      <w:autoSpaceDN w:val="0"/>
      <w:adjustRightInd w:val="0"/>
      <w:ind w:left="1644" w:hanging="357"/>
      <w:textAlignment w:val="center"/>
    </w:pPr>
    <w:rPr>
      <w:rFonts w:cs="HelveticaNeue"/>
      <w:color w:val="000000"/>
      <w:szCs w:val="17"/>
      <w:lang w:val="en-US" w:eastAsia="en-AU"/>
    </w:rPr>
  </w:style>
  <w:style w:type="paragraph" w:customStyle="1" w:styleId="BulletsList0">
    <w:name w:val="Bullets List &gt;"/>
    <w:basedOn w:val="BulletsList"/>
    <w:uiPriority w:val="99"/>
    <w:rsid w:val="006D72DA"/>
    <w:pPr>
      <w:tabs>
        <w:tab w:val="clear" w:pos="964"/>
        <w:tab w:val="num" w:pos="1247"/>
      </w:tabs>
      <w:ind w:left="1247" w:hanging="283"/>
    </w:pPr>
  </w:style>
  <w:style w:type="paragraph" w:customStyle="1" w:styleId="BulletsList1">
    <w:name w:val="Bullets List &gt;&gt;"/>
    <w:basedOn w:val="BulletsList0"/>
    <w:uiPriority w:val="99"/>
    <w:rsid w:val="006D72DA"/>
    <w:pPr>
      <w:tabs>
        <w:tab w:val="clear" w:pos="1247"/>
        <w:tab w:val="left" w:pos="850"/>
        <w:tab w:val="num" w:pos="1531"/>
      </w:tabs>
      <w:ind w:left="1531" w:hanging="284"/>
    </w:pPr>
  </w:style>
  <w:style w:type="paragraph" w:customStyle="1" w:styleId="BulletsMargin">
    <w:name w:val="Bullets Margin"/>
    <w:basedOn w:val="Normal"/>
    <w:uiPriority w:val="99"/>
    <w:rsid w:val="006D72DA"/>
    <w:pPr>
      <w:keepLines/>
      <w:widowControl w:val="0"/>
      <w:tabs>
        <w:tab w:val="num" w:pos="680"/>
      </w:tabs>
      <w:suppressAutoHyphens/>
      <w:autoSpaceDE w:val="0"/>
      <w:autoSpaceDN w:val="0"/>
      <w:adjustRightInd w:val="0"/>
      <w:spacing w:after="100"/>
      <w:ind w:left="680" w:hanging="396"/>
      <w:textAlignment w:val="center"/>
    </w:pPr>
    <w:rPr>
      <w:rFonts w:cs="HelveticaNeue"/>
      <w:color w:val="000000"/>
      <w:szCs w:val="17"/>
      <w:lang w:val="en-US" w:eastAsia="en-AU"/>
    </w:rPr>
  </w:style>
  <w:style w:type="paragraph" w:customStyle="1" w:styleId="PullQuote">
    <w:name w:val="Pull Quote"/>
    <w:basedOn w:val="Normal"/>
    <w:uiPriority w:val="99"/>
    <w:rsid w:val="00900EC9"/>
    <w:pPr>
      <w:keepLines/>
      <w:widowControl w:val="0"/>
      <w:suppressAutoHyphens/>
      <w:autoSpaceDE w:val="0"/>
      <w:autoSpaceDN w:val="0"/>
      <w:adjustRightInd w:val="0"/>
      <w:spacing w:after="0"/>
      <w:textAlignment w:val="center"/>
    </w:pPr>
    <w:rPr>
      <w:rFonts w:cs="HelveticaNeue-Bold"/>
      <w:b/>
      <w:bCs/>
      <w:color w:val="FFFFFF" w:themeColor="background1"/>
      <w:szCs w:val="16"/>
      <w:lang w:val="en-US" w:eastAsia="en-AU"/>
    </w:rPr>
  </w:style>
  <w:style w:type="paragraph" w:styleId="TOC1">
    <w:name w:val="toc 1"/>
    <w:basedOn w:val="Normal"/>
    <w:next w:val="Normal"/>
    <w:autoRedefine/>
    <w:uiPriority w:val="39"/>
    <w:unhideWhenUsed/>
    <w:rsid w:val="007E1FD7"/>
    <w:pPr>
      <w:keepLines/>
      <w:tabs>
        <w:tab w:val="left" w:pos="720"/>
        <w:tab w:val="right" w:pos="9015"/>
      </w:tabs>
    </w:pPr>
    <w:rPr>
      <w:b/>
    </w:rPr>
  </w:style>
  <w:style w:type="paragraph" w:styleId="TOC2">
    <w:name w:val="toc 2"/>
    <w:basedOn w:val="Normal"/>
    <w:next w:val="Normal"/>
    <w:autoRedefine/>
    <w:uiPriority w:val="39"/>
    <w:unhideWhenUsed/>
    <w:rsid w:val="00232D6D"/>
    <w:pPr>
      <w:keepLines/>
      <w:tabs>
        <w:tab w:val="left" w:pos="720"/>
        <w:tab w:val="left" w:pos="1440"/>
        <w:tab w:val="right" w:pos="9015"/>
      </w:tabs>
      <w:ind w:left="720"/>
    </w:pPr>
  </w:style>
  <w:style w:type="paragraph" w:customStyle="1" w:styleId="EndnoteBullets">
    <w:name w:val="Endnote Bullets"/>
    <w:uiPriority w:val="99"/>
    <w:rsid w:val="00900EC9"/>
    <w:pPr>
      <w:widowControl w:val="0"/>
      <w:tabs>
        <w:tab w:val="left" w:pos="567"/>
      </w:tabs>
      <w:suppressAutoHyphens/>
      <w:autoSpaceDE w:val="0"/>
      <w:autoSpaceDN w:val="0"/>
      <w:adjustRightInd w:val="0"/>
      <w:textAlignment w:val="center"/>
    </w:pPr>
    <w:rPr>
      <w:rFonts w:ascii="Arial" w:hAnsi="Arial" w:cs="HelveticaNeue"/>
      <w:color w:val="000000"/>
      <w:lang w:val="en-US"/>
    </w:rPr>
  </w:style>
  <w:style w:type="paragraph" w:customStyle="1" w:styleId="NoParagraphStyle">
    <w:name w:val="[No Paragraph Style]"/>
    <w:rsid w:val="000E3DC1"/>
    <w:pPr>
      <w:widowControl w:val="0"/>
      <w:autoSpaceDE w:val="0"/>
      <w:autoSpaceDN w:val="0"/>
      <w:adjustRightInd w:val="0"/>
      <w:spacing w:line="288" w:lineRule="auto"/>
      <w:textAlignment w:val="center"/>
    </w:pPr>
    <w:rPr>
      <w:rFonts w:ascii="Times-Roman" w:hAnsi="Times-Roman" w:cs="Times-Roman"/>
      <w:color w:val="000000"/>
      <w:sz w:val="24"/>
      <w:szCs w:val="24"/>
      <w:lang w:val="en-US"/>
    </w:rPr>
  </w:style>
  <w:style w:type="paragraph" w:customStyle="1" w:styleId="InternalTitleBold">
    <w:name w:val="Internal Title Bold"/>
    <w:basedOn w:val="NoParagraphStyle"/>
    <w:uiPriority w:val="99"/>
    <w:rsid w:val="000E3DC1"/>
    <w:pPr>
      <w:keepNext/>
      <w:tabs>
        <w:tab w:val="left" w:pos="567"/>
      </w:tabs>
      <w:suppressAutoHyphens/>
      <w:spacing w:after="283" w:line="400" w:lineRule="atLeast"/>
    </w:pPr>
    <w:rPr>
      <w:rFonts w:ascii="HelveticaCYBold" w:hAnsi="HelveticaCYBold" w:cs="HelveticaCYBold"/>
      <w:b/>
      <w:bCs/>
      <w:color w:val="4C4C4C"/>
      <w:sz w:val="36"/>
      <w:szCs w:val="36"/>
      <w:lang w:val="en-AU"/>
    </w:rPr>
  </w:style>
  <w:style w:type="paragraph" w:customStyle="1" w:styleId="Footnote">
    <w:name w:val="Footnote"/>
    <w:basedOn w:val="NoParagraphStyle"/>
    <w:uiPriority w:val="99"/>
    <w:rsid w:val="000E3DC1"/>
    <w:pPr>
      <w:tabs>
        <w:tab w:val="left" w:pos="680"/>
      </w:tabs>
      <w:suppressAutoHyphens/>
      <w:ind w:left="283" w:hanging="283"/>
    </w:pPr>
    <w:rPr>
      <w:rFonts w:ascii="HelveticaNeue" w:hAnsi="HelveticaNeue" w:cs="HelveticaNeue"/>
      <w:sz w:val="14"/>
      <w:szCs w:val="14"/>
      <w:lang w:val="en-AU"/>
    </w:rPr>
  </w:style>
  <w:style w:type="paragraph" w:styleId="BalloonText">
    <w:name w:val="Balloon Text"/>
    <w:basedOn w:val="Normal"/>
    <w:link w:val="BalloonTextChar"/>
    <w:uiPriority w:val="99"/>
    <w:semiHidden/>
    <w:unhideWhenUsed/>
    <w:rsid w:val="000E3DC1"/>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E3DC1"/>
    <w:rPr>
      <w:rFonts w:ascii="Lucida Grande" w:hAnsi="Lucida Grande" w:cs="Lucida Grande"/>
      <w:sz w:val="18"/>
      <w:szCs w:val="18"/>
      <w:lang w:val="it-IT" w:eastAsia="en-US"/>
    </w:rPr>
  </w:style>
  <w:style w:type="paragraph" w:customStyle="1" w:styleId="LetterAHRC">
    <w:name w:val="Letter (AHRC)"/>
    <w:basedOn w:val="NoParagraphStyle"/>
    <w:uiPriority w:val="99"/>
    <w:rsid w:val="000E3DC1"/>
    <w:pPr>
      <w:suppressAutoHyphens/>
      <w:spacing w:after="113"/>
    </w:pPr>
    <w:rPr>
      <w:rFonts w:ascii="HelveticaCYBold" w:hAnsi="HelveticaCYBold" w:cs="HelveticaCYBold"/>
      <w:b/>
      <w:bCs/>
      <w:sz w:val="15"/>
      <w:szCs w:val="15"/>
    </w:rPr>
  </w:style>
  <w:style w:type="paragraph" w:customStyle="1" w:styleId="LetterheadAddress">
    <w:name w:val="Letterhead Address"/>
    <w:basedOn w:val="NoParagraphStyle"/>
    <w:uiPriority w:val="99"/>
    <w:rsid w:val="000E3DC1"/>
    <w:pPr>
      <w:suppressAutoHyphens/>
      <w:spacing w:after="57"/>
    </w:pPr>
    <w:rPr>
      <w:rFonts w:ascii="HelveticaNeue" w:hAnsi="HelveticaNeue" w:cs="HelveticaNeue"/>
      <w:sz w:val="14"/>
      <w:szCs w:val="14"/>
      <w:lang w:val="en-AU"/>
    </w:rPr>
  </w:style>
  <w:style w:type="paragraph" w:styleId="BodyTextIndent">
    <w:name w:val="Body Text Indent"/>
    <w:basedOn w:val="Normal"/>
    <w:link w:val="BodyTextIndentChar"/>
    <w:uiPriority w:val="99"/>
    <w:unhideWhenUsed/>
    <w:rsid w:val="00D6621A"/>
    <w:pPr>
      <w:spacing w:after="120"/>
      <w:ind w:left="283"/>
    </w:pPr>
  </w:style>
  <w:style w:type="character" w:customStyle="1" w:styleId="BodyTextIndentChar">
    <w:name w:val="Body Text Indent Char"/>
    <w:basedOn w:val="DefaultParagraphFont"/>
    <w:link w:val="BodyTextIndent"/>
    <w:uiPriority w:val="99"/>
    <w:rsid w:val="00D6621A"/>
    <w:rPr>
      <w:rFonts w:ascii="Arial" w:hAnsi="Arial"/>
      <w:sz w:val="24"/>
      <w:szCs w:val="24"/>
      <w:lang w:val="it-IT" w:eastAsia="en-US"/>
    </w:rPr>
  </w:style>
  <w:style w:type="paragraph" w:customStyle="1" w:styleId="Heading11">
    <w:name w:val="Heading 1: 1"/>
    <w:basedOn w:val="NoParagraphStyle"/>
    <w:next w:val="Normal"/>
    <w:uiPriority w:val="99"/>
    <w:rsid w:val="00D6621A"/>
    <w:pPr>
      <w:keepNext/>
      <w:tabs>
        <w:tab w:val="left" w:pos="680"/>
      </w:tabs>
      <w:suppressAutoHyphens/>
      <w:spacing w:before="227" w:after="227" w:line="520" w:lineRule="atLeast"/>
      <w:ind w:left="680" w:hanging="680"/>
    </w:pPr>
    <w:rPr>
      <w:rFonts w:ascii="HelveticaCYPlain" w:hAnsi="HelveticaCYPlain" w:cs="HelveticaCYPlain"/>
      <w:color w:val="4C4C4C"/>
      <w:sz w:val="52"/>
      <w:szCs w:val="52"/>
      <w:lang w:val="en-AU"/>
    </w:rPr>
  </w:style>
  <w:style w:type="paragraph" w:customStyle="1" w:styleId="Bulletsa">
    <w:name w:val="Bullets (a)"/>
    <w:basedOn w:val="NoParagraphStyle"/>
    <w:next w:val="NoParagraphStyle"/>
    <w:uiPriority w:val="99"/>
    <w:rsid w:val="004B2F40"/>
    <w:pPr>
      <w:keepLines/>
      <w:widowControl/>
      <w:suppressAutoHyphens/>
      <w:spacing w:after="200"/>
      <w:ind w:left="2160" w:hanging="720"/>
    </w:pPr>
    <w:rPr>
      <w:rFonts w:ascii="Arial" w:hAnsi="Arial" w:cs="HelveticaNeue"/>
      <w:szCs w:val="17"/>
    </w:rPr>
  </w:style>
  <w:style w:type="paragraph" w:customStyle="1" w:styleId="Heading211">
    <w:name w:val="Heading 2: 1.1"/>
    <w:basedOn w:val="Normal"/>
    <w:uiPriority w:val="99"/>
    <w:rsid w:val="00D6621A"/>
    <w:pPr>
      <w:keepNext/>
      <w:keepLines/>
      <w:widowControl w:val="0"/>
      <w:tabs>
        <w:tab w:val="left" w:pos="0"/>
        <w:tab w:val="left" w:pos="680"/>
      </w:tabs>
      <w:suppressAutoHyphens/>
      <w:autoSpaceDE w:val="0"/>
      <w:autoSpaceDN w:val="0"/>
      <w:adjustRightInd w:val="0"/>
      <w:spacing w:before="170" w:after="170" w:line="360" w:lineRule="atLeast"/>
      <w:ind w:left="680" w:hanging="680"/>
      <w:textAlignment w:val="center"/>
    </w:pPr>
    <w:rPr>
      <w:rFonts w:ascii="HelveticaCYPlain" w:hAnsi="HelveticaCYPlain" w:cs="HelveticaCYPlain"/>
      <w:color w:val="000000"/>
      <w:sz w:val="36"/>
      <w:szCs w:val="36"/>
      <w:lang w:val="en-AU" w:eastAsia="en-AU"/>
    </w:rPr>
  </w:style>
  <w:style w:type="paragraph" w:customStyle="1" w:styleId="Bulletsi">
    <w:name w:val="Bullets i)"/>
    <w:basedOn w:val="NoParagraphStyle"/>
    <w:next w:val="NoParagraphStyle"/>
    <w:uiPriority w:val="99"/>
    <w:rsid w:val="0040547E"/>
    <w:pPr>
      <w:keepLines/>
      <w:suppressAutoHyphens/>
      <w:spacing w:after="100"/>
      <w:ind w:left="1814" w:hanging="567"/>
    </w:pPr>
    <w:rPr>
      <w:rFonts w:ascii="Arial" w:hAnsi="Arial" w:cs="HelveticaNeue"/>
      <w:color w:val="auto"/>
      <w:szCs w:val="17"/>
    </w:rPr>
  </w:style>
  <w:style w:type="paragraph" w:customStyle="1" w:styleId="BodyQuote10mm2">
    <w:name w:val="Body Quote 10mm +2"/>
    <w:basedOn w:val="NoParagraphStyle"/>
    <w:uiPriority w:val="99"/>
    <w:rsid w:val="00D6621A"/>
    <w:pPr>
      <w:keepLines/>
      <w:suppressAutoHyphens/>
      <w:spacing w:after="113"/>
      <w:ind w:left="1247"/>
    </w:pPr>
    <w:rPr>
      <w:rFonts w:ascii="HelveticaNeue" w:hAnsi="HelveticaNeue" w:cs="HelveticaNeue"/>
      <w:sz w:val="17"/>
      <w:szCs w:val="17"/>
      <w:lang w:val="en-GB"/>
    </w:rPr>
  </w:style>
  <w:style w:type="paragraph" w:customStyle="1" w:styleId="Bullets1">
    <w:name w:val="Bullets 1."/>
    <w:basedOn w:val="NoParagraphStyle"/>
    <w:next w:val="NoParagraphStyle"/>
    <w:uiPriority w:val="99"/>
    <w:rsid w:val="00DB4E90"/>
    <w:pPr>
      <w:tabs>
        <w:tab w:val="left" w:pos="850"/>
      </w:tabs>
      <w:suppressAutoHyphens/>
      <w:spacing w:after="113"/>
      <w:ind w:left="1440" w:hanging="720"/>
    </w:pPr>
    <w:rPr>
      <w:rFonts w:ascii="Arial" w:hAnsi="Arial" w:cs="HelveticaNeue"/>
      <w:szCs w:val="17"/>
    </w:rPr>
  </w:style>
  <w:style w:type="paragraph" w:customStyle="1" w:styleId="BodyTextIndent12mm">
    <w:name w:val="Body Text Indent 12mm"/>
    <w:basedOn w:val="BodyTextIndent"/>
    <w:uiPriority w:val="99"/>
    <w:rsid w:val="00D6621A"/>
    <w:pPr>
      <w:widowControl w:val="0"/>
      <w:tabs>
        <w:tab w:val="left" w:pos="567"/>
      </w:tabs>
      <w:suppressAutoHyphens/>
      <w:autoSpaceDE w:val="0"/>
      <w:autoSpaceDN w:val="0"/>
      <w:adjustRightInd w:val="0"/>
      <w:spacing w:after="113"/>
      <w:ind w:left="680"/>
      <w:textAlignment w:val="center"/>
    </w:pPr>
    <w:rPr>
      <w:rFonts w:ascii="HelveticaNeue" w:hAnsi="HelveticaNeue" w:cs="HelveticaNeue"/>
      <w:color w:val="000000"/>
      <w:sz w:val="17"/>
      <w:szCs w:val="17"/>
      <w:lang w:val="en-US" w:eastAsia="en-AU"/>
    </w:rPr>
  </w:style>
  <w:style w:type="character" w:customStyle="1" w:styleId="Pantone300C">
    <w:name w:val="Pantone 300 C"/>
    <w:uiPriority w:val="99"/>
    <w:rsid w:val="00D6621A"/>
    <w:rPr>
      <w:color w:val="008EFF"/>
    </w:rPr>
  </w:style>
  <w:style w:type="paragraph" w:styleId="Revision">
    <w:name w:val="Revision"/>
    <w:hidden/>
    <w:uiPriority w:val="99"/>
    <w:semiHidden/>
    <w:rsid w:val="00651527"/>
    <w:rPr>
      <w:rFonts w:ascii="Arial" w:hAnsi="Arial"/>
      <w:sz w:val="24"/>
      <w:szCs w:val="24"/>
      <w:lang w:val="it-IT" w:eastAsia="en-US"/>
    </w:rPr>
  </w:style>
  <w:style w:type="paragraph" w:styleId="DocumentMap">
    <w:name w:val="Document Map"/>
    <w:basedOn w:val="Normal"/>
    <w:link w:val="DocumentMapChar"/>
    <w:uiPriority w:val="99"/>
    <w:semiHidden/>
    <w:unhideWhenUsed/>
    <w:rsid w:val="00651527"/>
    <w:pPr>
      <w:spacing w:after="0" w:line="240" w:lineRule="auto"/>
    </w:pPr>
    <w:rPr>
      <w:rFonts w:ascii="Lucida Grande" w:hAnsi="Lucida Grande" w:cs="Lucida Grande"/>
    </w:rPr>
  </w:style>
  <w:style w:type="character" w:customStyle="1" w:styleId="DocumentMapChar">
    <w:name w:val="Document Map Char"/>
    <w:basedOn w:val="DefaultParagraphFont"/>
    <w:link w:val="DocumentMap"/>
    <w:uiPriority w:val="99"/>
    <w:semiHidden/>
    <w:rsid w:val="00651527"/>
    <w:rPr>
      <w:rFonts w:ascii="Lucida Grande" w:hAnsi="Lucida Grande" w:cs="Lucida Grande"/>
      <w:sz w:val="24"/>
      <w:szCs w:val="24"/>
      <w:lang w:val="it-IT" w:eastAsia="en-US"/>
    </w:rPr>
  </w:style>
  <w:style w:type="paragraph" w:styleId="TOC3">
    <w:name w:val="toc 3"/>
    <w:basedOn w:val="Normal"/>
    <w:next w:val="Normal"/>
    <w:autoRedefine/>
    <w:uiPriority w:val="39"/>
    <w:unhideWhenUsed/>
    <w:rsid w:val="004C31E4"/>
    <w:pPr>
      <w:ind w:left="480"/>
    </w:pPr>
  </w:style>
  <w:style w:type="paragraph" w:styleId="TOC4">
    <w:name w:val="toc 4"/>
    <w:basedOn w:val="Normal"/>
    <w:next w:val="Normal"/>
    <w:autoRedefine/>
    <w:uiPriority w:val="39"/>
    <w:unhideWhenUsed/>
    <w:rsid w:val="004C31E4"/>
    <w:pPr>
      <w:ind w:left="720"/>
    </w:pPr>
  </w:style>
  <w:style w:type="paragraph" w:styleId="TOC5">
    <w:name w:val="toc 5"/>
    <w:basedOn w:val="Normal"/>
    <w:next w:val="Normal"/>
    <w:autoRedefine/>
    <w:uiPriority w:val="39"/>
    <w:unhideWhenUsed/>
    <w:rsid w:val="004C31E4"/>
    <w:pPr>
      <w:ind w:left="960"/>
    </w:pPr>
  </w:style>
  <w:style w:type="paragraph" w:styleId="TOC6">
    <w:name w:val="toc 6"/>
    <w:basedOn w:val="Normal"/>
    <w:next w:val="Normal"/>
    <w:autoRedefine/>
    <w:uiPriority w:val="39"/>
    <w:unhideWhenUsed/>
    <w:rsid w:val="004C31E4"/>
    <w:pPr>
      <w:ind w:left="1200"/>
    </w:pPr>
  </w:style>
  <w:style w:type="paragraph" w:styleId="TOC7">
    <w:name w:val="toc 7"/>
    <w:basedOn w:val="Normal"/>
    <w:next w:val="Normal"/>
    <w:autoRedefine/>
    <w:uiPriority w:val="39"/>
    <w:unhideWhenUsed/>
    <w:rsid w:val="004C31E4"/>
    <w:pPr>
      <w:ind w:left="1440"/>
    </w:pPr>
  </w:style>
  <w:style w:type="paragraph" w:styleId="TOC8">
    <w:name w:val="toc 8"/>
    <w:basedOn w:val="Normal"/>
    <w:next w:val="Normal"/>
    <w:autoRedefine/>
    <w:uiPriority w:val="39"/>
    <w:unhideWhenUsed/>
    <w:rsid w:val="004C31E4"/>
    <w:pPr>
      <w:ind w:left="1680"/>
    </w:pPr>
  </w:style>
  <w:style w:type="paragraph" w:styleId="TOC9">
    <w:name w:val="toc 9"/>
    <w:basedOn w:val="Normal"/>
    <w:next w:val="Normal"/>
    <w:autoRedefine/>
    <w:uiPriority w:val="39"/>
    <w:unhideWhenUsed/>
    <w:rsid w:val="004C31E4"/>
    <w:pPr>
      <w:ind w:left="1920"/>
    </w:pPr>
  </w:style>
  <w:style w:type="paragraph" w:customStyle="1" w:styleId="BodyListParagraph">
    <w:name w:val="Body List Paragraph"/>
    <w:basedOn w:val="BulletsList"/>
    <w:uiPriority w:val="99"/>
    <w:rsid w:val="00C95492"/>
    <w:pPr>
      <w:tabs>
        <w:tab w:val="clear" w:pos="567"/>
        <w:tab w:val="clear" w:pos="964"/>
        <w:tab w:val="left" w:pos="680"/>
      </w:tabs>
      <w:spacing w:after="113"/>
      <w:ind w:left="680" w:hanging="680"/>
    </w:pPr>
    <w:rPr>
      <w:rFonts w:ascii="HelveticaNeue" w:hAnsi="HelveticaNeue"/>
      <w:sz w:val="17"/>
    </w:rPr>
  </w:style>
  <w:style w:type="paragraph" w:customStyle="1" w:styleId="Bulletsa0">
    <w:name w:val="Bullets a)"/>
    <w:basedOn w:val="NoParagraphStyle"/>
    <w:next w:val="NoParagraphStyle"/>
    <w:uiPriority w:val="99"/>
    <w:rsid w:val="0040547E"/>
    <w:pPr>
      <w:suppressAutoHyphens/>
      <w:spacing w:after="200"/>
      <w:ind w:left="1854" w:hanging="567"/>
    </w:pPr>
    <w:rPr>
      <w:rFonts w:ascii="Arial" w:hAnsi="Arial" w:cs="HelveticaNeue"/>
      <w:szCs w:val="17"/>
    </w:rPr>
  </w:style>
  <w:style w:type="paragraph" w:customStyle="1" w:styleId="BasicParagraph">
    <w:name w:val="[Basic Paragraph]"/>
    <w:basedOn w:val="NoParagraphStyle"/>
    <w:uiPriority w:val="99"/>
    <w:rsid w:val="00C95492"/>
  </w:style>
  <w:style w:type="paragraph" w:customStyle="1" w:styleId="EndnoteFirst">
    <w:name w:val="Endnote (First)"/>
    <w:basedOn w:val="EndnoteText"/>
    <w:uiPriority w:val="99"/>
    <w:rsid w:val="00C95492"/>
    <w:pPr>
      <w:keepLines w:val="0"/>
      <w:widowControl w:val="0"/>
      <w:pBdr>
        <w:top w:val="single" w:sz="8" w:space="11" w:color="4C4C4C"/>
      </w:pBdr>
      <w:tabs>
        <w:tab w:val="left" w:pos="567"/>
      </w:tabs>
      <w:suppressAutoHyphens/>
      <w:autoSpaceDE w:val="0"/>
      <w:autoSpaceDN w:val="0"/>
      <w:adjustRightInd w:val="0"/>
      <w:spacing w:before="567" w:line="288" w:lineRule="auto"/>
      <w:ind w:left="340" w:hanging="340"/>
      <w:textAlignment w:val="center"/>
    </w:pPr>
    <w:rPr>
      <w:rFonts w:ascii="HelveticaNeue" w:hAnsi="HelveticaNeue" w:cs="HelveticaNeue"/>
      <w:color w:val="000000"/>
      <w:sz w:val="14"/>
      <w:szCs w:val="14"/>
      <w:lang w:val="en-US" w:eastAsia="en-AU"/>
    </w:rPr>
  </w:style>
  <w:style w:type="character" w:customStyle="1" w:styleId="EndnoteReference1">
    <w:name w:val="Endnote Reference1"/>
    <w:uiPriority w:val="99"/>
    <w:rsid w:val="00C95492"/>
    <w:rPr>
      <w:rFonts w:ascii="ArialMT" w:hAnsi="ArialMT" w:cs="ArialMT"/>
      <w:w w:val="100"/>
      <w:sz w:val="20"/>
      <w:szCs w:val="20"/>
      <w:vertAlign w:val="superscript"/>
    </w:rPr>
  </w:style>
  <w:style w:type="paragraph" w:customStyle="1" w:styleId="Heading3a">
    <w:name w:val="Heading 3: (a)"/>
    <w:basedOn w:val="NoParagraphStyle"/>
    <w:next w:val="Normal"/>
    <w:uiPriority w:val="99"/>
    <w:rsid w:val="00A43AB6"/>
    <w:pPr>
      <w:keepNext/>
      <w:tabs>
        <w:tab w:val="left" w:pos="0"/>
        <w:tab w:val="left" w:pos="680"/>
      </w:tabs>
      <w:suppressAutoHyphens/>
      <w:spacing w:before="170" w:after="170"/>
      <w:ind w:left="680" w:hanging="680"/>
    </w:pPr>
    <w:rPr>
      <w:rFonts w:ascii="HelveticaCYBold" w:hAnsi="HelveticaCYBold" w:cs="HelveticaCYBold"/>
      <w:b/>
      <w:bCs/>
      <w:sz w:val="20"/>
      <w:szCs w:val="20"/>
      <w:lang w:val="en-AU"/>
    </w:rPr>
  </w:style>
  <w:style w:type="paragraph" w:customStyle="1" w:styleId="BodyQuote10mm1">
    <w:name w:val="Body Quote 10mm +1"/>
    <w:basedOn w:val="BodyQuote10mm2"/>
    <w:uiPriority w:val="99"/>
    <w:rsid w:val="00A43AB6"/>
    <w:pPr>
      <w:spacing w:after="57"/>
    </w:pPr>
  </w:style>
  <w:style w:type="paragraph" w:customStyle="1" w:styleId="Nessunostileparagrafo">
    <w:name w:val="[Nessuno stile paragrafo]"/>
    <w:rsid w:val="009F3D05"/>
    <w:pPr>
      <w:widowControl w:val="0"/>
      <w:autoSpaceDE w:val="0"/>
      <w:autoSpaceDN w:val="0"/>
      <w:adjustRightInd w:val="0"/>
      <w:spacing w:line="288" w:lineRule="auto"/>
      <w:textAlignment w:val="center"/>
    </w:pPr>
    <w:rPr>
      <w:rFonts w:ascii="Times-Roman" w:hAnsi="Times-Roman" w:cs="Times-Roman"/>
      <w:color w:val="000000"/>
      <w:sz w:val="24"/>
      <w:szCs w:val="24"/>
      <w:lang w:val="en-US"/>
    </w:rPr>
  </w:style>
  <w:style w:type="paragraph" w:customStyle="1" w:styleId="Paragrafobase">
    <w:name w:val="[Paragrafo base]"/>
    <w:basedOn w:val="Nessunostileparagrafo"/>
    <w:uiPriority w:val="99"/>
    <w:rsid w:val="00415667"/>
  </w:style>
  <w:style w:type="paragraph" w:customStyle="1" w:styleId="ListParagraphBullets">
    <w:name w:val="List Paragraph (Bullets)"/>
    <w:basedOn w:val="ListParagraph"/>
    <w:qFormat/>
    <w:rsid w:val="00D61731"/>
    <w:pPr>
      <w:ind w:left="1797" w:hanging="357"/>
      <w:contextualSpacing/>
    </w:pPr>
    <w:rPr>
      <w:lang w:val="en-US" w:eastAsia="en-AU"/>
    </w:rPr>
  </w:style>
  <w:style w:type="paragraph" w:customStyle="1" w:styleId="ListParagraphBullets1">
    <w:name w:val="List Paragraph [Bullets 1.]"/>
    <w:basedOn w:val="Normal"/>
    <w:qFormat/>
    <w:rsid w:val="000433C2"/>
    <w:pPr>
      <w:ind w:left="1797" w:hanging="357"/>
      <w:contextualSpacing/>
    </w:pPr>
    <w:rPr>
      <w:lang w:val="en-US" w:eastAsia="en-AU"/>
    </w:rPr>
  </w:style>
  <w:style w:type="paragraph" w:customStyle="1" w:styleId="InternalSubTitlePlain">
    <w:name w:val="Internal Sub Title Plain"/>
    <w:basedOn w:val="Nessunostileparagrafo"/>
    <w:uiPriority w:val="99"/>
    <w:rsid w:val="00A44514"/>
    <w:pPr>
      <w:keepNext/>
      <w:tabs>
        <w:tab w:val="left" w:pos="567"/>
      </w:tabs>
      <w:suppressAutoHyphens/>
      <w:spacing w:after="850" w:line="360" w:lineRule="atLeast"/>
    </w:pPr>
    <w:rPr>
      <w:rFonts w:ascii="HelveticaCYPlain" w:hAnsi="HelveticaCYPlain" w:cs="HelveticaCYPlain"/>
      <w:color w:val="4C4C4C"/>
      <w:sz w:val="32"/>
      <w:szCs w:val="32"/>
      <w:lang w:val="en-AU"/>
    </w:rPr>
  </w:style>
  <w:style w:type="paragraph" w:customStyle="1" w:styleId="ParagrafobaseNumerato">
    <w:name w:val="Paragrafo base: Numerato"/>
    <w:basedOn w:val="BulletsList"/>
    <w:uiPriority w:val="99"/>
    <w:rsid w:val="00D50C8E"/>
    <w:pPr>
      <w:tabs>
        <w:tab w:val="clear" w:pos="567"/>
        <w:tab w:val="clear" w:pos="964"/>
        <w:tab w:val="left" w:pos="680"/>
      </w:tabs>
      <w:spacing w:after="113"/>
      <w:ind w:left="680" w:hanging="680"/>
    </w:pPr>
    <w:rPr>
      <w:rFonts w:ascii="HelveticaNeue" w:hAnsi="HelveticaNeue"/>
      <w:sz w:val="17"/>
    </w:rPr>
  </w:style>
  <w:style w:type="character" w:customStyle="1" w:styleId="Bold">
    <w:name w:val="Bold"/>
    <w:uiPriority w:val="99"/>
    <w:rsid w:val="00D50C8E"/>
    <w:rPr>
      <w:b/>
      <w:bCs/>
    </w:rPr>
  </w:style>
  <w:style w:type="character" w:customStyle="1" w:styleId="Pantone717C">
    <w:name w:val="Pantone 717 C"/>
    <w:uiPriority w:val="99"/>
    <w:rsid w:val="00D50C8E"/>
    <w:rPr>
      <w:color w:val="F97200"/>
    </w:rPr>
  </w:style>
  <w:style w:type="character" w:customStyle="1" w:styleId="Endnotes-Indent">
    <w:name w:val="Endnotes - Indent"/>
    <w:uiPriority w:val="99"/>
    <w:rsid w:val="00D50C8E"/>
  </w:style>
  <w:style w:type="paragraph" w:customStyle="1" w:styleId="NormalIndented">
    <w:name w:val="Normal Indented"/>
    <w:basedOn w:val="Quote"/>
    <w:qFormat/>
    <w:rsid w:val="00F57E16"/>
  </w:style>
  <w:style w:type="paragraph" w:customStyle="1" w:styleId="BulletsaQuote">
    <w:name w:val="Bullets (a) Quote"/>
    <w:basedOn w:val="BodyQuote10mm2"/>
    <w:uiPriority w:val="99"/>
    <w:rsid w:val="005E44F3"/>
    <w:pPr>
      <w:ind w:left="1531"/>
    </w:pPr>
  </w:style>
  <w:style w:type="paragraph" w:customStyle="1" w:styleId="Bulletsi0">
    <w:name w:val="Bullets (i)"/>
    <w:basedOn w:val="Bulletsa"/>
    <w:uiPriority w:val="99"/>
    <w:rsid w:val="005E44F3"/>
    <w:pPr>
      <w:keepLines w:val="0"/>
      <w:widowControl w:val="0"/>
      <w:spacing w:after="113"/>
      <w:ind w:left="3555"/>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qFormat="1"/>
    <w:lsdException w:name="page number" w:uiPriority="0"/>
    <w:lsdException w:name="endnote reference" w:qFormat="1"/>
    <w:lsdException w:name="endnote text"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5667"/>
    <w:pPr>
      <w:spacing w:after="200" w:line="288" w:lineRule="auto"/>
    </w:pPr>
    <w:rPr>
      <w:rFonts w:ascii="Arial" w:hAnsi="Arial"/>
      <w:sz w:val="24"/>
      <w:szCs w:val="24"/>
      <w:lang w:val="it-IT" w:eastAsia="en-US"/>
    </w:rPr>
  </w:style>
  <w:style w:type="paragraph" w:styleId="Heading1">
    <w:name w:val="heading 1"/>
    <w:basedOn w:val="Normal"/>
    <w:next w:val="Normal"/>
    <w:link w:val="Heading1Char"/>
    <w:autoRedefine/>
    <w:uiPriority w:val="9"/>
    <w:qFormat/>
    <w:rsid w:val="004B3F35"/>
    <w:pPr>
      <w:keepNext/>
      <w:keepLines/>
      <w:numPr>
        <w:numId w:val="30"/>
      </w:numPr>
      <w:spacing w:before="400" w:line="240" w:lineRule="auto"/>
      <w:ind w:left="720" w:hanging="720"/>
      <w:outlineLvl w:val="0"/>
    </w:pPr>
    <w:rPr>
      <w:rFonts w:eastAsiaTheme="majorEastAsia" w:cstheme="majorBidi"/>
      <w:b/>
      <w:bCs/>
      <w:sz w:val="36"/>
      <w:szCs w:val="32"/>
    </w:rPr>
  </w:style>
  <w:style w:type="paragraph" w:styleId="Heading2">
    <w:name w:val="heading 2"/>
    <w:next w:val="Normal"/>
    <w:link w:val="Heading2Char"/>
    <w:uiPriority w:val="9"/>
    <w:unhideWhenUsed/>
    <w:qFormat/>
    <w:rsid w:val="004B2F40"/>
    <w:pPr>
      <w:keepNext/>
      <w:keepLines/>
      <w:numPr>
        <w:ilvl w:val="1"/>
        <w:numId w:val="30"/>
      </w:numPr>
      <w:spacing w:before="400" w:after="200"/>
      <w:ind w:left="720" w:hanging="720"/>
      <w:outlineLvl w:val="1"/>
    </w:pPr>
    <w:rPr>
      <w:rFonts w:ascii="Arial" w:eastAsiaTheme="majorEastAsia" w:hAnsi="Arial" w:cstheme="majorBidi"/>
      <w:b/>
      <w:bCs/>
      <w:sz w:val="28"/>
      <w:szCs w:val="26"/>
      <w:lang w:eastAsia="en-US"/>
    </w:rPr>
  </w:style>
  <w:style w:type="paragraph" w:styleId="Heading3">
    <w:name w:val="heading 3"/>
    <w:basedOn w:val="Normal"/>
    <w:next w:val="Normal"/>
    <w:link w:val="Heading3Char"/>
    <w:uiPriority w:val="9"/>
    <w:unhideWhenUsed/>
    <w:qFormat/>
    <w:rsid w:val="00F57E16"/>
    <w:pPr>
      <w:keepNext/>
      <w:keepLines/>
      <w:numPr>
        <w:ilvl w:val="2"/>
        <w:numId w:val="30"/>
      </w:numPr>
      <w:tabs>
        <w:tab w:val="clear" w:pos="567"/>
        <w:tab w:val="left" w:pos="720"/>
      </w:tabs>
      <w:spacing w:before="400"/>
      <w:ind w:left="720" w:hanging="720"/>
      <w:outlineLvl w:val="2"/>
    </w:pPr>
    <w:rPr>
      <w:rFonts w:eastAsiaTheme="majorEastAsia" w:cstheme="majorBidi"/>
      <w:b/>
      <w:bCs/>
    </w:rPr>
  </w:style>
  <w:style w:type="paragraph" w:styleId="Heading4">
    <w:name w:val="heading 4"/>
    <w:next w:val="Normal"/>
    <w:link w:val="Heading4Char"/>
    <w:uiPriority w:val="9"/>
    <w:unhideWhenUsed/>
    <w:qFormat/>
    <w:rsid w:val="006D72DA"/>
    <w:pPr>
      <w:keepNext/>
      <w:numPr>
        <w:ilvl w:val="3"/>
        <w:numId w:val="30"/>
      </w:numPr>
      <w:spacing w:before="300" w:after="200"/>
      <w:outlineLvl w:val="3"/>
    </w:pPr>
    <w:rPr>
      <w:rFonts w:ascii="Arial" w:eastAsiaTheme="majorEastAsia" w:hAnsi="Arial" w:cstheme="majorBidi"/>
      <w:bCs/>
      <w:i/>
      <w:iCs/>
      <w:sz w:val="24"/>
      <w:lang w:eastAsia="en-US"/>
    </w:rPr>
  </w:style>
  <w:style w:type="paragraph" w:styleId="Heading5">
    <w:name w:val="heading 5"/>
    <w:basedOn w:val="Normal"/>
    <w:next w:val="Normal"/>
    <w:link w:val="Heading5Char"/>
    <w:uiPriority w:val="9"/>
    <w:unhideWhenUsed/>
    <w:qFormat/>
    <w:rsid w:val="006D72DA"/>
    <w:pPr>
      <w:keepNext/>
      <w:keepLines/>
      <w:spacing w:before="300" w:line="240" w:lineRule="auto"/>
      <w:outlineLvl w:val="4"/>
    </w:pPr>
    <w:rPr>
      <w:rFonts w:eastAsiaTheme="majorEastAsia" w:cstheme="majorBidi"/>
      <w:b/>
    </w:rPr>
  </w:style>
  <w:style w:type="paragraph" w:styleId="Heading6">
    <w:name w:val="heading 6"/>
    <w:basedOn w:val="Normal"/>
    <w:next w:val="Normal"/>
    <w:link w:val="Heading6Char"/>
    <w:uiPriority w:val="9"/>
    <w:unhideWhenUsed/>
    <w:rsid w:val="006D72DA"/>
    <w:pPr>
      <w:keepNext/>
      <w:keepLines/>
      <w:spacing w:before="400"/>
      <w:outlineLvl w:val="5"/>
    </w:pPr>
    <w:rPr>
      <w:rFonts w:eastAsiaTheme="majorEastAsia" w:cstheme="majorBidi"/>
      <w:i/>
      <w:iCs/>
    </w:rPr>
  </w:style>
  <w:style w:type="paragraph" w:styleId="Heading7">
    <w:name w:val="heading 7"/>
    <w:basedOn w:val="Normal"/>
    <w:next w:val="Normal"/>
    <w:link w:val="Heading7Char"/>
    <w:uiPriority w:val="9"/>
    <w:semiHidden/>
    <w:unhideWhenUsed/>
    <w:rsid w:val="006D72DA"/>
    <w:pPr>
      <w:keepNext/>
      <w:keepLines/>
      <w:spacing w:before="300" w:line="240" w:lineRule="auto"/>
      <w:outlineLvl w:val="6"/>
    </w:pPr>
    <w:rPr>
      <w:rFonts w:eastAsiaTheme="majorEastAsia" w:cstheme="majorBidi"/>
      <w:b/>
      <w:i/>
      <w:iCs/>
      <w:color w:val="404040" w:themeColor="text1" w:themeTint="BF"/>
    </w:rPr>
  </w:style>
  <w:style w:type="paragraph" w:styleId="Heading8">
    <w:name w:val="heading 8"/>
    <w:basedOn w:val="Normal"/>
    <w:next w:val="Normal"/>
    <w:link w:val="Heading8Char"/>
    <w:uiPriority w:val="9"/>
    <w:unhideWhenUsed/>
    <w:rsid w:val="006D72DA"/>
    <w:pPr>
      <w:keepNext/>
      <w:keepLines/>
      <w:spacing w:before="400" w:line="240" w:lineRule="auto"/>
      <w:outlineLvl w:val="7"/>
    </w:pPr>
    <w:rPr>
      <w:rFonts w:eastAsiaTheme="majorEastAsia" w:cstheme="majorBidi"/>
      <w:b/>
      <w:sz w:val="36"/>
      <w:szCs w:val="20"/>
    </w:rPr>
  </w:style>
  <w:style w:type="paragraph" w:styleId="Heading9">
    <w:name w:val="heading 9"/>
    <w:basedOn w:val="Normal"/>
    <w:next w:val="Normal"/>
    <w:link w:val="Heading9Char"/>
    <w:uiPriority w:val="9"/>
    <w:unhideWhenUsed/>
    <w:rsid w:val="006D72DA"/>
    <w:pPr>
      <w:keepNext/>
      <w:keepLines/>
      <w:spacing w:before="400" w:line="240" w:lineRule="auto"/>
      <w:outlineLvl w:val="8"/>
    </w:pPr>
    <w:rPr>
      <w:rFonts w:eastAsiaTheme="majorEastAsia" w:cstheme="majorBidi"/>
      <w:b/>
      <w:i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3F35"/>
    <w:rPr>
      <w:rFonts w:ascii="Arial" w:eastAsiaTheme="majorEastAsia" w:hAnsi="Arial" w:cstheme="majorBidi"/>
      <w:b/>
      <w:bCs/>
      <w:sz w:val="36"/>
      <w:szCs w:val="32"/>
      <w:lang w:val="it-IT" w:eastAsia="en-US"/>
    </w:rPr>
  </w:style>
  <w:style w:type="character" w:customStyle="1" w:styleId="Heading2Char">
    <w:name w:val="Heading 2 Char"/>
    <w:basedOn w:val="DefaultParagraphFont"/>
    <w:link w:val="Heading2"/>
    <w:uiPriority w:val="9"/>
    <w:rsid w:val="004B2F40"/>
    <w:rPr>
      <w:rFonts w:ascii="Arial" w:eastAsiaTheme="majorEastAsia" w:hAnsi="Arial" w:cstheme="majorBidi"/>
      <w:b/>
      <w:bCs/>
      <w:sz w:val="28"/>
      <w:szCs w:val="26"/>
      <w:lang w:eastAsia="en-US"/>
    </w:rPr>
  </w:style>
  <w:style w:type="character" w:customStyle="1" w:styleId="Heading3Char">
    <w:name w:val="Heading 3 Char"/>
    <w:basedOn w:val="DefaultParagraphFont"/>
    <w:link w:val="Heading3"/>
    <w:uiPriority w:val="9"/>
    <w:rsid w:val="00F57E16"/>
    <w:rPr>
      <w:rFonts w:ascii="Arial" w:eastAsiaTheme="majorEastAsia" w:hAnsi="Arial" w:cstheme="majorBidi"/>
      <w:b/>
      <w:bCs/>
      <w:sz w:val="24"/>
      <w:szCs w:val="24"/>
      <w:lang w:val="it-IT" w:eastAsia="en-US"/>
    </w:rPr>
  </w:style>
  <w:style w:type="character" w:customStyle="1" w:styleId="Heading4Char">
    <w:name w:val="Heading 4 Char"/>
    <w:basedOn w:val="DefaultParagraphFont"/>
    <w:link w:val="Heading4"/>
    <w:uiPriority w:val="9"/>
    <w:rsid w:val="006D72DA"/>
    <w:rPr>
      <w:rFonts w:ascii="Arial" w:eastAsiaTheme="majorEastAsia" w:hAnsi="Arial" w:cstheme="majorBidi"/>
      <w:bCs/>
      <w:i/>
      <w:iCs/>
      <w:sz w:val="24"/>
      <w:lang w:eastAsia="en-US"/>
    </w:rPr>
  </w:style>
  <w:style w:type="character" w:customStyle="1" w:styleId="Heading5Char">
    <w:name w:val="Heading 5 Char"/>
    <w:basedOn w:val="DefaultParagraphFont"/>
    <w:link w:val="Heading5"/>
    <w:uiPriority w:val="9"/>
    <w:rsid w:val="000E7A39"/>
    <w:rPr>
      <w:rFonts w:ascii="Arial" w:eastAsiaTheme="majorEastAsia" w:hAnsi="Arial" w:cstheme="majorBidi"/>
      <w:b/>
      <w:sz w:val="24"/>
      <w:szCs w:val="24"/>
      <w:lang w:val="it-IT" w:eastAsia="en-US"/>
    </w:rPr>
  </w:style>
  <w:style w:type="character" w:customStyle="1" w:styleId="Heading6Char">
    <w:name w:val="Heading 6 Char"/>
    <w:basedOn w:val="DefaultParagraphFont"/>
    <w:link w:val="Heading6"/>
    <w:uiPriority w:val="9"/>
    <w:rsid w:val="000E7A39"/>
    <w:rPr>
      <w:rFonts w:ascii="Arial" w:eastAsiaTheme="majorEastAsia" w:hAnsi="Arial" w:cstheme="majorBidi"/>
      <w:i/>
      <w:iCs/>
      <w:sz w:val="24"/>
      <w:szCs w:val="24"/>
      <w:lang w:val="it-IT" w:eastAsia="en-US"/>
    </w:rPr>
  </w:style>
  <w:style w:type="character" w:customStyle="1" w:styleId="Heading7Char">
    <w:name w:val="Heading 7 Char"/>
    <w:basedOn w:val="DefaultParagraphFont"/>
    <w:link w:val="Heading7"/>
    <w:uiPriority w:val="9"/>
    <w:semiHidden/>
    <w:rsid w:val="006D72DA"/>
    <w:rPr>
      <w:rFonts w:ascii="Arial" w:eastAsiaTheme="majorEastAsia" w:hAnsi="Arial" w:cstheme="majorBidi"/>
      <w:b/>
      <w:i/>
      <w:iCs/>
      <w:color w:val="404040" w:themeColor="text1" w:themeTint="BF"/>
      <w:sz w:val="24"/>
      <w:szCs w:val="24"/>
      <w:lang w:val="it-IT" w:eastAsia="en-US"/>
    </w:rPr>
  </w:style>
  <w:style w:type="character" w:customStyle="1" w:styleId="Heading8Char">
    <w:name w:val="Heading 8 Char"/>
    <w:basedOn w:val="DefaultParagraphFont"/>
    <w:link w:val="Heading8"/>
    <w:uiPriority w:val="9"/>
    <w:rsid w:val="006D72DA"/>
    <w:rPr>
      <w:rFonts w:ascii="Arial" w:eastAsiaTheme="majorEastAsia" w:hAnsi="Arial" w:cstheme="majorBidi"/>
      <w:b/>
      <w:sz w:val="36"/>
      <w:lang w:val="it-IT" w:eastAsia="en-US"/>
    </w:rPr>
  </w:style>
  <w:style w:type="character" w:customStyle="1" w:styleId="Heading9Char">
    <w:name w:val="Heading 9 Char"/>
    <w:basedOn w:val="DefaultParagraphFont"/>
    <w:link w:val="Heading9"/>
    <w:uiPriority w:val="9"/>
    <w:rsid w:val="006D72DA"/>
    <w:rPr>
      <w:rFonts w:ascii="Arial" w:eastAsiaTheme="majorEastAsia" w:hAnsi="Arial" w:cstheme="majorBidi"/>
      <w:b/>
      <w:iCs/>
      <w:sz w:val="28"/>
      <w:lang w:val="it-IT" w:eastAsia="en-US"/>
    </w:rPr>
  </w:style>
  <w:style w:type="character" w:styleId="FootnoteReference">
    <w:name w:val="footnote reference"/>
    <w:semiHidden/>
    <w:qFormat/>
    <w:rsid w:val="00B7591A"/>
    <w:rPr>
      <w:rFonts w:ascii="Arial" w:hAnsi="Arial"/>
      <w:sz w:val="20"/>
      <w:vertAlign w:val="superscript"/>
    </w:rPr>
  </w:style>
  <w:style w:type="character" w:styleId="Emphasis">
    <w:name w:val="Emphasis"/>
    <w:basedOn w:val="DefaultParagraphFont"/>
    <w:uiPriority w:val="99"/>
    <w:qFormat/>
    <w:rsid w:val="00900EC9"/>
    <w:rPr>
      <w:rFonts w:ascii="Arial" w:hAnsi="Arial"/>
      <w:i/>
      <w:iCs/>
    </w:rPr>
  </w:style>
  <w:style w:type="character" w:styleId="EndnoteReference">
    <w:name w:val="endnote reference"/>
    <w:basedOn w:val="DefaultParagraphFont"/>
    <w:uiPriority w:val="99"/>
    <w:unhideWhenUsed/>
    <w:rsid w:val="00900EC9"/>
    <w:rPr>
      <w:rFonts w:ascii="Arial" w:hAnsi="Arial"/>
      <w:vertAlign w:val="superscript"/>
    </w:rPr>
  </w:style>
  <w:style w:type="paragraph" w:styleId="EndnoteText">
    <w:name w:val="endnote text"/>
    <w:basedOn w:val="Normal"/>
    <w:link w:val="EndnoteTextChar"/>
    <w:uiPriority w:val="99"/>
    <w:unhideWhenUsed/>
    <w:rsid w:val="00833542"/>
    <w:pPr>
      <w:keepLines/>
      <w:tabs>
        <w:tab w:val="num" w:pos="567"/>
      </w:tabs>
      <w:spacing w:after="0" w:line="240" w:lineRule="auto"/>
      <w:ind w:left="720" w:hanging="720"/>
    </w:pPr>
    <w:rPr>
      <w:sz w:val="20"/>
    </w:rPr>
  </w:style>
  <w:style w:type="character" w:customStyle="1" w:styleId="EndnoteTextChar">
    <w:name w:val="Endnote Text Char"/>
    <w:basedOn w:val="DefaultParagraphFont"/>
    <w:link w:val="EndnoteText"/>
    <w:uiPriority w:val="99"/>
    <w:rsid w:val="00833542"/>
    <w:rPr>
      <w:rFonts w:ascii="Arial" w:hAnsi="Arial"/>
      <w:szCs w:val="24"/>
      <w:lang w:val="it-IT" w:eastAsia="en-US"/>
    </w:rPr>
  </w:style>
  <w:style w:type="character" w:styleId="FollowedHyperlink">
    <w:name w:val="FollowedHyperlink"/>
    <w:basedOn w:val="DefaultParagraphFont"/>
    <w:uiPriority w:val="99"/>
    <w:unhideWhenUsed/>
    <w:rsid w:val="00900EC9"/>
    <w:rPr>
      <w:rFonts w:ascii="Arial" w:hAnsi="Arial"/>
      <w:color w:val="800080" w:themeColor="followedHyperlink"/>
      <w:u w:val="single"/>
    </w:rPr>
  </w:style>
  <w:style w:type="paragraph" w:styleId="Footer">
    <w:name w:val="footer"/>
    <w:basedOn w:val="Normal"/>
    <w:next w:val="Normal"/>
    <w:link w:val="FooterChar"/>
    <w:uiPriority w:val="99"/>
    <w:unhideWhenUsed/>
    <w:rsid w:val="00900EC9"/>
    <w:pPr>
      <w:keepLines/>
      <w:tabs>
        <w:tab w:val="center" w:pos="4320"/>
        <w:tab w:val="right" w:pos="8640"/>
      </w:tabs>
      <w:spacing w:after="0" w:line="240" w:lineRule="auto"/>
    </w:pPr>
    <w:rPr>
      <w:b/>
      <w:sz w:val="18"/>
    </w:rPr>
  </w:style>
  <w:style w:type="character" w:customStyle="1" w:styleId="FooterChar">
    <w:name w:val="Footer Char"/>
    <w:basedOn w:val="DefaultParagraphFont"/>
    <w:link w:val="Footer"/>
    <w:uiPriority w:val="99"/>
    <w:rsid w:val="00900EC9"/>
    <w:rPr>
      <w:rFonts w:ascii="Arial" w:hAnsi="Arial"/>
      <w:b/>
      <w:sz w:val="18"/>
      <w:szCs w:val="24"/>
      <w:lang w:eastAsia="en-US"/>
    </w:rPr>
  </w:style>
  <w:style w:type="paragraph" w:styleId="FootnoteText">
    <w:name w:val="footnote text"/>
    <w:link w:val="FootnoteTextChar"/>
    <w:autoRedefine/>
    <w:uiPriority w:val="99"/>
    <w:qFormat/>
    <w:rsid w:val="00B7591A"/>
    <w:pPr>
      <w:ind w:left="397" w:hanging="397"/>
    </w:pPr>
    <w:rPr>
      <w:rFonts w:ascii="Arial" w:eastAsia="MS Mincho" w:hAnsi="Arial"/>
    </w:rPr>
  </w:style>
  <w:style w:type="character" w:customStyle="1" w:styleId="FootnoteTextChar">
    <w:name w:val="Footnote Text Char"/>
    <w:link w:val="FootnoteText"/>
    <w:uiPriority w:val="99"/>
    <w:rsid w:val="00B7591A"/>
    <w:rPr>
      <w:rFonts w:ascii="Arial" w:eastAsia="MS Mincho" w:hAnsi="Arial"/>
    </w:rPr>
  </w:style>
  <w:style w:type="paragraph" w:styleId="ListParagraph">
    <w:name w:val="List Paragraph"/>
    <w:basedOn w:val="Normal"/>
    <w:uiPriority w:val="34"/>
    <w:qFormat/>
    <w:rsid w:val="006D72DA"/>
    <w:pPr>
      <w:keepLines/>
      <w:ind w:left="720" w:hanging="720"/>
    </w:pPr>
  </w:style>
  <w:style w:type="paragraph" w:styleId="NormalIndent">
    <w:name w:val="Normal Indent"/>
    <w:basedOn w:val="Normal"/>
    <w:uiPriority w:val="99"/>
    <w:semiHidden/>
    <w:unhideWhenUsed/>
    <w:rsid w:val="00B7591A"/>
    <w:pPr>
      <w:ind w:left="680"/>
    </w:pPr>
  </w:style>
  <w:style w:type="character" w:styleId="PageNumber">
    <w:name w:val="page number"/>
    <w:basedOn w:val="DefaultParagraphFont"/>
    <w:semiHidden/>
    <w:rsid w:val="00B7591A"/>
    <w:rPr>
      <w:rFonts w:ascii="Arial" w:hAnsi="Arial"/>
      <w:sz w:val="20"/>
    </w:rPr>
  </w:style>
  <w:style w:type="paragraph" w:styleId="Quote">
    <w:name w:val="Quote"/>
    <w:basedOn w:val="Normal"/>
    <w:next w:val="Normal"/>
    <w:link w:val="QuoteChar"/>
    <w:uiPriority w:val="99"/>
    <w:rsid w:val="0040547E"/>
    <w:pPr>
      <w:keepLines/>
      <w:ind w:left="1247"/>
    </w:pPr>
    <w:rPr>
      <w:iCs/>
      <w:color w:val="000000" w:themeColor="text1"/>
    </w:rPr>
  </w:style>
  <w:style w:type="character" w:customStyle="1" w:styleId="QuoteChar">
    <w:name w:val="Quote Char"/>
    <w:basedOn w:val="DefaultParagraphFont"/>
    <w:link w:val="Quote"/>
    <w:uiPriority w:val="99"/>
    <w:rsid w:val="0040547E"/>
    <w:rPr>
      <w:rFonts w:ascii="Arial" w:hAnsi="Arial"/>
      <w:iCs/>
      <w:color w:val="000000" w:themeColor="text1"/>
      <w:sz w:val="24"/>
      <w:szCs w:val="24"/>
      <w:lang w:val="it-IT" w:eastAsia="en-US"/>
    </w:rPr>
  </w:style>
  <w:style w:type="character" w:styleId="Strong">
    <w:name w:val="Strong"/>
    <w:basedOn w:val="DefaultParagraphFont"/>
    <w:uiPriority w:val="99"/>
    <w:qFormat/>
    <w:rsid w:val="00900EC9"/>
    <w:rPr>
      <w:rFonts w:ascii="Arial" w:hAnsi="Arial"/>
      <w:b/>
      <w:bCs/>
      <w:i w:val="0"/>
      <w:color w:val="auto"/>
    </w:rPr>
  </w:style>
  <w:style w:type="table" w:customStyle="1" w:styleId="TableNormal10ptArial">
    <w:name w:val="Table Normal 10pt Arial"/>
    <w:basedOn w:val="TableNormal"/>
    <w:uiPriority w:val="99"/>
    <w:rsid w:val="00B7591A"/>
    <w:rPr>
      <w:rFonts w:ascii="Arial" w:hAnsi="Arial"/>
    </w:rPr>
    <w:tblPr>
      <w:tblInd w:w="0" w:type="dxa"/>
      <w:tblCellMar>
        <w:top w:w="0" w:type="dxa"/>
        <w:left w:w="108" w:type="dxa"/>
        <w:bottom w:w="0" w:type="dxa"/>
        <w:right w:w="108" w:type="dxa"/>
      </w:tblCellMar>
    </w:tblPr>
  </w:style>
  <w:style w:type="character" w:styleId="Hyperlink">
    <w:name w:val="Hyperlink"/>
    <w:uiPriority w:val="99"/>
    <w:unhideWhenUsed/>
    <w:rsid w:val="00900EC9"/>
    <w:rPr>
      <w:rFonts w:ascii="Arial" w:hAnsi="Arial"/>
      <w:color w:val="548DD4" w:themeColor="text2" w:themeTint="99"/>
      <w:u w:val="none"/>
    </w:rPr>
  </w:style>
  <w:style w:type="character" w:styleId="IntenseEmphasis">
    <w:name w:val="Intense Emphasis"/>
    <w:basedOn w:val="DefaultParagraphFont"/>
    <w:uiPriority w:val="21"/>
    <w:rsid w:val="00900EC9"/>
    <w:rPr>
      <w:rFonts w:ascii="Arial" w:hAnsi="Arial"/>
      <w:b/>
      <w:bCs/>
      <w:i/>
      <w:iCs/>
      <w:color w:val="auto"/>
    </w:rPr>
  </w:style>
  <w:style w:type="paragraph" w:customStyle="1" w:styleId="CopyrightText">
    <w:name w:val="Copyright Text"/>
    <w:basedOn w:val="Normal"/>
    <w:uiPriority w:val="99"/>
    <w:rsid w:val="00900EC9"/>
    <w:pPr>
      <w:widowControl w:val="0"/>
      <w:tabs>
        <w:tab w:val="left" w:pos="170"/>
      </w:tabs>
      <w:suppressAutoHyphens/>
      <w:autoSpaceDE w:val="0"/>
      <w:autoSpaceDN w:val="0"/>
      <w:adjustRightInd w:val="0"/>
      <w:spacing w:after="57"/>
      <w:textAlignment w:val="center"/>
    </w:pPr>
    <w:rPr>
      <w:rFonts w:cs="HelveticaCYPlain"/>
      <w:sz w:val="20"/>
      <w:szCs w:val="16"/>
      <w:u w:color="000000"/>
      <w:lang w:eastAsia="en-AU"/>
    </w:rPr>
  </w:style>
  <w:style w:type="paragraph" w:styleId="Header">
    <w:name w:val="header"/>
    <w:basedOn w:val="Normal"/>
    <w:next w:val="Normal"/>
    <w:link w:val="HeaderChar"/>
    <w:uiPriority w:val="99"/>
    <w:unhideWhenUsed/>
    <w:rsid w:val="00900EC9"/>
    <w:pPr>
      <w:keepLines/>
      <w:tabs>
        <w:tab w:val="center" w:pos="4320"/>
        <w:tab w:val="right" w:pos="8640"/>
      </w:tabs>
      <w:spacing w:after="0" w:line="240" w:lineRule="auto"/>
    </w:pPr>
    <w:rPr>
      <w:b/>
      <w:sz w:val="18"/>
    </w:rPr>
  </w:style>
  <w:style w:type="character" w:customStyle="1" w:styleId="HeaderChar">
    <w:name w:val="Header Char"/>
    <w:basedOn w:val="DefaultParagraphFont"/>
    <w:link w:val="Header"/>
    <w:uiPriority w:val="99"/>
    <w:rsid w:val="00900EC9"/>
    <w:rPr>
      <w:rFonts w:ascii="Arial" w:hAnsi="Arial"/>
      <w:b/>
      <w:sz w:val="18"/>
      <w:szCs w:val="24"/>
      <w:lang w:eastAsia="en-US"/>
    </w:rPr>
  </w:style>
  <w:style w:type="paragraph" w:customStyle="1" w:styleId="InternalTitleAHRC">
    <w:name w:val="Internal Title AHRC"/>
    <w:basedOn w:val="Normal"/>
    <w:uiPriority w:val="99"/>
    <w:rsid w:val="00900EC9"/>
    <w:pPr>
      <w:keepLines/>
      <w:widowControl w:val="0"/>
      <w:tabs>
        <w:tab w:val="left" w:pos="680"/>
      </w:tabs>
      <w:suppressAutoHyphens/>
      <w:autoSpaceDE w:val="0"/>
      <w:autoSpaceDN w:val="0"/>
      <w:adjustRightInd w:val="0"/>
      <w:spacing w:after="0"/>
      <w:ind w:left="283" w:hanging="283"/>
      <w:textAlignment w:val="center"/>
    </w:pPr>
    <w:rPr>
      <w:rFonts w:cs="HelveticaNeue-Bold"/>
      <w:b/>
      <w:bCs/>
      <w:color w:val="6D6F70"/>
      <w:sz w:val="20"/>
      <w:szCs w:val="20"/>
      <w:lang w:eastAsia="en-AU"/>
    </w:rPr>
  </w:style>
  <w:style w:type="paragraph" w:customStyle="1" w:styleId="EndnotesHeading">
    <w:name w:val="Endnotes (Heading)"/>
    <w:basedOn w:val="Normal"/>
    <w:rsid w:val="00B9369D"/>
    <w:pPr>
      <w:keepLines/>
    </w:pPr>
    <w:rPr>
      <w:b/>
      <w:color w:val="548DD4" w:themeColor="text2" w:themeTint="99"/>
      <w:sz w:val="20"/>
      <w:szCs w:val="18"/>
    </w:rPr>
  </w:style>
  <w:style w:type="paragraph" w:customStyle="1" w:styleId="TableHeader">
    <w:name w:val="Table Header"/>
    <w:basedOn w:val="Normal"/>
    <w:uiPriority w:val="99"/>
    <w:rsid w:val="00402009"/>
    <w:pPr>
      <w:widowControl w:val="0"/>
      <w:suppressAutoHyphens/>
      <w:autoSpaceDE w:val="0"/>
      <w:autoSpaceDN w:val="0"/>
      <w:adjustRightInd w:val="0"/>
      <w:spacing w:after="0" w:line="240" w:lineRule="auto"/>
      <w:textAlignment w:val="center"/>
    </w:pPr>
    <w:rPr>
      <w:rFonts w:cs="HelveticaCYBold"/>
      <w:b/>
      <w:bCs/>
      <w:sz w:val="20"/>
      <w:szCs w:val="17"/>
      <w:lang w:val="en-US" w:eastAsia="en-AU"/>
    </w:rPr>
  </w:style>
  <w:style w:type="paragraph" w:customStyle="1" w:styleId="TableText">
    <w:name w:val="Table Text"/>
    <w:basedOn w:val="Normal"/>
    <w:uiPriority w:val="99"/>
    <w:rsid w:val="00402009"/>
    <w:pPr>
      <w:widowControl w:val="0"/>
      <w:suppressAutoHyphens/>
      <w:autoSpaceDE w:val="0"/>
      <w:autoSpaceDN w:val="0"/>
      <w:adjustRightInd w:val="0"/>
      <w:spacing w:after="0" w:line="240" w:lineRule="auto"/>
      <w:textAlignment w:val="center"/>
    </w:pPr>
    <w:rPr>
      <w:rFonts w:cs="HelveticaCYPlain"/>
      <w:color w:val="000000"/>
      <w:sz w:val="20"/>
      <w:szCs w:val="15"/>
      <w:lang w:val="en-US" w:eastAsia="en-AU"/>
    </w:rPr>
  </w:style>
  <w:style w:type="paragraph" w:customStyle="1" w:styleId="BulletsList">
    <w:name w:val="Bullets List"/>
    <w:basedOn w:val="Normal"/>
    <w:uiPriority w:val="99"/>
    <w:rsid w:val="00D82B60"/>
    <w:pPr>
      <w:keepLines/>
      <w:widowControl w:val="0"/>
      <w:tabs>
        <w:tab w:val="left" w:pos="567"/>
        <w:tab w:val="num" w:pos="964"/>
      </w:tabs>
      <w:suppressAutoHyphens/>
      <w:autoSpaceDE w:val="0"/>
      <w:autoSpaceDN w:val="0"/>
      <w:adjustRightInd w:val="0"/>
      <w:ind w:left="1644" w:hanging="357"/>
      <w:textAlignment w:val="center"/>
    </w:pPr>
    <w:rPr>
      <w:rFonts w:cs="HelveticaNeue"/>
      <w:color w:val="000000"/>
      <w:szCs w:val="17"/>
      <w:lang w:val="en-US" w:eastAsia="en-AU"/>
    </w:rPr>
  </w:style>
  <w:style w:type="paragraph" w:customStyle="1" w:styleId="BulletsList0">
    <w:name w:val="Bullets List &gt;"/>
    <w:basedOn w:val="BulletsList"/>
    <w:uiPriority w:val="99"/>
    <w:rsid w:val="006D72DA"/>
    <w:pPr>
      <w:tabs>
        <w:tab w:val="clear" w:pos="964"/>
        <w:tab w:val="num" w:pos="1247"/>
      </w:tabs>
      <w:ind w:left="1247" w:hanging="283"/>
    </w:pPr>
  </w:style>
  <w:style w:type="paragraph" w:customStyle="1" w:styleId="BulletsList1">
    <w:name w:val="Bullets List &gt;&gt;"/>
    <w:basedOn w:val="BulletsList0"/>
    <w:uiPriority w:val="99"/>
    <w:rsid w:val="006D72DA"/>
    <w:pPr>
      <w:tabs>
        <w:tab w:val="clear" w:pos="1247"/>
        <w:tab w:val="left" w:pos="850"/>
        <w:tab w:val="num" w:pos="1531"/>
      </w:tabs>
      <w:ind w:left="1531" w:hanging="284"/>
    </w:pPr>
  </w:style>
  <w:style w:type="paragraph" w:customStyle="1" w:styleId="BulletsMargin">
    <w:name w:val="Bullets Margin"/>
    <w:basedOn w:val="Normal"/>
    <w:uiPriority w:val="99"/>
    <w:rsid w:val="006D72DA"/>
    <w:pPr>
      <w:keepLines/>
      <w:widowControl w:val="0"/>
      <w:tabs>
        <w:tab w:val="num" w:pos="680"/>
      </w:tabs>
      <w:suppressAutoHyphens/>
      <w:autoSpaceDE w:val="0"/>
      <w:autoSpaceDN w:val="0"/>
      <w:adjustRightInd w:val="0"/>
      <w:spacing w:after="100"/>
      <w:ind w:left="680" w:hanging="396"/>
      <w:textAlignment w:val="center"/>
    </w:pPr>
    <w:rPr>
      <w:rFonts w:cs="HelveticaNeue"/>
      <w:color w:val="000000"/>
      <w:szCs w:val="17"/>
      <w:lang w:val="en-US" w:eastAsia="en-AU"/>
    </w:rPr>
  </w:style>
  <w:style w:type="paragraph" w:customStyle="1" w:styleId="PullQuote">
    <w:name w:val="Pull Quote"/>
    <w:basedOn w:val="Normal"/>
    <w:uiPriority w:val="99"/>
    <w:rsid w:val="00900EC9"/>
    <w:pPr>
      <w:keepLines/>
      <w:widowControl w:val="0"/>
      <w:suppressAutoHyphens/>
      <w:autoSpaceDE w:val="0"/>
      <w:autoSpaceDN w:val="0"/>
      <w:adjustRightInd w:val="0"/>
      <w:spacing w:after="0"/>
      <w:textAlignment w:val="center"/>
    </w:pPr>
    <w:rPr>
      <w:rFonts w:cs="HelveticaNeue-Bold"/>
      <w:b/>
      <w:bCs/>
      <w:color w:val="FFFFFF" w:themeColor="background1"/>
      <w:szCs w:val="16"/>
      <w:lang w:val="en-US" w:eastAsia="en-AU"/>
    </w:rPr>
  </w:style>
  <w:style w:type="paragraph" w:styleId="TOC1">
    <w:name w:val="toc 1"/>
    <w:basedOn w:val="Normal"/>
    <w:next w:val="Normal"/>
    <w:autoRedefine/>
    <w:uiPriority w:val="39"/>
    <w:unhideWhenUsed/>
    <w:rsid w:val="007E1FD7"/>
    <w:pPr>
      <w:keepLines/>
      <w:tabs>
        <w:tab w:val="left" w:pos="720"/>
        <w:tab w:val="right" w:pos="9015"/>
      </w:tabs>
    </w:pPr>
    <w:rPr>
      <w:b/>
    </w:rPr>
  </w:style>
  <w:style w:type="paragraph" w:styleId="TOC2">
    <w:name w:val="toc 2"/>
    <w:basedOn w:val="Normal"/>
    <w:next w:val="Normal"/>
    <w:autoRedefine/>
    <w:uiPriority w:val="39"/>
    <w:unhideWhenUsed/>
    <w:rsid w:val="00232D6D"/>
    <w:pPr>
      <w:keepLines/>
      <w:tabs>
        <w:tab w:val="left" w:pos="720"/>
        <w:tab w:val="left" w:pos="1440"/>
        <w:tab w:val="right" w:pos="9015"/>
      </w:tabs>
      <w:ind w:left="720"/>
    </w:pPr>
  </w:style>
  <w:style w:type="paragraph" w:customStyle="1" w:styleId="EndnoteBullets">
    <w:name w:val="Endnote Bullets"/>
    <w:uiPriority w:val="99"/>
    <w:rsid w:val="00900EC9"/>
    <w:pPr>
      <w:widowControl w:val="0"/>
      <w:tabs>
        <w:tab w:val="left" w:pos="567"/>
      </w:tabs>
      <w:suppressAutoHyphens/>
      <w:autoSpaceDE w:val="0"/>
      <w:autoSpaceDN w:val="0"/>
      <w:adjustRightInd w:val="0"/>
      <w:textAlignment w:val="center"/>
    </w:pPr>
    <w:rPr>
      <w:rFonts w:ascii="Arial" w:hAnsi="Arial" w:cs="HelveticaNeue"/>
      <w:color w:val="000000"/>
      <w:lang w:val="en-US"/>
    </w:rPr>
  </w:style>
  <w:style w:type="paragraph" w:customStyle="1" w:styleId="NoParagraphStyle">
    <w:name w:val="[No Paragraph Style]"/>
    <w:rsid w:val="000E3DC1"/>
    <w:pPr>
      <w:widowControl w:val="0"/>
      <w:autoSpaceDE w:val="0"/>
      <w:autoSpaceDN w:val="0"/>
      <w:adjustRightInd w:val="0"/>
      <w:spacing w:line="288" w:lineRule="auto"/>
      <w:textAlignment w:val="center"/>
    </w:pPr>
    <w:rPr>
      <w:rFonts w:ascii="Times-Roman" w:hAnsi="Times-Roman" w:cs="Times-Roman"/>
      <w:color w:val="000000"/>
      <w:sz w:val="24"/>
      <w:szCs w:val="24"/>
      <w:lang w:val="en-US"/>
    </w:rPr>
  </w:style>
  <w:style w:type="paragraph" w:customStyle="1" w:styleId="InternalTitleBold">
    <w:name w:val="Internal Title Bold"/>
    <w:basedOn w:val="NoParagraphStyle"/>
    <w:uiPriority w:val="99"/>
    <w:rsid w:val="000E3DC1"/>
    <w:pPr>
      <w:keepNext/>
      <w:tabs>
        <w:tab w:val="left" w:pos="567"/>
      </w:tabs>
      <w:suppressAutoHyphens/>
      <w:spacing w:after="283" w:line="400" w:lineRule="atLeast"/>
    </w:pPr>
    <w:rPr>
      <w:rFonts w:ascii="HelveticaCYBold" w:hAnsi="HelveticaCYBold" w:cs="HelveticaCYBold"/>
      <w:b/>
      <w:bCs/>
      <w:color w:val="4C4C4C"/>
      <w:sz w:val="36"/>
      <w:szCs w:val="36"/>
      <w:lang w:val="en-AU"/>
    </w:rPr>
  </w:style>
  <w:style w:type="paragraph" w:customStyle="1" w:styleId="Footnote">
    <w:name w:val="Footnote"/>
    <w:basedOn w:val="NoParagraphStyle"/>
    <w:uiPriority w:val="99"/>
    <w:rsid w:val="000E3DC1"/>
    <w:pPr>
      <w:tabs>
        <w:tab w:val="left" w:pos="680"/>
      </w:tabs>
      <w:suppressAutoHyphens/>
      <w:ind w:left="283" w:hanging="283"/>
    </w:pPr>
    <w:rPr>
      <w:rFonts w:ascii="HelveticaNeue" w:hAnsi="HelveticaNeue" w:cs="HelveticaNeue"/>
      <w:sz w:val="14"/>
      <w:szCs w:val="14"/>
      <w:lang w:val="en-AU"/>
    </w:rPr>
  </w:style>
  <w:style w:type="paragraph" w:styleId="BalloonText">
    <w:name w:val="Balloon Text"/>
    <w:basedOn w:val="Normal"/>
    <w:link w:val="BalloonTextChar"/>
    <w:uiPriority w:val="99"/>
    <w:semiHidden/>
    <w:unhideWhenUsed/>
    <w:rsid w:val="000E3DC1"/>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E3DC1"/>
    <w:rPr>
      <w:rFonts w:ascii="Lucida Grande" w:hAnsi="Lucida Grande" w:cs="Lucida Grande"/>
      <w:sz w:val="18"/>
      <w:szCs w:val="18"/>
      <w:lang w:val="it-IT" w:eastAsia="en-US"/>
    </w:rPr>
  </w:style>
  <w:style w:type="paragraph" w:customStyle="1" w:styleId="LetterAHRC">
    <w:name w:val="Letter (AHRC)"/>
    <w:basedOn w:val="NoParagraphStyle"/>
    <w:uiPriority w:val="99"/>
    <w:rsid w:val="000E3DC1"/>
    <w:pPr>
      <w:suppressAutoHyphens/>
      <w:spacing w:after="113"/>
    </w:pPr>
    <w:rPr>
      <w:rFonts w:ascii="HelveticaCYBold" w:hAnsi="HelveticaCYBold" w:cs="HelveticaCYBold"/>
      <w:b/>
      <w:bCs/>
      <w:sz w:val="15"/>
      <w:szCs w:val="15"/>
    </w:rPr>
  </w:style>
  <w:style w:type="paragraph" w:customStyle="1" w:styleId="LetterheadAddress">
    <w:name w:val="Letterhead Address"/>
    <w:basedOn w:val="NoParagraphStyle"/>
    <w:uiPriority w:val="99"/>
    <w:rsid w:val="000E3DC1"/>
    <w:pPr>
      <w:suppressAutoHyphens/>
      <w:spacing w:after="57"/>
    </w:pPr>
    <w:rPr>
      <w:rFonts w:ascii="HelveticaNeue" w:hAnsi="HelveticaNeue" w:cs="HelveticaNeue"/>
      <w:sz w:val="14"/>
      <w:szCs w:val="14"/>
      <w:lang w:val="en-AU"/>
    </w:rPr>
  </w:style>
  <w:style w:type="paragraph" w:styleId="BodyTextIndent">
    <w:name w:val="Body Text Indent"/>
    <w:basedOn w:val="Normal"/>
    <w:link w:val="BodyTextIndentChar"/>
    <w:uiPriority w:val="99"/>
    <w:unhideWhenUsed/>
    <w:rsid w:val="00D6621A"/>
    <w:pPr>
      <w:spacing w:after="120"/>
      <w:ind w:left="283"/>
    </w:pPr>
  </w:style>
  <w:style w:type="character" w:customStyle="1" w:styleId="BodyTextIndentChar">
    <w:name w:val="Body Text Indent Char"/>
    <w:basedOn w:val="DefaultParagraphFont"/>
    <w:link w:val="BodyTextIndent"/>
    <w:uiPriority w:val="99"/>
    <w:rsid w:val="00D6621A"/>
    <w:rPr>
      <w:rFonts w:ascii="Arial" w:hAnsi="Arial"/>
      <w:sz w:val="24"/>
      <w:szCs w:val="24"/>
      <w:lang w:val="it-IT" w:eastAsia="en-US"/>
    </w:rPr>
  </w:style>
  <w:style w:type="paragraph" w:customStyle="1" w:styleId="Heading11">
    <w:name w:val="Heading 1: 1"/>
    <w:basedOn w:val="NoParagraphStyle"/>
    <w:next w:val="Normal"/>
    <w:uiPriority w:val="99"/>
    <w:rsid w:val="00D6621A"/>
    <w:pPr>
      <w:keepNext/>
      <w:tabs>
        <w:tab w:val="left" w:pos="680"/>
      </w:tabs>
      <w:suppressAutoHyphens/>
      <w:spacing w:before="227" w:after="227" w:line="520" w:lineRule="atLeast"/>
      <w:ind w:left="680" w:hanging="680"/>
    </w:pPr>
    <w:rPr>
      <w:rFonts w:ascii="HelveticaCYPlain" w:hAnsi="HelveticaCYPlain" w:cs="HelveticaCYPlain"/>
      <w:color w:val="4C4C4C"/>
      <w:sz w:val="52"/>
      <w:szCs w:val="52"/>
      <w:lang w:val="en-AU"/>
    </w:rPr>
  </w:style>
  <w:style w:type="paragraph" w:customStyle="1" w:styleId="Bulletsa">
    <w:name w:val="Bullets (a)"/>
    <w:basedOn w:val="NoParagraphStyle"/>
    <w:next w:val="NoParagraphStyle"/>
    <w:uiPriority w:val="99"/>
    <w:rsid w:val="004B2F40"/>
    <w:pPr>
      <w:keepLines/>
      <w:widowControl/>
      <w:suppressAutoHyphens/>
      <w:spacing w:after="200"/>
      <w:ind w:left="2160" w:hanging="720"/>
    </w:pPr>
    <w:rPr>
      <w:rFonts w:ascii="Arial" w:hAnsi="Arial" w:cs="HelveticaNeue"/>
      <w:szCs w:val="17"/>
    </w:rPr>
  </w:style>
  <w:style w:type="paragraph" w:customStyle="1" w:styleId="Heading211">
    <w:name w:val="Heading 2: 1.1"/>
    <w:basedOn w:val="Normal"/>
    <w:uiPriority w:val="99"/>
    <w:rsid w:val="00D6621A"/>
    <w:pPr>
      <w:keepNext/>
      <w:keepLines/>
      <w:widowControl w:val="0"/>
      <w:tabs>
        <w:tab w:val="left" w:pos="0"/>
        <w:tab w:val="left" w:pos="680"/>
      </w:tabs>
      <w:suppressAutoHyphens/>
      <w:autoSpaceDE w:val="0"/>
      <w:autoSpaceDN w:val="0"/>
      <w:adjustRightInd w:val="0"/>
      <w:spacing w:before="170" w:after="170" w:line="360" w:lineRule="atLeast"/>
      <w:ind w:left="680" w:hanging="680"/>
      <w:textAlignment w:val="center"/>
    </w:pPr>
    <w:rPr>
      <w:rFonts w:ascii="HelveticaCYPlain" w:hAnsi="HelveticaCYPlain" w:cs="HelveticaCYPlain"/>
      <w:color w:val="000000"/>
      <w:sz w:val="36"/>
      <w:szCs w:val="36"/>
      <w:lang w:val="en-AU" w:eastAsia="en-AU"/>
    </w:rPr>
  </w:style>
  <w:style w:type="paragraph" w:customStyle="1" w:styleId="Bulletsi">
    <w:name w:val="Bullets i)"/>
    <w:basedOn w:val="NoParagraphStyle"/>
    <w:next w:val="NoParagraphStyle"/>
    <w:uiPriority w:val="99"/>
    <w:rsid w:val="0040547E"/>
    <w:pPr>
      <w:keepLines/>
      <w:suppressAutoHyphens/>
      <w:spacing w:after="100"/>
      <w:ind w:left="1814" w:hanging="567"/>
    </w:pPr>
    <w:rPr>
      <w:rFonts w:ascii="Arial" w:hAnsi="Arial" w:cs="HelveticaNeue"/>
      <w:color w:val="auto"/>
      <w:szCs w:val="17"/>
    </w:rPr>
  </w:style>
  <w:style w:type="paragraph" w:customStyle="1" w:styleId="BodyQuote10mm2">
    <w:name w:val="Body Quote 10mm +2"/>
    <w:basedOn w:val="NoParagraphStyle"/>
    <w:uiPriority w:val="99"/>
    <w:rsid w:val="00D6621A"/>
    <w:pPr>
      <w:keepLines/>
      <w:suppressAutoHyphens/>
      <w:spacing w:after="113"/>
      <w:ind w:left="1247"/>
    </w:pPr>
    <w:rPr>
      <w:rFonts w:ascii="HelveticaNeue" w:hAnsi="HelveticaNeue" w:cs="HelveticaNeue"/>
      <w:sz w:val="17"/>
      <w:szCs w:val="17"/>
      <w:lang w:val="en-GB"/>
    </w:rPr>
  </w:style>
  <w:style w:type="paragraph" w:customStyle="1" w:styleId="Bullets1">
    <w:name w:val="Bullets 1."/>
    <w:basedOn w:val="NoParagraphStyle"/>
    <w:next w:val="NoParagraphStyle"/>
    <w:uiPriority w:val="99"/>
    <w:rsid w:val="00DB4E90"/>
    <w:pPr>
      <w:tabs>
        <w:tab w:val="left" w:pos="850"/>
      </w:tabs>
      <w:suppressAutoHyphens/>
      <w:spacing w:after="113"/>
      <w:ind w:left="1440" w:hanging="720"/>
    </w:pPr>
    <w:rPr>
      <w:rFonts w:ascii="Arial" w:hAnsi="Arial" w:cs="HelveticaNeue"/>
      <w:szCs w:val="17"/>
    </w:rPr>
  </w:style>
  <w:style w:type="paragraph" w:customStyle="1" w:styleId="BodyTextIndent12mm">
    <w:name w:val="Body Text Indent 12mm"/>
    <w:basedOn w:val="BodyTextIndent"/>
    <w:uiPriority w:val="99"/>
    <w:rsid w:val="00D6621A"/>
    <w:pPr>
      <w:widowControl w:val="0"/>
      <w:tabs>
        <w:tab w:val="left" w:pos="567"/>
      </w:tabs>
      <w:suppressAutoHyphens/>
      <w:autoSpaceDE w:val="0"/>
      <w:autoSpaceDN w:val="0"/>
      <w:adjustRightInd w:val="0"/>
      <w:spacing w:after="113"/>
      <w:ind w:left="680"/>
      <w:textAlignment w:val="center"/>
    </w:pPr>
    <w:rPr>
      <w:rFonts w:ascii="HelveticaNeue" w:hAnsi="HelveticaNeue" w:cs="HelveticaNeue"/>
      <w:color w:val="000000"/>
      <w:sz w:val="17"/>
      <w:szCs w:val="17"/>
      <w:lang w:val="en-US" w:eastAsia="en-AU"/>
    </w:rPr>
  </w:style>
  <w:style w:type="character" w:customStyle="1" w:styleId="Pantone300C">
    <w:name w:val="Pantone 300 C"/>
    <w:uiPriority w:val="99"/>
    <w:rsid w:val="00D6621A"/>
    <w:rPr>
      <w:color w:val="008EFF"/>
    </w:rPr>
  </w:style>
  <w:style w:type="paragraph" w:styleId="Revision">
    <w:name w:val="Revision"/>
    <w:hidden/>
    <w:uiPriority w:val="99"/>
    <w:semiHidden/>
    <w:rsid w:val="00651527"/>
    <w:rPr>
      <w:rFonts w:ascii="Arial" w:hAnsi="Arial"/>
      <w:sz w:val="24"/>
      <w:szCs w:val="24"/>
      <w:lang w:val="it-IT" w:eastAsia="en-US"/>
    </w:rPr>
  </w:style>
  <w:style w:type="paragraph" w:styleId="DocumentMap">
    <w:name w:val="Document Map"/>
    <w:basedOn w:val="Normal"/>
    <w:link w:val="DocumentMapChar"/>
    <w:uiPriority w:val="99"/>
    <w:semiHidden/>
    <w:unhideWhenUsed/>
    <w:rsid w:val="00651527"/>
    <w:pPr>
      <w:spacing w:after="0" w:line="240" w:lineRule="auto"/>
    </w:pPr>
    <w:rPr>
      <w:rFonts w:ascii="Lucida Grande" w:hAnsi="Lucida Grande" w:cs="Lucida Grande"/>
    </w:rPr>
  </w:style>
  <w:style w:type="character" w:customStyle="1" w:styleId="DocumentMapChar">
    <w:name w:val="Document Map Char"/>
    <w:basedOn w:val="DefaultParagraphFont"/>
    <w:link w:val="DocumentMap"/>
    <w:uiPriority w:val="99"/>
    <w:semiHidden/>
    <w:rsid w:val="00651527"/>
    <w:rPr>
      <w:rFonts w:ascii="Lucida Grande" w:hAnsi="Lucida Grande" w:cs="Lucida Grande"/>
      <w:sz w:val="24"/>
      <w:szCs w:val="24"/>
      <w:lang w:val="it-IT" w:eastAsia="en-US"/>
    </w:rPr>
  </w:style>
  <w:style w:type="paragraph" w:styleId="TOC3">
    <w:name w:val="toc 3"/>
    <w:basedOn w:val="Normal"/>
    <w:next w:val="Normal"/>
    <w:autoRedefine/>
    <w:uiPriority w:val="39"/>
    <w:unhideWhenUsed/>
    <w:rsid w:val="004C31E4"/>
    <w:pPr>
      <w:ind w:left="480"/>
    </w:pPr>
  </w:style>
  <w:style w:type="paragraph" w:styleId="TOC4">
    <w:name w:val="toc 4"/>
    <w:basedOn w:val="Normal"/>
    <w:next w:val="Normal"/>
    <w:autoRedefine/>
    <w:uiPriority w:val="39"/>
    <w:unhideWhenUsed/>
    <w:rsid w:val="004C31E4"/>
    <w:pPr>
      <w:ind w:left="720"/>
    </w:pPr>
  </w:style>
  <w:style w:type="paragraph" w:styleId="TOC5">
    <w:name w:val="toc 5"/>
    <w:basedOn w:val="Normal"/>
    <w:next w:val="Normal"/>
    <w:autoRedefine/>
    <w:uiPriority w:val="39"/>
    <w:unhideWhenUsed/>
    <w:rsid w:val="004C31E4"/>
    <w:pPr>
      <w:ind w:left="960"/>
    </w:pPr>
  </w:style>
  <w:style w:type="paragraph" w:styleId="TOC6">
    <w:name w:val="toc 6"/>
    <w:basedOn w:val="Normal"/>
    <w:next w:val="Normal"/>
    <w:autoRedefine/>
    <w:uiPriority w:val="39"/>
    <w:unhideWhenUsed/>
    <w:rsid w:val="004C31E4"/>
    <w:pPr>
      <w:ind w:left="1200"/>
    </w:pPr>
  </w:style>
  <w:style w:type="paragraph" w:styleId="TOC7">
    <w:name w:val="toc 7"/>
    <w:basedOn w:val="Normal"/>
    <w:next w:val="Normal"/>
    <w:autoRedefine/>
    <w:uiPriority w:val="39"/>
    <w:unhideWhenUsed/>
    <w:rsid w:val="004C31E4"/>
    <w:pPr>
      <w:ind w:left="1440"/>
    </w:pPr>
  </w:style>
  <w:style w:type="paragraph" w:styleId="TOC8">
    <w:name w:val="toc 8"/>
    <w:basedOn w:val="Normal"/>
    <w:next w:val="Normal"/>
    <w:autoRedefine/>
    <w:uiPriority w:val="39"/>
    <w:unhideWhenUsed/>
    <w:rsid w:val="004C31E4"/>
    <w:pPr>
      <w:ind w:left="1680"/>
    </w:pPr>
  </w:style>
  <w:style w:type="paragraph" w:styleId="TOC9">
    <w:name w:val="toc 9"/>
    <w:basedOn w:val="Normal"/>
    <w:next w:val="Normal"/>
    <w:autoRedefine/>
    <w:uiPriority w:val="39"/>
    <w:unhideWhenUsed/>
    <w:rsid w:val="004C31E4"/>
    <w:pPr>
      <w:ind w:left="1920"/>
    </w:pPr>
  </w:style>
  <w:style w:type="paragraph" w:customStyle="1" w:styleId="BodyListParagraph">
    <w:name w:val="Body List Paragraph"/>
    <w:basedOn w:val="BulletsList"/>
    <w:uiPriority w:val="99"/>
    <w:rsid w:val="00C95492"/>
    <w:pPr>
      <w:tabs>
        <w:tab w:val="clear" w:pos="567"/>
        <w:tab w:val="clear" w:pos="964"/>
        <w:tab w:val="left" w:pos="680"/>
      </w:tabs>
      <w:spacing w:after="113"/>
      <w:ind w:left="680" w:hanging="680"/>
    </w:pPr>
    <w:rPr>
      <w:rFonts w:ascii="HelveticaNeue" w:hAnsi="HelveticaNeue"/>
      <w:sz w:val="17"/>
    </w:rPr>
  </w:style>
  <w:style w:type="paragraph" w:customStyle="1" w:styleId="Bulletsa0">
    <w:name w:val="Bullets a)"/>
    <w:basedOn w:val="NoParagraphStyle"/>
    <w:next w:val="NoParagraphStyle"/>
    <w:uiPriority w:val="99"/>
    <w:rsid w:val="0040547E"/>
    <w:pPr>
      <w:suppressAutoHyphens/>
      <w:spacing w:after="200"/>
      <w:ind w:left="1854" w:hanging="567"/>
    </w:pPr>
    <w:rPr>
      <w:rFonts w:ascii="Arial" w:hAnsi="Arial" w:cs="HelveticaNeue"/>
      <w:szCs w:val="17"/>
    </w:rPr>
  </w:style>
  <w:style w:type="paragraph" w:customStyle="1" w:styleId="BasicParagraph">
    <w:name w:val="[Basic Paragraph]"/>
    <w:basedOn w:val="NoParagraphStyle"/>
    <w:uiPriority w:val="99"/>
    <w:rsid w:val="00C95492"/>
  </w:style>
  <w:style w:type="paragraph" w:customStyle="1" w:styleId="EndnoteFirst">
    <w:name w:val="Endnote (First)"/>
    <w:basedOn w:val="EndnoteText"/>
    <w:uiPriority w:val="99"/>
    <w:rsid w:val="00C95492"/>
    <w:pPr>
      <w:keepLines w:val="0"/>
      <w:widowControl w:val="0"/>
      <w:pBdr>
        <w:top w:val="single" w:sz="8" w:space="11" w:color="4C4C4C"/>
      </w:pBdr>
      <w:tabs>
        <w:tab w:val="left" w:pos="567"/>
      </w:tabs>
      <w:suppressAutoHyphens/>
      <w:autoSpaceDE w:val="0"/>
      <w:autoSpaceDN w:val="0"/>
      <w:adjustRightInd w:val="0"/>
      <w:spacing w:before="567" w:line="288" w:lineRule="auto"/>
      <w:ind w:left="340" w:hanging="340"/>
      <w:textAlignment w:val="center"/>
    </w:pPr>
    <w:rPr>
      <w:rFonts w:ascii="HelveticaNeue" w:hAnsi="HelveticaNeue" w:cs="HelveticaNeue"/>
      <w:color w:val="000000"/>
      <w:sz w:val="14"/>
      <w:szCs w:val="14"/>
      <w:lang w:val="en-US" w:eastAsia="en-AU"/>
    </w:rPr>
  </w:style>
  <w:style w:type="character" w:customStyle="1" w:styleId="EndnoteReference1">
    <w:name w:val="Endnote Reference1"/>
    <w:uiPriority w:val="99"/>
    <w:rsid w:val="00C95492"/>
    <w:rPr>
      <w:rFonts w:ascii="ArialMT" w:hAnsi="ArialMT" w:cs="ArialMT"/>
      <w:w w:val="100"/>
      <w:sz w:val="20"/>
      <w:szCs w:val="20"/>
      <w:vertAlign w:val="superscript"/>
    </w:rPr>
  </w:style>
  <w:style w:type="paragraph" w:customStyle="1" w:styleId="Heading3a">
    <w:name w:val="Heading 3: (a)"/>
    <w:basedOn w:val="NoParagraphStyle"/>
    <w:next w:val="Normal"/>
    <w:uiPriority w:val="99"/>
    <w:rsid w:val="00A43AB6"/>
    <w:pPr>
      <w:keepNext/>
      <w:tabs>
        <w:tab w:val="left" w:pos="0"/>
        <w:tab w:val="left" w:pos="680"/>
      </w:tabs>
      <w:suppressAutoHyphens/>
      <w:spacing w:before="170" w:after="170"/>
      <w:ind w:left="680" w:hanging="680"/>
    </w:pPr>
    <w:rPr>
      <w:rFonts w:ascii="HelveticaCYBold" w:hAnsi="HelveticaCYBold" w:cs="HelveticaCYBold"/>
      <w:b/>
      <w:bCs/>
      <w:sz w:val="20"/>
      <w:szCs w:val="20"/>
      <w:lang w:val="en-AU"/>
    </w:rPr>
  </w:style>
  <w:style w:type="paragraph" w:customStyle="1" w:styleId="BodyQuote10mm1">
    <w:name w:val="Body Quote 10mm +1"/>
    <w:basedOn w:val="BodyQuote10mm2"/>
    <w:uiPriority w:val="99"/>
    <w:rsid w:val="00A43AB6"/>
    <w:pPr>
      <w:spacing w:after="57"/>
    </w:pPr>
  </w:style>
  <w:style w:type="paragraph" w:customStyle="1" w:styleId="Nessunostileparagrafo">
    <w:name w:val="[Nessuno stile paragrafo]"/>
    <w:rsid w:val="009F3D05"/>
    <w:pPr>
      <w:widowControl w:val="0"/>
      <w:autoSpaceDE w:val="0"/>
      <w:autoSpaceDN w:val="0"/>
      <w:adjustRightInd w:val="0"/>
      <w:spacing w:line="288" w:lineRule="auto"/>
      <w:textAlignment w:val="center"/>
    </w:pPr>
    <w:rPr>
      <w:rFonts w:ascii="Times-Roman" w:hAnsi="Times-Roman" w:cs="Times-Roman"/>
      <w:color w:val="000000"/>
      <w:sz w:val="24"/>
      <w:szCs w:val="24"/>
      <w:lang w:val="en-US"/>
    </w:rPr>
  </w:style>
  <w:style w:type="paragraph" w:customStyle="1" w:styleId="Paragrafobase">
    <w:name w:val="[Paragrafo base]"/>
    <w:basedOn w:val="Nessunostileparagrafo"/>
    <w:uiPriority w:val="99"/>
    <w:rsid w:val="00415667"/>
  </w:style>
  <w:style w:type="paragraph" w:customStyle="1" w:styleId="ListParagraphBullets">
    <w:name w:val="List Paragraph (Bullets)"/>
    <w:basedOn w:val="ListParagraph"/>
    <w:qFormat/>
    <w:rsid w:val="00D61731"/>
    <w:pPr>
      <w:ind w:left="1797" w:hanging="357"/>
      <w:contextualSpacing/>
    </w:pPr>
    <w:rPr>
      <w:lang w:val="en-US" w:eastAsia="en-AU"/>
    </w:rPr>
  </w:style>
  <w:style w:type="paragraph" w:customStyle="1" w:styleId="ListParagraphBullets1">
    <w:name w:val="List Paragraph [Bullets 1.]"/>
    <w:basedOn w:val="Normal"/>
    <w:qFormat/>
    <w:rsid w:val="000433C2"/>
    <w:pPr>
      <w:ind w:left="1797" w:hanging="357"/>
      <w:contextualSpacing/>
    </w:pPr>
    <w:rPr>
      <w:lang w:val="en-US" w:eastAsia="en-AU"/>
    </w:rPr>
  </w:style>
  <w:style w:type="paragraph" w:customStyle="1" w:styleId="InternalSubTitlePlain">
    <w:name w:val="Internal Sub Title Plain"/>
    <w:basedOn w:val="Nessunostileparagrafo"/>
    <w:uiPriority w:val="99"/>
    <w:rsid w:val="00A44514"/>
    <w:pPr>
      <w:keepNext/>
      <w:tabs>
        <w:tab w:val="left" w:pos="567"/>
      </w:tabs>
      <w:suppressAutoHyphens/>
      <w:spacing w:after="850" w:line="360" w:lineRule="atLeast"/>
    </w:pPr>
    <w:rPr>
      <w:rFonts w:ascii="HelveticaCYPlain" w:hAnsi="HelveticaCYPlain" w:cs="HelveticaCYPlain"/>
      <w:color w:val="4C4C4C"/>
      <w:sz w:val="32"/>
      <w:szCs w:val="32"/>
      <w:lang w:val="en-AU"/>
    </w:rPr>
  </w:style>
  <w:style w:type="paragraph" w:customStyle="1" w:styleId="ParagrafobaseNumerato">
    <w:name w:val="Paragrafo base: Numerato"/>
    <w:basedOn w:val="BulletsList"/>
    <w:uiPriority w:val="99"/>
    <w:rsid w:val="00D50C8E"/>
    <w:pPr>
      <w:tabs>
        <w:tab w:val="clear" w:pos="567"/>
        <w:tab w:val="clear" w:pos="964"/>
        <w:tab w:val="left" w:pos="680"/>
      </w:tabs>
      <w:spacing w:after="113"/>
      <w:ind w:left="680" w:hanging="680"/>
    </w:pPr>
    <w:rPr>
      <w:rFonts w:ascii="HelveticaNeue" w:hAnsi="HelveticaNeue"/>
      <w:sz w:val="17"/>
    </w:rPr>
  </w:style>
  <w:style w:type="character" w:customStyle="1" w:styleId="Bold">
    <w:name w:val="Bold"/>
    <w:uiPriority w:val="99"/>
    <w:rsid w:val="00D50C8E"/>
    <w:rPr>
      <w:b/>
      <w:bCs/>
    </w:rPr>
  </w:style>
  <w:style w:type="character" w:customStyle="1" w:styleId="Pantone717C">
    <w:name w:val="Pantone 717 C"/>
    <w:uiPriority w:val="99"/>
    <w:rsid w:val="00D50C8E"/>
    <w:rPr>
      <w:color w:val="F97200"/>
    </w:rPr>
  </w:style>
  <w:style w:type="character" w:customStyle="1" w:styleId="Endnotes-Indent">
    <w:name w:val="Endnotes - Indent"/>
    <w:uiPriority w:val="99"/>
    <w:rsid w:val="00D50C8E"/>
  </w:style>
  <w:style w:type="paragraph" w:customStyle="1" w:styleId="NormalIndented">
    <w:name w:val="Normal Indented"/>
    <w:basedOn w:val="Quote"/>
    <w:qFormat/>
    <w:rsid w:val="00F57E16"/>
  </w:style>
  <w:style w:type="paragraph" w:customStyle="1" w:styleId="BulletsaQuote">
    <w:name w:val="Bullets (a) Quote"/>
    <w:basedOn w:val="BodyQuote10mm2"/>
    <w:uiPriority w:val="99"/>
    <w:rsid w:val="005E44F3"/>
    <w:pPr>
      <w:ind w:left="1531"/>
    </w:pPr>
  </w:style>
  <w:style w:type="paragraph" w:customStyle="1" w:styleId="Bulletsi0">
    <w:name w:val="Bullets (i)"/>
    <w:basedOn w:val="Bulletsa"/>
    <w:uiPriority w:val="99"/>
    <w:rsid w:val="005E44F3"/>
    <w:pPr>
      <w:keepLines w:val="0"/>
      <w:widowControl w:val="0"/>
      <w:spacing w:after="113"/>
      <w:ind w:left="355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humanrights.gov.au"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humanrights.gov.au/publications/index.html" TargetMode="External"/><Relationship Id="rId17" Type="http://schemas.openxmlformats.org/officeDocument/2006/relationships/hyperlink" Target="http://www.humanrights.gov.au" TargetMode="External"/><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creativecommons.org/licences/by/3.0/au" TargetMode="External"/><Relationship Id="rId5" Type="http://schemas.openxmlformats.org/officeDocument/2006/relationships/settings" Target="settings.xml"/><Relationship Id="rId15" Type="http://schemas.openxmlformats.org/officeDocument/2006/relationships/image" Target="media/image3.emf"/><Relationship Id="rId10" Type="http://schemas.openxmlformats.org/officeDocument/2006/relationships/image" Target="media/image2.emf"/><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communications@humanrights.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3B4BEA-76FF-4062-BBC7-055E36F1D6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5124</Words>
  <Characters>29211</Characters>
  <Application>Microsoft Office Word</Application>
  <DocSecurity>4</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Jo Clark</Company>
  <LinksUpToDate>false</LinksUpToDate>
  <CharactersWithSpaces>34267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 Clark</dc:creator>
  <cp:lastModifiedBy>Lara Emery</cp:lastModifiedBy>
  <cp:revision>2</cp:revision>
  <dcterms:created xsi:type="dcterms:W3CDTF">2014-10-26T22:09:00Z</dcterms:created>
  <dcterms:modified xsi:type="dcterms:W3CDTF">2014-10-26T22:09:00Z</dcterms:modified>
</cp:coreProperties>
</file>