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7C" w:rsidRPr="00AA54D3" w:rsidRDefault="006117EA" w:rsidP="00FC0D7D">
      <w:pPr>
        <w:tabs>
          <w:tab w:val="left" w:pos="3014"/>
        </w:tabs>
        <w:spacing w:after="3000"/>
        <w:jc w:val="both"/>
        <w:rPr>
          <w:sz w:val="20"/>
          <w:vertAlign w:val="superscript"/>
        </w:rPr>
      </w:pP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196.1pt;margin-top:-3.55pt;width:255.45pt;height:157.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JcNAIAAGAEAAAOAAAAZHJzL2Uyb0RvYy54bWysVNuO2jAQfa/Uf7D8XpJw2UtEWNFdUVVC&#10;uytBtc/GcUgk2+PahoR+fcdOYNG2T1VfzHhmMpdzjpk/dEqSo7CuAV3QbJRSIjSHstH7gv7Yrr7c&#10;UeI80yWToEVBT8LRh8XnT/PW5GIMNchSWIJFtMtbU9Dae5MnieO1UMyNwAiNwQqsYh6vdp+UlrVY&#10;XclknKY3SQu2NBa4cA69T32QLmL9qhLcv1SVE57IguJsPp42nrtwJos5y/eWmbrhwxjsH6ZQrNHY&#10;9FLqiXlGDrb5o5RquAUHlR9xUAlUVcNF3AG3ydIP22xqZkTcBcFx5gKT+39l+fPx1ZKmRO4o0Uwh&#10;RVvRefIVOpIFdFrjckzaGEzzHbpD5uB36AxLd5VV4RfXIRhHnE8XbEMxjs7J5DYbZzNKOMay6d3s&#10;Po3oJ++fG+v8NwGKBKOgFsmLmLLj2nlsiannlNBNw6qRMhIoNWkLejOZpfGDSwS/kDrkiiiFoUxY&#10;qR89WL7bdcM+OyhPuKaFXibO8FWDo6yZ86/Moi5wM9S6f8GjkoAtYbAoqcH++ps/5CNdGKWkRZ0V&#10;1P08MCsokd81EnmfTadBmPEynd2O8WKvI7vriD6oR0ApI1k4XTRDvpdns7Kg3vBJLENXDDHNsXdB&#10;/dl89L368UlxsVzGJJSiYX6tN4aH0gGwAPS2e2PWDGx4JPIZzopk+QdS+tyeluXBQ9VExgLAPapI&#10;X7igjCORw5ML7+T6HrPe/xgWvwEAAP//AwBQSwMEFAAGAAgAAAAhADlIlzHiAAAACgEAAA8AAABk&#10;cnMvZG93bnJldi54bWxMj01PwzAMhu9I/IfISNy2dJnYR2k6TZUmJASHjV24uY3XVjROabKt8OsJ&#10;J7jZ8qPXz5ttRtuJCw2+daxhNk1AEFfOtFxrOL7tJisQPiAb7ByThi/ysMlvbzJMjbvyni6HUIsY&#10;wj5FDU0IfSqlrxqy6KeuJ463kxsshrgOtTQDXmO47aRKkoW02HL80GBPRUPVx+FsNTwXu1fcl8qu&#10;vrvi6eW07T+P7w9a39+N20cQgcbwB8OvflSHPDqV7szGi07DfKlURDVMljMQEVgn8ziUGpRarEHm&#10;mfxfIf8BAAD//wMAUEsBAi0AFAAGAAgAAAAhALaDOJL+AAAA4QEAABMAAAAAAAAAAAAAAAAAAAAA&#10;AFtDb250ZW50X1R5cGVzXS54bWxQSwECLQAUAAYACAAAACEAOP0h/9YAAACUAQAACwAAAAAAAAAA&#10;AAAAAAAvAQAAX3JlbHMvLnJlbHNQSwECLQAUAAYACAAAACEAxo/SXDQCAABgBAAADgAAAAAAAAAA&#10;AAAAAAAuAgAAZHJzL2Uyb0RvYy54bWxQSwECLQAUAAYACAAAACEAOUiXMeIAAAAKAQAADwAAAAAA&#10;AAAAAAAAAACOBAAAZHJzL2Rvd25yZXYueG1sUEsFBgAAAAAEAAQA8wAAAJ0FAAAAAA==&#10;" filled="f" stroked="f" strokeweight=".5pt">
            <v:textbox style="mso-next-textbox:#Text Box 1">
              <w:txbxContent>
                <w:p w:rsidR="00850837" w:rsidRPr="0039781D" w:rsidRDefault="00850837" w:rsidP="00FD01B5">
                  <w:pPr>
                    <w:pStyle w:val="MainTitle"/>
                    <w:rPr>
                      <w:b/>
                    </w:rPr>
                  </w:pPr>
                  <w:r>
                    <w:t xml:space="preserve"> </w:t>
                  </w:r>
                  <w:r w:rsidRPr="0039781D">
                    <w:rPr>
                      <w:b/>
                    </w:rPr>
                    <w:t>Tell Me About:</w:t>
                  </w:r>
                </w:p>
                <w:p w:rsidR="00850837" w:rsidRDefault="00850837" w:rsidP="00FD01B5">
                  <w:pPr>
                    <w:pStyle w:val="MainTitle"/>
                  </w:pPr>
                  <w:r>
                    <w:t>Temporary Protection Visas</w:t>
                  </w:r>
                </w:p>
              </w:txbxContent>
            </v:textbox>
          </v:shape>
        </w:pict>
      </w:r>
      <w:bookmarkStart w:id="0" w:name="_Toc209316062"/>
      <w:bookmarkEnd w:id="0"/>
    </w:p>
    <w:p w:rsidR="00903D52" w:rsidRDefault="00903D52" w:rsidP="00FC0D7D">
      <w:pPr>
        <w:contextualSpacing/>
        <w:jc w:val="both"/>
        <w:rPr>
          <w:rFonts w:eastAsia="Times New Roman"/>
          <w:b/>
          <w:bCs/>
          <w:i/>
          <w:color w:val="237BBC"/>
          <w:kern w:val="32"/>
          <w:sz w:val="28"/>
          <w:szCs w:val="28"/>
        </w:rPr>
      </w:pPr>
    </w:p>
    <w:p w:rsidR="00903D52" w:rsidRDefault="00DE39AA" w:rsidP="0064124B">
      <w:pPr>
        <w:numPr>
          <w:ilvl w:val="0"/>
          <w:numId w:val="38"/>
        </w:numPr>
        <w:ind w:left="426" w:hanging="426"/>
        <w:contextualSpacing/>
        <w:jc w:val="both"/>
        <w:rPr>
          <w:rFonts w:eastAsia="Times New Roman"/>
          <w:b/>
          <w:bCs/>
          <w:i/>
          <w:color w:val="237BBC"/>
          <w:kern w:val="32"/>
          <w:sz w:val="28"/>
          <w:szCs w:val="28"/>
        </w:rPr>
      </w:pPr>
      <w:r>
        <w:rPr>
          <w:rFonts w:eastAsia="Times New Roman"/>
          <w:b/>
          <w:bCs/>
          <w:i/>
          <w:color w:val="237BBC"/>
          <w:kern w:val="32"/>
          <w:sz w:val="28"/>
          <w:szCs w:val="28"/>
        </w:rPr>
        <w:t>What are Temporary Protection Visas?</w:t>
      </w:r>
    </w:p>
    <w:p w:rsidR="00054D27" w:rsidRPr="00903D52" w:rsidRDefault="00903D52" w:rsidP="0064124B">
      <w:pPr>
        <w:ind w:left="426"/>
        <w:contextualSpacing/>
        <w:jc w:val="both"/>
        <w:rPr>
          <w:rFonts w:eastAsia="Times New Roman"/>
          <w:b/>
          <w:bCs/>
          <w:i/>
          <w:color w:val="237BBC"/>
          <w:kern w:val="32"/>
          <w:sz w:val="28"/>
          <w:szCs w:val="28"/>
        </w:rPr>
      </w:pPr>
      <w:r w:rsidRPr="00903D52">
        <w:rPr>
          <w:rFonts w:eastAsia="Times New Roman" w:cs="Arial"/>
          <w:color w:val="000000"/>
        </w:rPr>
        <w:tab/>
      </w:r>
    </w:p>
    <w:p w:rsidR="00903D52" w:rsidRPr="00903D52" w:rsidRDefault="00903D52" w:rsidP="0064124B">
      <w:pPr>
        <w:jc w:val="both"/>
        <w:rPr>
          <w:rFonts w:eastAsia="Times New Roman"/>
          <w:b/>
          <w:bCs/>
          <w:i/>
          <w:color w:val="237BBC"/>
          <w:kern w:val="32"/>
          <w:sz w:val="28"/>
          <w:szCs w:val="28"/>
        </w:rPr>
      </w:pPr>
      <w:r w:rsidRPr="00425D8D">
        <w:rPr>
          <w:rFonts w:eastAsia="Times New Roman" w:cs="Arial"/>
          <w:color w:val="000000"/>
        </w:rPr>
        <w:t>Temporary Protection Visas (TPVs) are a type of visa available to people who arrive in Australia without a visa and are found to be owed protection obligations.</w:t>
      </w:r>
      <w:r>
        <w:rPr>
          <w:rStyle w:val="EndnoteReference"/>
          <w:rFonts w:eastAsia="Times New Roman" w:cs="Arial"/>
          <w:color w:val="000000"/>
        </w:rPr>
        <w:endnoteReference w:id="1"/>
      </w:r>
      <w:r w:rsidRPr="00425D8D">
        <w:rPr>
          <w:rFonts w:eastAsia="Times New Roman" w:cs="Arial"/>
          <w:color w:val="000000"/>
        </w:rPr>
        <w:t xml:space="preserve"> </w:t>
      </w:r>
    </w:p>
    <w:p w:rsidR="00903D52" w:rsidRDefault="00903D52" w:rsidP="00FC0D7D">
      <w:pPr>
        <w:autoSpaceDE w:val="0"/>
        <w:autoSpaceDN w:val="0"/>
        <w:adjustRightInd w:val="0"/>
        <w:spacing w:before="0" w:after="0"/>
        <w:jc w:val="both"/>
        <w:rPr>
          <w:rFonts w:eastAsia="Times New Roman" w:cs="Arial"/>
          <w:color w:val="000000"/>
        </w:rPr>
      </w:pPr>
      <w:r>
        <w:rPr>
          <w:rFonts w:eastAsia="Times New Roman" w:cs="Arial"/>
          <w:color w:val="000000"/>
        </w:rPr>
        <w:t xml:space="preserve">As its name suggests, a TPV only permits the holder to remain in Australia temporarily (this can be contrasted with a </w:t>
      </w:r>
      <w:r w:rsidR="00D5059E">
        <w:rPr>
          <w:rFonts w:eastAsia="Times New Roman" w:cs="Arial"/>
          <w:color w:val="000000"/>
        </w:rPr>
        <w:t>P</w:t>
      </w:r>
      <w:r>
        <w:rPr>
          <w:rFonts w:eastAsia="Times New Roman" w:cs="Arial"/>
          <w:color w:val="000000"/>
        </w:rPr>
        <w:t xml:space="preserve">ermanent Protection Visa (PPV), which grants the holder permanent resident status). TPVs can last for up to three years, but some may be given for shorter periods. After a TPV expires, the holder can reapply for another TPV. </w:t>
      </w:r>
    </w:p>
    <w:p w:rsidR="00903D52" w:rsidRDefault="00903D52" w:rsidP="00FC0D7D">
      <w:pPr>
        <w:autoSpaceDE w:val="0"/>
        <w:autoSpaceDN w:val="0"/>
        <w:adjustRightInd w:val="0"/>
        <w:spacing w:before="0" w:after="0"/>
        <w:jc w:val="both"/>
        <w:rPr>
          <w:rFonts w:eastAsia="Times New Roman" w:cs="Arial"/>
          <w:color w:val="000000"/>
        </w:rPr>
      </w:pPr>
    </w:p>
    <w:p w:rsidR="00903D52" w:rsidRDefault="00903D52" w:rsidP="00FC0D7D">
      <w:pPr>
        <w:autoSpaceDE w:val="0"/>
        <w:autoSpaceDN w:val="0"/>
        <w:adjustRightInd w:val="0"/>
        <w:spacing w:before="0" w:after="0"/>
        <w:jc w:val="both"/>
        <w:rPr>
          <w:rFonts w:eastAsia="Times New Roman" w:cs="Arial"/>
          <w:color w:val="000000"/>
        </w:rPr>
      </w:pPr>
      <w:r>
        <w:rPr>
          <w:rFonts w:eastAsia="Times New Roman" w:cs="Arial"/>
          <w:color w:val="000000"/>
        </w:rPr>
        <w:t xml:space="preserve">TPV holders </w:t>
      </w:r>
      <w:r w:rsidR="00402AB4">
        <w:rPr>
          <w:rFonts w:eastAsia="Times New Roman" w:cs="Arial"/>
          <w:color w:val="000000"/>
        </w:rPr>
        <w:t xml:space="preserve">are </w:t>
      </w:r>
      <w:r>
        <w:rPr>
          <w:rFonts w:eastAsia="Times New Roman" w:cs="Arial"/>
          <w:color w:val="000000"/>
        </w:rPr>
        <w:t xml:space="preserve">permitted to work (potentially subject to </w:t>
      </w:r>
      <w:r w:rsidR="00402AB4">
        <w:rPr>
          <w:rFonts w:eastAsia="Times New Roman" w:cs="Arial"/>
          <w:color w:val="000000"/>
        </w:rPr>
        <w:t xml:space="preserve">certain restrictions), and </w:t>
      </w:r>
      <w:r>
        <w:rPr>
          <w:rFonts w:eastAsia="Times New Roman" w:cs="Arial"/>
          <w:color w:val="000000"/>
        </w:rPr>
        <w:t xml:space="preserve">have access to Medicare. They </w:t>
      </w:r>
      <w:r w:rsidR="00402AB4">
        <w:rPr>
          <w:rFonts w:eastAsia="Times New Roman" w:cs="Arial"/>
          <w:color w:val="000000"/>
        </w:rPr>
        <w:t xml:space="preserve">are </w:t>
      </w:r>
      <w:r>
        <w:rPr>
          <w:rFonts w:eastAsia="Times New Roman" w:cs="Arial"/>
          <w:color w:val="000000"/>
        </w:rPr>
        <w:t>eligible for some income assistance, but the level and terms of this assistance are within the discretion of the Minister for Immigration and Border Protection (the Minister has indicated that access to benefits will be subject to mutual obligation conditions).</w:t>
      </w:r>
      <w:r>
        <w:rPr>
          <w:rStyle w:val="EndnoteReference"/>
          <w:rFonts w:eastAsia="Times New Roman" w:cs="Arial"/>
          <w:color w:val="000000"/>
        </w:rPr>
        <w:endnoteReference w:id="2"/>
      </w:r>
      <w:r>
        <w:rPr>
          <w:rFonts w:eastAsia="Times New Roman" w:cs="Arial"/>
          <w:color w:val="000000"/>
        </w:rPr>
        <w:t xml:space="preserve"> </w:t>
      </w:r>
    </w:p>
    <w:p w:rsidR="00903D52" w:rsidRDefault="00903D52" w:rsidP="00FC0D7D">
      <w:pPr>
        <w:autoSpaceDE w:val="0"/>
        <w:autoSpaceDN w:val="0"/>
        <w:adjustRightInd w:val="0"/>
        <w:spacing w:before="0" w:after="0"/>
        <w:ind w:left="720"/>
        <w:jc w:val="both"/>
        <w:rPr>
          <w:rFonts w:eastAsia="Times New Roman" w:cs="Arial"/>
          <w:color w:val="000000"/>
        </w:rPr>
      </w:pPr>
    </w:p>
    <w:p w:rsidR="00AA54D3" w:rsidRPr="00C057BD" w:rsidRDefault="00903D52" w:rsidP="00FC0D7D">
      <w:pPr>
        <w:autoSpaceDE w:val="0"/>
        <w:autoSpaceDN w:val="0"/>
        <w:adjustRightInd w:val="0"/>
        <w:spacing w:before="0" w:after="0"/>
        <w:jc w:val="both"/>
      </w:pPr>
      <w:r>
        <w:t>If the holder of a</w:t>
      </w:r>
      <w:r w:rsidR="00402AB4">
        <w:t xml:space="preserve"> TPV leaves Australia, the TPV does </w:t>
      </w:r>
      <w:r>
        <w:t xml:space="preserve">not entitle him or her to return. TPV holders also are not able to sponsor family members for Australian visas, or be granted any substantive visa while in Australia. </w:t>
      </w:r>
    </w:p>
    <w:p w:rsidR="0099397C" w:rsidRPr="008E0801" w:rsidRDefault="0099397C" w:rsidP="00FC0D7D">
      <w:pPr>
        <w:contextualSpacing/>
        <w:jc w:val="both"/>
        <w:rPr>
          <w:rFonts w:eastAsia="Times New Roman"/>
          <w:b/>
          <w:bCs/>
          <w:color w:val="237BBC"/>
          <w:kern w:val="32"/>
          <w:sz w:val="28"/>
          <w:szCs w:val="28"/>
        </w:rPr>
      </w:pPr>
    </w:p>
    <w:p w:rsidR="00B924E6" w:rsidRPr="004E4520" w:rsidRDefault="004E4520" w:rsidP="00FC0D7D">
      <w:pPr>
        <w:numPr>
          <w:ilvl w:val="0"/>
          <w:numId w:val="38"/>
        </w:numPr>
        <w:ind w:left="426" w:hanging="426"/>
        <w:contextualSpacing/>
        <w:jc w:val="both"/>
        <w:rPr>
          <w:rFonts w:eastAsia="Times New Roman"/>
          <w:b/>
          <w:bCs/>
          <w:i/>
          <w:color w:val="237BBC"/>
          <w:kern w:val="32"/>
          <w:sz w:val="28"/>
          <w:szCs w:val="28"/>
        </w:rPr>
      </w:pPr>
      <w:r w:rsidRPr="004E4520">
        <w:rPr>
          <w:rFonts w:eastAsia="Times New Roman"/>
          <w:b/>
          <w:bCs/>
          <w:i/>
          <w:color w:val="237BBC"/>
          <w:kern w:val="32"/>
          <w:sz w:val="28"/>
          <w:szCs w:val="28"/>
        </w:rPr>
        <w:t>Which people have been granted</w:t>
      </w:r>
      <w:r w:rsidR="0064124B" w:rsidRPr="004E4520">
        <w:rPr>
          <w:rFonts w:eastAsia="Times New Roman"/>
          <w:b/>
          <w:bCs/>
          <w:i/>
          <w:color w:val="237BBC"/>
          <w:kern w:val="32"/>
          <w:sz w:val="28"/>
          <w:szCs w:val="28"/>
        </w:rPr>
        <w:t xml:space="preserve"> </w:t>
      </w:r>
      <w:r w:rsidRPr="004E4520">
        <w:rPr>
          <w:rFonts w:eastAsia="Times New Roman"/>
          <w:b/>
          <w:bCs/>
          <w:i/>
          <w:color w:val="237BBC"/>
          <w:kern w:val="32"/>
          <w:sz w:val="28"/>
          <w:szCs w:val="28"/>
        </w:rPr>
        <w:t>TPVs</w:t>
      </w:r>
      <w:r w:rsidR="00621719" w:rsidRPr="004E4520">
        <w:rPr>
          <w:rFonts w:eastAsia="Times New Roman"/>
          <w:b/>
          <w:bCs/>
          <w:i/>
          <w:color w:val="237BBC"/>
          <w:kern w:val="32"/>
          <w:sz w:val="28"/>
          <w:szCs w:val="28"/>
        </w:rPr>
        <w:t>?</w:t>
      </w:r>
    </w:p>
    <w:p w:rsidR="0064124B" w:rsidRPr="00621719" w:rsidRDefault="0064124B" w:rsidP="005A689E">
      <w:pPr>
        <w:ind w:left="426"/>
        <w:contextualSpacing/>
        <w:jc w:val="both"/>
        <w:rPr>
          <w:rFonts w:eastAsia="Times New Roman"/>
          <w:b/>
          <w:bCs/>
          <w:i/>
          <w:color w:val="237BBC"/>
          <w:kern w:val="32"/>
          <w:sz w:val="28"/>
          <w:szCs w:val="28"/>
        </w:rPr>
      </w:pPr>
    </w:p>
    <w:p w:rsidR="00F84647" w:rsidRPr="00903D52" w:rsidRDefault="00F84647" w:rsidP="00F84647">
      <w:pPr>
        <w:jc w:val="both"/>
        <w:rPr>
          <w:rFonts w:eastAsia="Times New Roman"/>
          <w:b/>
          <w:bCs/>
          <w:i/>
          <w:color w:val="237BBC"/>
          <w:kern w:val="32"/>
          <w:sz w:val="28"/>
          <w:szCs w:val="28"/>
        </w:rPr>
      </w:pPr>
      <w:r w:rsidRPr="00425D8D">
        <w:rPr>
          <w:rFonts w:eastAsia="Times New Roman" w:cs="Arial"/>
          <w:color w:val="000000"/>
        </w:rPr>
        <w:t>TPVs were (re)introduced by the Australian Government on 18 October 2013</w:t>
      </w:r>
      <w:r w:rsidR="0064124B">
        <w:rPr>
          <w:rFonts w:eastAsia="Times New Roman" w:cs="Arial"/>
          <w:color w:val="000000"/>
        </w:rPr>
        <w:t xml:space="preserve"> through a regulation</w:t>
      </w:r>
      <w:r w:rsidRPr="00425D8D">
        <w:rPr>
          <w:rFonts w:eastAsia="Times New Roman" w:cs="Arial"/>
          <w:color w:val="000000"/>
        </w:rPr>
        <w:t>.</w:t>
      </w:r>
      <w:r>
        <w:rPr>
          <w:rStyle w:val="EndnoteReference"/>
          <w:rFonts w:eastAsia="Times New Roman" w:cs="Arial"/>
          <w:color w:val="000000"/>
        </w:rPr>
        <w:endnoteReference w:id="3"/>
      </w:r>
      <w:r>
        <w:rPr>
          <w:rFonts w:eastAsia="Times New Roman" w:cs="Arial"/>
          <w:color w:val="000000"/>
        </w:rPr>
        <w:t xml:space="preserve"> However, on 2 December 2013 </w:t>
      </w:r>
      <w:r w:rsidR="0064124B">
        <w:rPr>
          <w:rFonts w:eastAsia="Times New Roman" w:cs="Arial"/>
          <w:color w:val="000000"/>
        </w:rPr>
        <w:t xml:space="preserve">the </w:t>
      </w:r>
      <w:r w:rsidR="00957012">
        <w:rPr>
          <w:rFonts w:eastAsia="Times New Roman" w:cs="Arial"/>
          <w:color w:val="000000"/>
        </w:rPr>
        <w:t xml:space="preserve">TPV </w:t>
      </w:r>
      <w:r w:rsidR="0064124B">
        <w:rPr>
          <w:rFonts w:eastAsia="Times New Roman" w:cs="Arial"/>
          <w:color w:val="000000"/>
        </w:rPr>
        <w:t>regulation was disallowed by the Senate</w:t>
      </w:r>
      <w:r w:rsidR="00957012">
        <w:rPr>
          <w:rFonts w:eastAsia="Times New Roman" w:cs="Arial"/>
          <w:color w:val="000000"/>
        </w:rPr>
        <w:t>, with the consequence that no more TPVs can be granted.</w:t>
      </w:r>
    </w:p>
    <w:p w:rsidR="00621719" w:rsidRDefault="00E25F37" w:rsidP="00FC0D7D">
      <w:pPr>
        <w:autoSpaceDE w:val="0"/>
        <w:autoSpaceDN w:val="0"/>
        <w:adjustRightInd w:val="0"/>
        <w:spacing w:before="0" w:after="0"/>
        <w:jc w:val="both"/>
        <w:rPr>
          <w:rFonts w:eastAsia="Times New Roman" w:cs="Arial"/>
          <w:color w:val="000000"/>
        </w:rPr>
      </w:pPr>
      <w:r>
        <w:rPr>
          <w:rFonts w:eastAsia="Times New Roman" w:cs="Arial"/>
          <w:color w:val="000000"/>
        </w:rPr>
        <w:t>While the regulation was in force, b</w:t>
      </w:r>
      <w:r w:rsidR="00957012">
        <w:rPr>
          <w:rFonts w:eastAsia="Times New Roman" w:cs="Arial"/>
          <w:color w:val="000000"/>
        </w:rPr>
        <w:t xml:space="preserve">etween 18 October and 2 December 2013 at least three </w:t>
      </w:r>
      <w:r>
        <w:rPr>
          <w:rFonts w:eastAsia="Times New Roman" w:cs="Arial"/>
          <w:color w:val="000000"/>
        </w:rPr>
        <w:t xml:space="preserve">TPVs were granted to </w:t>
      </w:r>
      <w:r w:rsidR="00957012">
        <w:rPr>
          <w:rFonts w:eastAsia="Times New Roman" w:cs="Arial"/>
          <w:color w:val="000000"/>
        </w:rPr>
        <w:t>asylum seekers</w:t>
      </w:r>
      <w:r>
        <w:rPr>
          <w:rFonts w:eastAsia="Times New Roman" w:cs="Arial"/>
          <w:color w:val="000000"/>
        </w:rPr>
        <w:t xml:space="preserve"> </w:t>
      </w:r>
      <w:r w:rsidR="00621719">
        <w:rPr>
          <w:rFonts w:eastAsia="Times New Roman" w:cs="Arial"/>
          <w:color w:val="000000"/>
        </w:rPr>
        <w:t>who arrive</w:t>
      </w:r>
      <w:r>
        <w:rPr>
          <w:rFonts w:eastAsia="Times New Roman" w:cs="Arial"/>
          <w:color w:val="000000"/>
        </w:rPr>
        <w:t>d</w:t>
      </w:r>
      <w:r w:rsidR="00621719">
        <w:rPr>
          <w:rFonts w:eastAsia="Times New Roman" w:cs="Arial"/>
          <w:color w:val="000000"/>
        </w:rPr>
        <w:t xml:space="preserve"> in Australia without a visa</w:t>
      </w:r>
      <w:r w:rsidR="00B259F0">
        <w:rPr>
          <w:rFonts w:eastAsia="Times New Roman" w:cs="Arial"/>
          <w:color w:val="000000"/>
        </w:rPr>
        <w:t xml:space="preserve"> and were found to be owed protection</w:t>
      </w:r>
      <w:r>
        <w:rPr>
          <w:rFonts w:eastAsia="Times New Roman" w:cs="Arial"/>
          <w:color w:val="000000"/>
        </w:rPr>
        <w:t>.</w:t>
      </w:r>
      <w:r w:rsidR="00C134E7">
        <w:rPr>
          <w:rStyle w:val="EndnoteReference"/>
          <w:rFonts w:eastAsia="Times New Roman" w:cs="Arial"/>
          <w:color w:val="000000"/>
        </w:rPr>
        <w:endnoteReference w:id="4"/>
      </w:r>
      <w:r w:rsidR="00621719">
        <w:rPr>
          <w:rFonts w:eastAsia="Times New Roman" w:cs="Arial"/>
          <w:color w:val="000000"/>
        </w:rPr>
        <w:t xml:space="preserve"> </w:t>
      </w:r>
      <w:r w:rsidR="00B259F0">
        <w:rPr>
          <w:rFonts w:eastAsia="Times New Roman" w:cs="Arial"/>
          <w:color w:val="000000"/>
        </w:rPr>
        <w:t xml:space="preserve">TPVs which were </w:t>
      </w:r>
      <w:r w:rsidR="00C134E7">
        <w:rPr>
          <w:rFonts w:eastAsia="Times New Roman" w:cs="Arial"/>
          <w:color w:val="000000"/>
        </w:rPr>
        <w:t xml:space="preserve">granted </w:t>
      </w:r>
      <w:r w:rsidR="00B259F0">
        <w:rPr>
          <w:rFonts w:eastAsia="Times New Roman" w:cs="Arial"/>
          <w:color w:val="000000"/>
        </w:rPr>
        <w:t>prior to the disallowance of the regulation on 2 December 2013 remain valid.</w:t>
      </w:r>
    </w:p>
    <w:p w:rsidR="00621719" w:rsidRDefault="00621719" w:rsidP="00FC0D7D">
      <w:pPr>
        <w:autoSpaceDE w:val="0"/>
        <w:autoSpaceDN w:val="0"/>
        <w:adjustRightInd w:val="0"/>
        <w:spacing w:before="0" w:after="0"/>
        <w:jc w:val="both"/>
        <w:rPr>
          <w:rFonts w:eastAsia="Times New Roman" w:cs="Arial"/>
          <w:color w:val="000000"/>
        </w:rPr>
      </w:pPr>
    </w:p>
    <w:p w:rsidR="00621719" w:rsidRPr="00324B50" w:rsidRDefault="00621719" w:rsidP="00FC0D7D">
      <w:pPr>
        <w:autoSpaceDE w:val="0"/>
        <w:autoSpaceDN w:val="0"/>
        <w:adjustRightInd w:val="0"/>
        <w:spacing w:before="0" w:after="0"/>
        <w:jc w:val="both"/>
        <w:rPr>
          <w:rFonts w:eastAsia="Times New Roman" w:cs="Arial"/>
          <w:color w:val="000000"/>
        </w:rPr>
        <w:sectPr w:rsidR="00621719" w:rsidRPr="00324B50" w:rsidSect="00B24B1D">
          <w:headerReference w:type="even" r:id="rId9"/>
          <w:headerReference w:type="default" r:id="rId10"/>
          <w:footerReference w:type="default" r:id="rId11"/>
          <w:headerReference w:type="first" r:id="rId12"/>
          <w:endnotePr>
            <w:numFmt w:val="decimal"/>
          </w:endnotePr>
          <w:type w:val="continuous"/>
          <w:pgSz w:w="11906" w:h="16838" w:code="9"/>
          <w:pgMar w:top="228" w:right="1700" w:bottom="1134" w:left="1418" w:header="277" w:footer="415" w:gutter="0"/>
          <w:cols w:space="708"/>
          <w:titlePg/>
          <w:docGrid w:linePitch="360"/>
        </w:sectPr>
      </w:pPr>
    </w:p>
    <w:p w:rsidR="003E3B55" w:rsidRDefault="003E3B55" w:rsidP="00324B50">
      <w:pPr>
        <w:contextualSpacing/>
        <w:jc w:val="both"/>
        <w:rPr>
          <w:rFonts w:eastAsia="Times New Roman"/>
          <w:b/>
          <w:bCs/>
          <w:i/>
          <w:color w:val="237BBC"/>
          <w:kern w:val="32"/>
          <w:sz w:val="28"/>
          <w:szCs w:val="28"/>
        </w:rPr>
      </w:pPr>
    </w:p>
    <w:p w:rsidR="00101F45" w:rsidRDefault="00101F45" w:rsidP="00FC0D7D">
      <w:pPr>
        <w:numPr>
          <w:ilvl w:val="0"/>
          <w:numId w:val="38"/>
        </w:numPr>
        <w:ind w:left="426" w:hanging="426"/>
        <w:contextualSpacing/>
        <w:jc w:val="both"/>
        <w:rPr>
          <w:rFonts w:eastAsia="Times New Roman"/>
          <w:b/>
          <w:bCs/>
          <w:i/>
          <w:color w:val="237BBC"/>
          <w:kern w:val="32"/>
          <w:sz w:val="28"/>
          <w:szCs w:val="28"/>
        </w:rPr>
      </w:pPr>
      <w:r>
        <w:rPr>
          <w:rFonts w:eastAsia="Times New Roman"/>
          <w:b/>
          <w:bCs/>
          <w:i/>
          <w:color w:val="237BBC"/>
          <w:kern w:val="32"/>
          <w:sz w:val="28"/>
          <w:szCs w:val="28"/>
        </w:rPr>
        <w:t>What is the difference between a TPV and a bridging visa?</w:t>
      </w:r>
    </w:p>
    <w:p w:rsidR="00101F45" w:rsidRPr="00101F45" w:rsidRDefault="00101F45" w:rsidP="00FC0D7D">
      <w:pPr>
        <w:ind w:left="426"/>
        <w:contextualSpacing/>
        <w:jc w:val="both"/>
        <w:rPr>
          <w:rFonts w:eastAsia="Times New Roman"/>
          <w:b/>
          <w:bCs/>
          <w:i/>
          <w:color w:val="237BBC"/>
          <w:kern w:val="32"/>
          <w:sz w:val="28"/>
          <w:szCs w:val="28"/>
        </w:rPr>
      </w:pPr>
    </w:p>
    <w:p w:rsidR="00101F45" w:rsidRDefault="00101F45" w:rsidP="00FC0D7D">
      <w:pPr>
        <w:jc w:val="both"/>
      </w:pPr>
      <w:r>
        <w:t xml:space="preserve">Like TPVs, bridging visas are temporary visas. They allow people (including asylum seekers) to legally reside in the Australian community while they are applying for a longer term visa, appealing a decision relating to their visa, or making arrangements to leave Australia.  </w:t>
      </w:r>
    </w:p>
    <w:p w:rsidR="00101F45" w:rsidRDefault="00101F45" w:rsidP="00FC0D7D">
      <w:pPr>
        <w:jc w:val="both"/>
      </w:pPr>
      <w:r>
        <w:rPr>
          <w:rFonts w:eastAsia="Times New Roman" w:cs="Arial"/>
          <w:color w:val="000000"/>
        </w:rPr>
        <w:t xml:space="preserve">The key difference is that bridging visas are granted to asylum seekers </w:t>
      </w:r>
      <w:r w:rsidRPr="00C057CE">
        <w:rPr>
          <w:rFonts w:eastAsia="Times New Roman" w:cs="Arial"/>
          <w:i/>
          <w:color w:val="000000"/>
        </w:rPr>
        <w:t>before</w:t>
      </w:r>
      <w:r>
        <w:rPr>
          <w:rFonts w:eastAsia="Times New Roman" w:cs="Arial"/>
          <w:color w:val="000000"/>
        </w:rPr>
        <w:t xml:space="preserve"> any decision is made about whether they should be granted protection in Australia. </w:t>
      </w:r>
      <w:r>
        <w:t>The purpose of granting a bridging visa to an asylum seeker is to allow them to remain in the community while their protection claims are being assessed.</w:t>
      </w:r>
      <w:r>
        <w:rPr>
          <w:rStyle w:val="EndnoteReference"/>
        </w:rPr>
        <w:endnoteReference w:id="5"/>
      </w:r>
      <w:r>
        <w:t xml:space="preserve"> </w:t>
      </w:r>
    </w:p>
    <w:p w:rsidR="00D20A69" w:rsidRPr="00D20A69" w:rsidRDefault="00101F45" w:rsidP="00FC0D7D">
      <w:pPr>
        <w:spacing w:before="0" w:after="0"/>
        <w:jc w:val="both"/>
        <w:rPr>
          <w:rFonts w:eastAsia="Times New Roman" w:cs="Arial"/>
          <w:color w:val="000000"/>
        </w:rPr>
      </w:pPr>
      <w:r>
        <w:rPr>
          <w:rFonts w:eastAsia="Times New Roman" w:cs="Arial"/>
          <w:color w:val="000000"/>
        </w:rPr>
        <w:t xml:space="preserve">TPVs, on the other hand, are granted to people </w:t>
      </w:r>
      <w:r w:rsidRPr="00C057CE">
        <w:rPr>
          <w:rFonts w:eastAsia="Times New Roman" w:cs="Arial"/>
          <w:i/>
          <w:color w:val="000000"/>
        </w:rPr>
        <w:t>after</w:t>
      </w:r>
      <w:r>
        <w:rPr>
          <w:rFonts w:eastAsia="Times New Roman" w:cs="Arial"/>
          <w:color w:val="000000"/>
        </w:rPr>
        <w:t xml:space="preserve"> their protection claim has been assessed, when the person is found to be owed protection obligations.  </w:t>
      </w:r>
    </w:p>
    <w:p w:rsidR="00CB5AA5" w:rsidRDefault="00CB5AA5" w:rsidP="00FC0D7D">
      <w:pPr>
        <w:spacing w:before="0" w:after="0"/>
        <w:ind w:left="426"/>
        <w:jc w:val="both"/>
        <w:rPr>
          <w:rFonts w:eastAsia="Times New Roman"/>
          <w:b/>
          <w:bCs/>
          <w:i/>
          <w:color w:val="237BBC"/>
          <w:kern w:val="32"/>
          <w:sz w:val="28"/>
          <w:szCs w:val="28"/>
        </w:rPr>
      </w:pPr>
    </w:p>
    <w:p w:rsidR="00AA54D3" w:rsidRDefault="00AA54D3" w:rsidP="00FC0D7D">
      <w:pPr>
        <w:numPr>
          <w:ilvl w:val="0"/>
          <w:numId w:val="38"/>
        </w:numPr>
        <w:spacing w:before="0" w:after="0"/>
        <w:ind w:left="426" w:hanging="426"/>
        <w:jc w:val="both"/>
        <w:rPr>
          <w:rFonts w:eastAsia="Times New Roman"/>
          <w:b/>
          <w:bCs/>
          <w:i/>
          <w:color w:val="237BBC"/>
          <w:kern w:val="32"/>
          <w:sz w:val="28"/>
          <w:szCs w:val="28"/>
        </w:rPr>
      </w:pPr>
      <w:r w:rsidRPr="003E476B">
        <w:rPr>
          <w:rFonts w:eastAsia="Times New Roman"/>
          <w:b/>
          <w:bCs/>
          <w:i/>
          <w:color w:val="237BBC"/>
          <w:kern w:val="32"/>
          <w:sz w:val="28"/>
          <w:szCs w:val="28"/>
        </w:rPr>
        <w:t>What are the Commission’s concerns</w:t>
      </w:r>
      <w:r w:rsidR="002A6471">
        <w:rPr>
          <w:rFonts w:eastAsia="Times New Roman"/>
          <w:b/>
          <w:bCs/>
          <w:i/>
          <w:color w:val="237BBC"/>
          <w:kern w:val="32"/>
          <w:sz w:val="28"/>
          <w:szCs w:val="28"/>
        </w:rPr>
        <w:t xml:space="preserve"> about TPVs</w:t>
      </w:r>
      <w:r w:rsidRPr="003E476B">
        <w:rPr>
          <w:rFonts w:eastAsia="Times New Roman"/>
          <w:b/>
          <w:bCs/>
          <w:i/>
          <w:color w:val="237BBC"/>
          <w:kern w:val="32"/>
          <w:sz w:val="28"/>
          <w:szCs w:val="28"/>
        </w:rPr>
        <w:t>?</w:t>
      </w:r>
    </w:p>
    <w:p w:rsidR="00CB5AA5" w:rsidRDefault="00CB5AA5" w:rsidP="00FC0D7D">
      <w:pPr>
        <w:spacing w:before="0" w:after="0"/>
        <w:jc w:val="both"/>
        <w:rPr>
          <w:rFonts w:eastAsia="Times New Roman"/>
          <w:b/>
          <w:bCs/>
          <w:i/>
          <w:color w:val="237BBC"/>
          <w:kern w:val="32"/>
          <w:sz w:val="28"/>
          <w:szCs w:val="28"/>
        </w:rPr>
      </w:pPr>
    </w:p>
    <w:p w:rsidR="008E0801" w:rsidRDefault="002A6471" w:rsidP="00FC0D7D">
      <w:pPr>
        <w:autoSpaceDE w:val="0"/>
        <w:autoSpaceDN w:val="0"/>
        <w:adjustRightInd w:val="0"/>
        <w:spacing w:before="0" w:after="0"/>
        <w:jc w:val="both"/>
        <w:rPr>
          <w:lang w:val="en"/>
        </w:rPr>
      </w:pPr>
      <w:r>
        <w:rPr>
          <w:lang w:val="en"/>
        </w:rPr>
        <w:t>The Commission raised serious concerns about TPVs when they were used in Australia (with similar conditions attached) from 1999 to 2008</w:t>
      </w:r>
      <w:r>
        <w:rPr>
          <w:rFonts w:eastAsia="Times New Roman" w:cs="Arial"/>
          <w:color w:val="000000"/>
        </w:rPr>
        <w:t>.</w:t>
      </w:r>
      <w:r>
        <w:rPr>
          <w:rStyle w:val="EndnoteReference"/>
          <w:rFonts w:eastAsia="Times New Roman" w:cs="Arial"/>
          <w:color w:val="000000"/>
        </w:rPr>
        <w:endnoteReference w:id="6"/>
      </w:r>
      <w:r>
        <w:rPr>
          <w:rFonts w:eastAsia="Times New Roman" w:cs="Arial"/>
          <w:color w:val="000000"/>
        </w:rPr>
        <w:t xml:space="preserve"> Based on the negative impacts of TPVs on refugees when they were last used, </w:t>
      </w:r>
      <w:r>
        <w:rPr>
          <w:lang w:val="en"/>
        </w:rPr>
        <w:t>t</w:t>
      </w:r>
      <w:r w:rsidRPr="00F84BF1">
        <w:rPr>
          <w:lang w:val="en"/>
        </w:rPr>
        <w:t xml:space="preserve">he Commission is concerned that </w:t>
      </w:r>
      <w:r>
        <w:rPr>
          <w:lang w:val="en"/>
        </w:rPr>
        <w:t xml:space="preserve">the reintroduction of TPVs may lead to breaches of Australia’s </w:t>
      </w:r>
      <w:r w:rsidRPr="00F84BF1">
        <w:rPr>
          <w:lang w:val="en"/>
        </w:rPr>
        <w:t>international hum</w:t>
      </w:r>
      <w:r>
        <w:rPr>
          <w:lang w:val="en"/>
        </w:rPr>
        <w:t>an rights obligat</w:t>
      </w:r>
      <w:r w:rsidR="00711953">
        <w:rPr>
          <w:lang w:val="en"/>
        </w:rPr>
        <w:t>ions, for the following reasons.</w:t>
      </w:r>
    </w:p>
    <w:p w:rsidR="0090281C" w:rsidRDefault="0090281C" w:rsidP="00FC0D7D">
      <w:pPr>
        <w:autoSpaceDE w:val="0"/>
        <w:autoSpaceDN w:val="0"/>
        <w:adjustRightInd w:val="0"/>
        <w:spacing w:before="0" w:after="0"/>
        <w:jc w:val="both"/>
        <w:rPr>
          <w:lang w:val="en"/>
        </w:rPr>
      </w:pPr>
    </w:p>
    <w:p w:rsidR="0090281C" w:rsidRDefault="00D5059E" w:rsidP="0090281C">
      <w:pPr>
        <w:autoSpaceDE w:val="0"/>
        <w:autoSpaceDN w:val="0"/>
        <w:adjustRightInd w:val="0"/>
        <w:spacing w:before="0" w:after="0"/>
        <w:jc w:val="both"/>
        <w:rPr>
          <w:i/>
        </w:rPr>
      </w:pPr>
      <w:r>
        <w:rPr>
          <w:i/>
        </w:rPr>
        <w:t xml:space="preserve">Mental </w:t>
      </w:r>
      <w:r w:rsidR="002A6471" w:rsidRPr="008E0801">
        <w:rPr>
          <w:i/>
        </w:rPr>
        <w:t xml:space="preserve">health impact of TPVs </w:t>
      </w:r>
    </w:p>
    <w:p w:rsidR="0090281C" w:rsidRPr="0090281C" w:rsidRDefault="0090281C" w:rsidP="0090281C">
      <w:pPr>
        <w:autoSpaceDE w:val="0"/>
        <w:autoSpaceDN w:val="0"/>
        <w:adjustRightInd w:val="0"/>
        <w:spacing w:before="0" w:after="0"/>
        <w:jc w:val="both"/>
      </w:pPr>
    </w:p>
    <w:p w:rsidR="002A6471" w:rsidRPr="0090281C" w:rsidRDefault="00D5059E" w:rsidP="0090281C">
      <w:pPr>
        <w:autoSpaceDE w:val="0"/>
        <w:autoSpaceDN w:val="0"/>
        <w:adjustRightInd w:val="0"/>
        <w:spacing w:before="0" w:after="0"/>
        <w:jc w:val="both"/>
        <w:rPr>
          <w:rFonts w:eastAsia="Times New Roman" w:cs="Arial"/>
          <w:i/>
          <w:color w:val="000000"/>
        </w:rPr>
      </w:pPr>
      <w:r>
        <w:rPr>
          <w:lang w:val="en"/>
        </w:rPr>
        <w:t>Under international human rights law, all people have a right to the highest attainable standard of physical and mental health.</w:t>
      </w:r>
      <w:r>
        <w:rPr>
          <w:rStyle w:val="EndnoteReference"/>
          <w:lang w:val="en"/>
        </w:rPr>
        <w:endnoteReference w:id="7"/>
      </w:r>
      <w:r>
        <w:t xml:space="preserve"> T</w:t>
      </w:r>
      <w:r w:rsidR="002A6471">
        <w:rPr>
          <w:lang w:val="en"/>
        </w:rPr>
        <w:t xml:space="preserve">he granting of protection to refugees only on a temporary basis had a significant detrimental impact upon their mental health when TPVs were last used. </w:t>
      </w:r>
    </w:p>
    <w:p w:rsidR="002A6471" w:rsidRPr="002420DD" w:rsidRDefault="002A6471" w:rsidP="00FC0D7D">
      <w:pPr>
        <w:jc w:val="both"/>
      </w:pPr>
      <w:r>
        <w:t>The temporary nature of the protection granted under a TPV creates uncertainty and insecurity in the life of refugees, as they live with the possibility of being forcibly removed to face persecution in their country of origin when the TPV ends. These feelings of insecurity and fears of repatriation can contribute to ongoing mental health problems.</w:t>
      </w:r>
      <w:r>
        <w:rPr>
          <w:rStyle w:val="EndnoteReference"/>
        </w:rPr>
        <w:endnoteReference w:id="8"/>
      </w:r>
      <w:r w:rsidRPr="005C24B9">
        <w:rPr>
          <w:lang w:val="en"/>
        </w:rPr>
        <w:t xml:space="preserve"> </w:t>
      </w:r>
      <w:r>
        <w:rPr>
          <w:lang w:val="en"/>
        </w:rPr>
        <w:t xml:space="preserve">Refugees on TPVs were likely to </w:t>
      </w:r>
      <w:r>
        <w:t>suffer from higher levels of anxiety, depression and post-traumatic stress disorder than those on PPVs, despite the fact that the two groups had experienced similar levels of past trauma.</w:t>
      </w:r>
      <w:r>
        <w:rPr>
          <w:rStyle w:val="EndnoteReference"/>
        </w:rPr>
        <w:endnoteReference w:id="9"/>
      </w:r>
      <w:r>
        <w:t xml:space="preserve"> </w:t>
      </w:r>
    </w:p>
    <w:p w:rsidR="002A6471" w:rsidRDefault="002A6471" w:rsidP="00FC0D7D">
      <w:pPr>
        <w:jc w:val="both"/>
      </w:pPr>
      <w:r>
        <w:t>The uncertainty and anxiety of temporary residency status had a strong impact on children. It was reported that as a result of the uncertainty</w:t>
      </w:r>
      <w:r w:rsidR="00D01B3D">
        <w:t>,</w:t>
      </w:r>
      <w:r>
        <w:t xml:space="preserve"> children exhibited physiological and psychological symptoms including constant headaches, sleeping problems, problems with concentration and memory, and signs of depression.</w:t>
      </w:r>
      <w:r>
        <w:rPr>
          <w:rStyle w:val="EndnoteReference"/>
        </w:rPr>
        <w:endnoteReference w:id="10"/>
      </w:r>
      <w:r>
        <w:t xml:space="preserve"> </w:t>
      </w:r>
    </w:p>
    <w:p w:rsidR="00D5059E" w:rsidRDefault="002A6471" w:rsidP="00D5059E">
      <w:pPr>
        <w:jc w:val="both"/>
      </w:pPr>
      <w:r w:rsidRPr="00540CB4">
        <w:rPr>
          <w:rFonts w:cs="Arial"/>
        </w:rPr>
        <w:t>The</w:t>
      </w:r>
      <w:r>
        <w:rPr>
          <w:rFonts w:cs="Arial"/>
        </w:rPr>
        <w:t xml:space="preserve"> Commission’s</w:t>
      </w:r>
      <w:r w:rsidRPr="00540CB4">
        <w:rPr>
          <w:rFonts w:cs="Arial"/>
        </w:rPr>
        <w:t xml:space="preserve"> National Inquiry into Children in Immigration Detention found in 2004 that granting temporary protection was more likely to compound mental health problems for these children than facilitate their rehabilitation and integration into Australian society</w:t>
      </w:r>
      <w:r>
        <w:t>.</w:t>
      </w:r>
      <w:r>
        <w:rPr>
          <w:rStyle w:val="EndnoteReference"/>
        </w:rPr>
        <w:endnoteReference w:id="11"/>
      </w:r>
      <w:r>
        <w:t xml:space="preserve"> </w:t>
      </w:r>
      <w:r w:rsidRPr="00540CB4">
        <w:rPr>
          <w:rFonts w:cs="Arial"/>
        </w:rPr>
        <w:t>It concluded that the use of TPVs for refugee children had resulted in breaches of those children’s rights to mental health, maximum possible development and recovery from past torture and trauma.</w:t>
      </w:r>
      <w:r w:rsidRPr="00540CB4">
        <w:rPr>
          <w:rStyle w:val="EndnoteReference"/>
          <w:rFonts w:cs="Arial"/>
          <w:sz w:val="24"/>
        </w:rPr>
        <w:endnoteReference w:id="12"/>
      </w:r>
    </w:p>
    <w:p w:rsidR="002A6471" w:rsidRDefault="0022046F" w:rsidP="00FC0D7D">
      <w:pPr>
        <w:autoSpaceDE w:val="0"/>
        <w:autoSpaceDN w:val="0"/>
        <w:adjustRightInd w:val="0"/>
        <w:spacing w:before="0" w:after="0"/>
        <w:jc w:val="both"/>
        <w:rPr>
          <w:rFonts w:cs="Arial"/>
        </w:rPr>
      </w:pPr>
      <w:r w:rsidRPr="0022046F">
        <w:lastRenderedPageBreak/>
        <w:t xml:space="preserve">The Senate </w:t>
      </w:r>
      <w:r>
        <w:t>Legal and Constitutional References Committee</w:t>
      </w:r>
      <w:r w:rsidR="002A6471" w:rsidRPr="00540CB4">
        <w:t xml:space="preserve"> </w:t>
      </w:r>
      <w:r w:rsidR="002A6471">
        <w:t>which reviewed</w:t>
      </w:r>
      <w:r w:rsidR="002A6471" w:rsidRPr="00540CB4">
        <w:t xml:space="preserve"> the </w:t>
      </w:r>
      <w:r w:rsidR="002A6471" w:rsidRPr="00540CB4">
        <w:rPr>
          <w:i/>
        </w:rPr>
        <w:t>Migration Act 1958</w:t>
      </w:r>
      <w:r w:rsidR="002A6471" w:rsidRPr="00540CB4">
        <w:t xml:space="preserve"> (</w:t>
      </w:r>
      <w:proofErr w:type="spellStart"/>
      <w:r w:rsidR="002A6471" w:rsidRPr="00540CB4">
        <w:t>Cth</w:t>
      </w:r>
      <w:proofErr w:type="spellEnd"/>
      <w:r w:rsidR="002A6471" w:rsidRPr="00540CB4">
        <w:t>) in 2006 acknowledged the negative impact that the temporary protection regime had on those subjected to it. It concluded that ‘there is no doubt that its operation has had a considerable cost in terms of human suffering.’</w:t>
      </w:r>
      <w:r w:rsidR="002A6471" w:rsidRPr="00540CB4">
        <w:rPr>
          <w:rStyle w:val="EndnoteReference"/>
          <w:rFonts w:cs="Arial"/>
          <w:sz w:val="24"/>
        </w:rPr>
        <w:endnoteReference w:id="13"/>
      </w:r>
      <w:r w:rsidR="002A6471" w:rsidRPr="00540CB4">
        <w:rPr>
          <w:rStyle w:val="EndnoteReference"/>
          <w:rFonts w:cs="Arial"/>
          <w:sz w:val="24"/>
        </w:rPr>
        <w:t xml:space="preserve"> </w:t>
      </w:r>
    </w:p>
    <w:p w:rsidR="00EB76BE" w:rsidRDefault="00EB76BE" w:rsidP="00FC0D7D">
      <w:pPr>
        <w:autoSpaceDE w:val="0"/>
        <w:autoSpaceDN w:val="0"/>
        <w:adjustRightInd w:val="0"/>
        <w:spacing w:before="0" w:after="0"/>
        <w:jc w:val="both"/>
        <w:rPr>
          <w:rFonts w:cs="Arial"/>
        </w:rPr>
      </w:pPr>
    </w:p>
    <w:p w:rsidR="002A6471" w:rsidRDefault="002A6471" w:rsidP="00FC0D7D">
      <w:pPr>
        <w:pStyle w:val="Heading3"/>
        <w:numPr>
          <w:ilvl w:val="0"/>
          <w:numId w:val="0"/>
        </w:numPr>
        <w:spacing w:before="0" w:after="0"/>
        <w:ind w:left="851" w:hanging="851"/>
        <w:jc w:val="both"/>
      </w:pPr>
      <w:r>
        <w:t>Prolonged separation from family members</w:t>
      </w:r>
    </w:p>
    <w:p w:rsidR="00EB76BE" w:rsidRDefault="00EB76BE" w:rsidP="00FC0D7D">
      <w:pPr>
        <w:spacing w:before="0" w:after="0"/>
        <w:jc w:val="both"/>
      </w:pPr>
    </w:p>
    <w:p w:rsidR="002A6471" w:rsidRDefault="002A6471" w:rsidP="00FC0D7D">
      <w:pPr>
        <w:spacing w:before="0" w:after="0"/>
        <w:jc w:val="both"/>
      </w:pPr>
      <w:r>
        <w:t>Australia has obligations under international law to support families to reunify.</w:t>
      </w:r>
      <w:r>
        <w:rPr>
          <w:rStyle w:val="EndnoteReference"/>
        </w:rPr>
        <w:endnoteReference w:id="14"/>
      </w:r>
      <w:r>
        <w:t xml:space="preserve"> However, the effect of denying refugees on TPVs the ability to sponsor family members to join them in Australia is that they may </w:t>
      </w:r>
      <w:r w:rsidR="00D5059E">
        <w:t xml:space="preserve">potentially </w:t>
      </w:r>
      <w:r>
        <w:t xml:space="preserve">be separated from their family </w:t>
      </w:r>
      <w:r w:rsidR="00D5059E">
        <w:t>indefinitely</w:t>
      </w:r>
      <w:r>
        <w:t>.</w:t>
      </w:r>
      <w:r>
        <w:rPr>
          <w:rStyle w:val="EndnoteReference"/>
        </w:rPr>
        <w:endnoteReference w:id="15"/>
      </w:r>
      <w:r>
        <w:t xml:space="preserve"> The Commission is therefore concerned that the prohibition on family reunion, combined with the restrictions on travel outside of Australia whilst on a TPV, may result in breaches of Australia’s human rights obligations. </w:t>
      </w:r>
    </w:p>
    <w:p w:rsidR="00FA5078" w:rsidRDefault="002A6471" w:rsidP="00FA5078">
      <w:pPr>
        <w:jc w:val="both"/>
      </w:pPr>
      <w:r>
        <w:t>Of particular concern are the consequences of these restrictions for unaccompanied refugee children who are granted TPVs. As the National Inquiry noted, the practical consequence of these restrictio</w:t>
      </w:r>
      <w:r w:rsidR="00E11475">
        <w:t>ns last time TPVs were used was</w:t>
      </w:r>
      <w:r>
        <w:t xml:space="preserve"> that children on TPVs whose parents were outside Australia were prevented from seeing them for the duration of their visa.</w:t>
      </w:r>
      <w:r>
        <w:rPr>
          <w:rStyle w:val="EndnoteReference"/>
        </w:rPr>
        <w:endnoteReference w:id="16"/>
      </w:r>
      <w:r w:rsidR="00FA5078">
        <w:t xml:space="preserve"> </w:t>
      </w:r>
      <w:r>
        <w:t>The restrictions on family reunion and overseas travel may have directly contributed to the increase in the number of family members, particularly women and children, risking their lives by making the boat journey to Australia.</w:t>
      </w:r>
      <w:r>
        <w:rPr>
          <w:rStyle w:val="EndnoteReference"/>
        </w:rPr>
        <w:endnoteReference w:id="17"/>
      </w:r>
    </w:p>
    <w:p w:rsidR="00FA5078" w:rsidRPr="00FA5078" w:rsidRDefault="00FA5078" w:rsidP="00FA5078">
      <w:pPr>
        <w:jc w:val="both"/>
        <w:rPr>
          <w:bCs/>
          <w:i/>
          <w:szCs w:val="26"/>
        </w:rPr>
      </w:pPr>
      <w:r w:rsidRPr="00FA5078">
        <w:rPr>
          <w:bCs/>
          <w:i/>
          <w:szCs w:val="26"/>
        </w:rPr>
        <w:t>Discrimination and penalisation</w:t>
      </w:r>
    </w:p>
    <w:p w:rsidR="002A6471" w:rsidRDefault="002A6471" w:rsidP="00FA5078">
      <w:pPr>
        <w:jc w:val="both"/>
      </w:pPr>
      <w:r>
        <w:t xml:space="preserve">The TPV regime </w:t>
      </w:r>
      <w:r w:rsidR="008B3FF3">
        <w:t xml:space="preserve">established </w:t>
      </w:r>
      <w:r w:rsidR="00DA3D01">
        <w:t xml:space="preserve">by the now-disallowed regulation </w:t>
      </w:r>
      <w:r>
        <w:t>distingu</w:t>
      </w:r>
      <w:r w:rsidR="00DA3D01">
        <w:t>ished</w:t>
      </w:r>
      <w:r>
        <w:t xml:space="preserve"> between asylum seekers who arrive</w:t>
      </w:r>
      <w:r w:rsidR="00DA3D01">
        <w:t>d</w:t>
      </w:r>
      <w:r>
        <w:t xml:space="preserve"> in Australia wit</w:t>
      </w:r>
      <w:r w:rsidR="00DA3D01">
        <w:t>h a valid visa, and those who did</w:t>
      </w:r>
      <w:r>
        <w:t xml:space="preserve"> not. If asylum seekers enter</w:t>
      </w:r>
      <w:r w:rsidR="00DA3D01">
        <w:t>ed</w:t>
      </w:r>
      <w:r>
        <w:t xml:space="preserve"> Austr</w:t>
      </w:r>
      <w:r w:rsidR="00DA3D01">
        <w:t>alia with a valid visa, they could</w:t>
      </w:r>
      <w:r>
        <w:t xml:space="preserve"> apply for (and, if fo</w:t>
      </w:r>
      <w:r w:rsidR="00DA3D01">
        <w:t xml:space="preserve">und to be owed protection, </w:t>
      </w:r>
      <w:r>
        <w:t>be granted) a PPV. If they arrive</w:t>
      </w:r>
      <w:r w:rsidR="00DA3D01">
        <w:t>d</w:t>
      </w:r>
      <w:r>
        <w:t xml:space="preserve"> without a vis</w:t>
      </w:r>
      <w:r w:rsidR="00DA3D01">
        <w:t>a, they could</w:t>
      </w:r>
      <w:r>
        <w:t xml:space="preserve"> only apply for a TPV.</w:t>
      </w:r>
    </w:p>
    <w:p w:rsidR="002A6471" w:rsidRDefault="002A6471" w:rsidP="00FC0D7D">
      <w:pPr>
        <w:jc w:val="both"/>
      </w:pPr>
      <w:r>
        <w:t>Under international human rights law, asylum seekers who arrive without a visa have a right to non-discrimination.</w:t>
      </w:r>
      <w:r>
        <w:rPr>
          <w:rStyle w:val="EndnoteReference"/>
        </w:rPr>
        <w:endnoteReference w:id="18"/>
      </w:r>
      <w:r>
        <w:t xml:space="preserve"> </w:t>
      </w:r>
      <w:r w:rsidR="00223ACD">
        <w:t>The TPV r</w:t>
      </w:r>
      <w:r w:rsidR="00FA3B2C">
        <w:t>egime would</w:t>
      </w:r>
      <w:r>
        <w:t xml:space="preserve"> </w:t>
      </w:r>
      <w:r w:rsidR="00FA3B2C">
        <w:t xml:space="preserve">therefore </w:t>
      </w:r>
      <w:r>
        <w:t>breach Australia’s non-discrimination obligations</w:t>
      </w:r>
      <w:r w:rsidR="00223ACD">
        <w:t xml:space="preserve"> unless the criteria for differentiatio</w:t>
      </w:r>
      <w:r w:rsidR="00980D3B">
        <w:t>n</w:t>
      </w:r>
      <w:r w:rsidR="000F225A">
        <w:t xml:space="preserve"> underpinning the TPV regime were</w:t>
      </w:r>
      <w:r w:rsidR="00223ACD">
        <w:t xml:space="preserve"> reasonable, objective, and for a legitimate aim.</w:t>
      </w:r>
      <w:r>
        <w:rPr>
          <w:rStyle w:val="EndnoteReference"/>
        </w:rPr>
        <w:endnoteReference w:id="19"/>
      </w:r>
    </w:p>
    <w:p w:rsidR="00AA54D3" w:rsidRPr="00305DB1" w:rsidRDefault="002A6471" w:rsidP="00FC0D7D">
      <w:pPr>
        <w:spacing w:before="0" w:after="0"/>
        <w:jc w:val="both"/>
        <w:rPr>
          <w:rFonts w:cs="Arial"/>
        </w:rPr>
      </w:pPr>
      <w:r>
        <w:rPr>
          <w:rFonts w:cs="Arial"/>
        </w:rPr>
        <w:t>The d</w:t>
      </w:r>
      <w:r w:rsidRPr="00375D7A">
        <w:rPr>
          <w:rFonts w:cs="Arial"/>
        </w:rPr>
        <w:t xml:space="preserve">ifferential treatment of asylum seekers who arrive </w:t>
      </w:r>
      <w:r>
        <w:rPr>
          <w:rFonts w:cs="Arial"/>
        </w:rPr>
        <w:t>unauthorised</w:t>
      </w:r>
      <w:r w:rsidRPr="00375D7A">
        <w:rPr>
          <w:rFonts w:cs="Arial"/>
        </w:rPr>
        <w:t xml:space="preserve"> also raises issues under </w:t>
      </w:r>
      <w:r>
        <w:rPr>
          <w:rFonts w:cs="Arial"/>
        </w:rPr>
        <w:t xml:space="preserve">article 31 of the </w:t>
      </w:r>
      <w:r w:rsidRPr="00175FF2">
        <w:rPr>
          <w:rFonts w:cs="Arial"/>
          <w:i/>
        </w:rPr>
        <w:t>Convention on the Status of Refugees</w:t>
      </w:r>
      <w:r>
        <w:rPr>
          <w:rFonts w:cs="Arial"/>
        </w:rPr>
        <w:t>.</w:t>
      </w:r>
      <w:r>
        <w:rPr>
          <w:rStyle w:val="EndnoteReference"/>
          <w:rFonts w:cs="Arial"/>
        </w:rPr>
        <w:endnoteReference w:id="20"/>
      </w:r>
      <w:r>
        <w:rPr>
          <w:rFonts w:cs="Arial"/>
        </w:rPr>
        <w:t xml:space="preserve"> Article 31 </w:t>
      </w:r>
      <w:r w:rsidRPr="00375D7A">
        <w:rPr>
          <w:rFonts w:cs="Arial"/>
        </w:rPr>
        <w:t>prohibits State</w:t>
      </w:r>
      <w:r w:rsidR="00E80266">
        <w:rPr>
          <w:rFonts w:cs="Arial"/>
        </w:rPr>
        <w:t>s</w:t>
      </w:r>
      <w:r w:rsidRPr="00375D7A">
        <w:rPr>
          <w:rFonts w:cs="Arial"/>
        </w:rPr>
        <w:t xml:space="preserve"> Parties from penalising asylum seekers on account of their unauthorised arrival in a country when they are coming directly from a territory where their life or freedom was threatened. </w:t>
      </w:r>
      <w:r w:rsidR="00223ACD">
        <w:rPr>
          <w:rFonts w:cs="Arial"/>
        </w:rPr>
        <w:t xml:space="preserve">The Commission </w:t>
      </w:r>
      <w:r w:rsidR="00E142AB">
        <w:rPr>
          <w:rFonts w:cs="Arial"/>
        </w:rPr>
        <w:t xml:space="preserve">is concerned that the provision of temporary protection to asylum seekers who arrive unauthorised may amount to a penalty contrary to article 31. </w:t>
      </w:r>
    </w:p>
    <w:p w:rsidR="00FC0D7D" w:rsidRDefault="00FC0D7D" w:rsidP="00FC0D7D">
      <w:pPr>
        <w:spacing w:before="0" w:after="0"/>
        <w:ind w:left="425"/>
        <w:jc w:val="both"/>
        <w:rPr>
          <w:rFonts w:eastAsia="Times New Roman"/>
          <w:b/>
          <w:bCs/>
          <w:i/>
          <w:color w:val="237BBC"/>
          <w:kern w:val="32"/>
          <w:sz w:val="28"/>
          <w:szCs w:val="28"/>
        </w:rPr>
      </w:pPr>
    </w:p>
    <w:p w:rsidR="002A6471" w:rsidRDefault="00AA54D3" w:rsidP="00FC0D7D">
      <w:pPr>
        <w:numPr>
          <w:ilvl w:val="0"/>
          <w:numId w:val="38"/>
        </w:numPr>
        <w:spacing w:before="0" w:after="0"/>
        <w:ind w:left="425" w:hanging="426"/>
        <w:jc w:val="both"/>
        <w:rPr>
          <w:rFonts w:eastAsia="Times New Roman"/>
          <w:b/>
          <w:bCs/>
          <w:i/>
          <w:color w:val="237BBC"/>
          <w:kern w:val="32"/>
          <w:sz w:val="28"/>
          <w:szCs w:val="28"/>
        </w:rPr>
      </w:pPr>
      <w:r w:rsidRPr="003E476B">
        <w:rPr>
          <w:rFonts w:eastAsia="Times New Roman"/>
          <w:b/>
          <w:bCs/>
          <w:i/>
          <w:color w:val="237BBC"/>
          <w:kern w:val="32"/>
          <w:sz w:val="28"/>
          <w:szCs w:val="28"/>
        </w:rPr>
        <w:t>What does the Commission recommend?</w:t>
      </w:r>
    </w:p>
    <w:p w:rsidR="00FC0D7D" w:rsidRPr="002A6471" w:rsidRDefault="00FC0D7D" w:rsidP="00FC0D7D">
      <w:pPr>
        <w:spacing w:before="0" w:after="0"/>
        <w:ind w:left="425"/>
        <w:jc w:val="both"/>
        <w:rPr>
          <w:rFonts w:eastAsia="Times New Roman"/>
          <w:b/>
          <w:bCs/>
          <w:i/>
          <w:color w:val="237BBC"/>
          <w:kern w:val="32"/>
          <w:sz w:val="28"/>
          <w:szCs w:val="28"/>
        </w:rPr>
      </w:pPr>
    </w:p>
    <w:p w:rsidR="002A6471" w:rsidRDefault="002A6471" w:rsidP="009E20C6">
      <w:pPr>
        <w:spacing w:before="0" w:after="0"/>
        <w:jc w:val="both"/>
      </w:pPr>
      <w:r>
        <w:t xml:space="preserve">The Commission recommends that all asylum seekers who are found to be owed protection obligations should be granted a PPV, with the associated entitlements to sponsor family members to come to Australia, and to travel outside of Australia. </w:t>
      </w:r>
    </w:p>
    <w:p w:rsidR="009E20C6" w:rsidRDefault="009E20C6" w:rsidP="00850837">
      <w:pPr>
        <w:spacing w:before="0" w:after="0"/>
        <w:jc w:val="both"/>
        <w:rPr>
          <w:rFonts w:eastAsia="Times New Roman"/>
          <w:b/>
          <w:bCs/>
          <w:i/>
          <w:color w:val="237BBC"/>
          <w:kern w:val="32"/>
          <w:sz w:val="28"/>
          <w:szCs w:val="28"/>
        </w:rPr>
      </w:pPr>
    </w:p>
    <w:p w:rsidR="00850837" w:rsidRDefault="00AA54D3" w:rsidP="00850837">
      <w:pPr>
        <w:numPr>
          <w:ilvl w:val="0"/>
          <w:numId w:val="38"/>
        </w:numPr>
        <w:spacing w:before="0" w:after="0"/>
        <w:ind w:left="425" w:hanging="425"/>
        <w:jc w:val="both"/>
        <w:rPr>
          <w:rFonts w:eastAsia="Times New Roman"/>
          <w:b/>
          <w:bCs/>
          <w:i/>
          <w:color w:val="237BBC"/>
          <w:kern w:val="32"/>
          <w:sz w:val="28"/>
          <w:szCs w:val="28"/>
        </w:rPr>
      </w:pPr>
      <w:r w:rsidRPr="003E476B">
        <w:rPr>
          <w:rFonts w:eastAsia="Times New Roman"/>
          <w:b/>
          <w:bCs/>
          <w:i/>
          <w:color w:val="237BBC"/>
          <w:kern w:val="32"/>
          <w:sz w:val="28"/>
          <w:szCs w:val="28"/>
        </w:rPr>
        <w:lastRenderedPageBreak/>
        <w:t>Useful links</w:t>
      </w:r>
    </w:p>
    <w:p w:rsidR="00324B50" w:rsidRPr="00850837" w:rsidRDefault="00850837" w:rsidP="00850837">
      <w:pPr>
        <w:spacing w:before="0" w:after="0"/>
        <w:ind w:left="425"/>
        <w:jc w:val="both"/>
        <w:rPr>
          <w:rFonts w:eastAsia="Times New Roman"/>
          <w:b/>
          <w:bCs/>
          <w:i/>
          <w:color w:val="237BBC"/>
          <w:kern w:val="32"/>
          <w:sz w:val="28"/>
          <w:szCs w:val="28"/>
        </w:rPr>
      </w:pPr>
      <w:r>
        <w:t xml:space="preserve"> </w:t>
      </w:r>
    </w:p>
    <w:p w:rsidR="002A6471" w:rsidRPr="003D0723" w:rsidRDefault="006117EA" w:rsidP="00C5318D">
      <w:pPr>
        <w:pStyle w:val="ListParagraph"/>
        <w:numPr>
          <w:ilvl w:val="0"/>
          <w:numId w:val="44"/>
        </w:numPr>
        <w:spacing w:before="0" w:after="120"/>
        <w:ind w:left="284" w:hanging="284"/>
        <w:contextualSpacing w:val="0"/>
        <w:jc w:val="both"/>
        <w:rPr>
          <w:lang w:val="en"/>
        </w:rPr>
      </w:pPr>
      <w:hyperlink r:id="rId13" w:history="1">
        <w:r w:rsidR="002A6471" w:rsidRPr="003D0723">
          <w:rPr>
            <w:rStyle w:val="Hyperlink"/>
            <w:i/>
            <w:lang w:val="en"/>
          </w:rPr>
          <w:t>A Last Resort? National Inquiry into Children in Immigration Detention</w:t>
        </w:r>
      </w:hyperlink>
      <w:r w:rsidR="002A6471">
        <w:rPr>
          <w:i/>
          <w:lang w:val="en"/>
        </w:rPr>
        <w:t xml:space="preserve"> </w:t>
      </w:r>
      <w:r w:rsidR="002A6471" w:rsidRPr="009E20C6">
        <w:rPr>
          <w:lang w:val="en"/>
        </w:rPr>
        <w:t>(</w:t>
      </w:r>
      <w:r w:rsidR="00850837">
        <w:rPr>
          <w:lang w:val="en"/>
        </w:rPr>
        <w:t xml:space="preserve">April </w:t>
      </w:r>
      <w:r w:rsidR="002A6471" w:rsidRPr="009E20C6">
        <w:rPr>
          <w:lang w:val="en"/>
        </w:rPr>
        <w:t>2004),</w:t>
      </w:r>
      <w:r w:rsidR="002A6471">
        <w:rPr>
          <w:lang w:val="en"/>
        </w:rPr>
        <w:t xml:space="preserve"> Ch</w:t>
      </w:r>
      <w:r w:rsidR="009E20C6">
        <w:rPr>
          <w:lang w:val="en"/>
        </w:rPr>
        <w:t>apter</w:t>
      </w:r>
      <w:r w:rsidR="002A6471">
        <w:rPr>
          <w:lang w:val="en"/>
        </w:rPr>
        <w:t xml:space="preserve"> 16</w:t>
      </w:r>
      <w:r w:rsidR="002A6471" w:rsidRPr="003D0723">
        <w:rPr>
          <w:lang w:val="en"/>
        </w:rPr>
        <w:t xml:space="preserve"> </w:t>
      </w:r>
    </w:p>
    <w:p w:rsidR="00644162" w:rsidRDefault="006117EA" w:rsidP="00C5318D">
      <w:pPr>
        <w:pStyle w:val="ListParagraph"/>
        <w:numPr>
          <w:ilvl w:val="0"/>
          <w:numId w:val="43"/>
        </w:numPr>
        <w:spacing w:before="0" w:after="120"/>
        <w:ind w:left="284" w:hanging="284"/>
        <w:contextualSpacing w:val="0"/>
        <w:jc w:val="both"/>
        <w:rPr>
          <w:lang w:val="en"/>
        </w:rPr>
      </w:pPr>
      <w:hyperlink r:id="rId14" w:history="1">
        <w:r w:rsidR="002A6471" w:rsidRPr="004A441C">
          <w:rPr>
            <w:rStyle w:val="Hyperlink"/>
            <w:lang w:val="en"/>
          </w:rPr>
          <w:t>The end of temporary</w:t>
        </w:r>
        <w:r w:rsidR="002A6471" w:rsidRPr="004A441C">
          <w:rPr>
            <w:rStyle w:val="Hyperlink"/>
            <w:lang w:val="en"/>
          </w:rPr>
          <w:t xml:space="preserve"> </w:t>
        </w:r>
        <w:r w:rsidR="002A6471" w:rsidRPr="004A441C">
          <w:rPr>
            <w:rStyle w:val="Hyperlink"/>
            <w:lang w:val="en"/>
          </w:rPr>
          <w:t>protection visas for ref</w:t>
        </w:r>
        <w:r w:rsidR="002A6471" w:rsidRPr="004A441C">
          <w:rPr>
            <w:rStyle w:val="Hyperlink"/>
            <w:lang w:val="en"/>
          </w:rPr>
          <w:t>u</w:t>
        </w:r>
        <w:r w:rsidR="002A6471" w:rsidRPr="004A441C">
          <w:rPr>
            <w:rStyle w:val="Hyperlink"/>
            <w:lang w:val="en"/>
          </w:rPr>
          <w:t>gees is a step forward for human rights</w:t>
        </w:r>
      </w:hyperlink>
      <w:r w:rsidR="002A6471">
        <w:rPr>
          <w:lang w:val="en"/>
        </w:rPr>
        <w:t xml:space="preserve"> (Commission media release, </w:t>
      </w:r>
      <w:r w:rsidR="00850837">
        <w:rPr>
          <w:lang w:val="en"/>
        </w:rPr>
        <w:t xml:space="preserve">14 </w:t>
      </w:r>
      <w:r w:rsidR="002A6471">
        <w:rPr>
          <w:lang w:val="en"/>
        </w:rPr>
        <w:t>May 2008)</w:t>
      </w:r>
    </w:p>
    <w:p w:rsidR="00850837" w:rsidRPr="00324B50" w:rsidRDefault="009B7A95" w:rsidP="00C5318D">
      <w:pPr>
        <w:pStyle w:val="ListParagraph"/>
        <w:numPr>
          <w:ilvl w:val="0"/>
          <w:numId w:val="43"/>
        </w:numPr>
        <w:spacing w:before="0" w:after="120"/>
        <w:ind w:left="284" w:hanging="284"/>
        <w:contextualSpacing w:val="0"/>
        <w:jc w:val="both"/>
        <w:rPr>
          <w:lang w:val="en"/>
        </w:rPr>
      </w:pPr>
      <w:hyperlink r:id="rId15" w:history="1">
        <w:r w:rsidR="00850837" w:rsidRPr="009B7A95">
          <w:rPr>
            <w:rStyle w:val="Hyperlink"/>
            <w:lang w:val="en"/>
          </w:rPr>
          <w:t>TPVs part of an inhumane system</w:t>
        </w:r>
      </w:hyperlink>
      <w:r w:rsidR="00850837">
        <w:rPr>
          <w:lang w:val="en"/>
        </w:rPr>
        <w:t xml:space="preserve"> (Commission news story, 3 December 2013)</w:t>
      </w:r>
    </w:p>
    <w:sectPr w:rsidR="00850837" w:rsidRPr="00324B50" w:rsidSect="00B63D24">
      <w:headerReference w:type="even" r:id="rId16"/>
      <w:headerReference w:type="default" r:id="rId17"/>
      <w:footerReference w:type="default" r:id="rId18"/>
      <w:headerReference w:type="first" r:id="rId19"/>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37" w:rsidRDefault="00850837" w:rsidP="00F14C6D">
      <w:r>
        <w:separator/>
      </w:r>
    </w:p>
  </w:endnote>
  <w:endnote w:type="continuationSeparator" w:id="0">
    <w:p w:rsidR="00850837" w:rsidRDefault="00850837" w:rsidP="00F14C6D">
      <w:r>
        <w:continuationSeparator/>
      </w:r>
    </w:p>
  </w:endnote>
  <w:endnote w:id="1">
    <w:p w:rsidR="00850837" w:rsidRDefault="00850837" w:rsidP="005F2CDD">
      <w:pPr>
        <w:pStyle w:val="EndnoteText"/>
        <w:ind w:left="284" w:hanging="284"/>
      </w:pPr>
      <w:r>
        <w:rPr>
          <w:rStyle w:val="EndnoteReference"/>
        </w:rPr>
        <w:endnoteRef/>
      </w:r>
      <w:r>
        <w:t xml:space="preserve"> </w:t>
      </w:r>
      <w:r>
        <w:tab/>
        <w:t xml:space="preserve">These protection obligations are set out in s 36 of the </w:t>
      </w:r>
      <w:r w:rsidRPr="00621719">
        <w:rPr>
          <w:i/>
        </w:rPr>
        <w:t>Migration Act 1958</w:t>
      </w:r>
      <w:r>
        <w:t xml:space="preserve"> (</w:t>
      </w:r>
      <w:proofErr w:type="spellStart"/>
      <w:r>
        <w:t>Cth</w:t>
      </w:r>
      <w:proofErr w:type="spellEnd"/>
      <w:r>
        <w:t>).</w:t>
      </w:r>
    </w:p>
  </w:endnote>
  <w:endnote w:id="2">
    <w:p w:rsidR="00850837" w:rsidRPr="006A64DA" w:rsidRDefault="00850837" w:rsidP="005F2CDD">
      <w:pPr>
        <w:pStyle w:val="EndnoteText"/>
        <w:ind w:left="284" w:hanging="284"/>
        <w:rPr>
          <w:color w:val="0000FF"/>
        </w:rPr>
      </w:pPr>
      <w:r>
        <w:rPr>
          <w:rStyle w:val="EndnoteReference"/>
        </w:rPr>
        <w:endnoteRef/>
      </w:r>
      <w:r>
        <w:t xml:space="preserve"> </w:t>
      </w:r>
      <w:r>
        <w:tab/>
      </w:r>
      <w:proofErr w:type="gramStart"/>
      <w:r>
        <w:t>Minister for Immigration and Border Protection, the Hon Scott Morrison MP, ‘Operation Sovereign Borders, incident on Manus Island’ (Interview, 21 October 2013).</w:t>
      </w:r>
      <w:proofErr w:type="gramEnd"/>
      <w:r>
        <w:t xml:space="preserve"> At </w:t>
      </w:r>
      <w:hyperlink r:id="rId1" w:history="1">
        <w:r w:rsidRPr="00160AEE">
          <w:rPr>
            <w:rStyle w:val="Hyperlink"/>
          </w:rPr>
          <w:t>http://www.minister.immi.gov.au/media/sm/2013/sm208933.htm</w:t>
        </w:r>
      </w:hyperlink>
      <w:r>
        <w:rPr>
          <w:rStyle w:val="Hyperlink"/>
        </w:rPr>
        <w:t xml:space="preserve"> </w:t>
      </w:r>
      <w:r w:rsidR="00D0579D">
        <w:rPr>
          <w:rStyle w:val="Hyperlink"/>
          <w:color w:val="auto"/>
          <w:u w:val="none"/>
        </w:rPr>
        <w:t>(viewed 12 Dece</w:t>
      </w:r>
      <w:r w:rsidRPr="006A64DA">
        <w:rPr>
          <w:rStyle w:val="Hyperlink"/>
          <w:color w:val="auto"/>
          <w:u w:val="none"/>
        </w:rPr>
        <w:t>mber 2013).</w:t>
      </w:r>
    </w:p>
  </w:endnote>
  <w:endnote w:id="3">
    <w:p w:rsidR="00850837" w:rsidRPr="00CB521C" w:rsidRDefault="00850837" w:rsidP="005F2CDD">
      <w:pPr>
        <w:pStyle w:val="EndnoteText"/>
        <w:ind w:left="284" w:hanging="284"/>
      </w:pPr>
      <w:r>
        <w:rPr>
          <w:rStyle w:val="EndnoteReference"/>
        </w:rPr>
        <w:endnoteRef/>
      </w:r>
      <w:r>
        <w:t xml:space="preserve"> </w:t>
      </w:r>
      <w:r>
        <w:tab/>
      </w:r>
      <w:proofErr w:type="gramStart"/>
      <w:r w:rsidRPr="00964579">
        <w:rPr>
          <w:i/>
        </w:rPr>
        <w:t>Migration Amendment (Temporary Protection Visas) Regulation 2013</w:t>
      </w:r>
      <w:r w:rsidRPr="00CB521C">
        <w:t xml:space="preserve"> (</w:t>
      </w:r>
      <w:proofErr w:type="spellStart"/>
      <w:r w:rsidRPr="00CB521C">
        <w:t>Cth</w:t>
      </w:r>
      <w:proofErr w:type="spellEnd"/>
      <w:r w:rsidRPr="00CB521C">
        <w:t>).</w:t>
      </w:r>
      <w:proofErr w:type="gramEnd"/>
    </w:p>
  </w:endnote>
  <w:endnote w:id="4">
    <w:p w:rsidR="00850837" w:rsidRDefault="00850837" w:rsidP="005F2CDD">
      <w:pPr>
        <w:pStyle w:val="EndnoteText"/>
        <w:ind w:left="284" w:hanging="284"/>
      </w:pPr>
      <w:r w:rsidRPr="00964579">
        <w:rPr>
          <w:rStyle w:val="EndnoteReference"/>
        </w:rPr>
        <w:endnoteRef/>
      </w:r>
      <w:r w:rsidRPr="00964579">
        <w:t xml:space="preserve"> </w:t>
      </w:r>
      <w:r w:rsidRPr="00964579">
        <w:tab/>
      </w:r>
      <w:proofErr w:type="gramStart"/>
      <w:r w:rsidRPr="00CB521C">
        <w:rPr>
          <w:lang w:val="en"/>
        </w:rPr>
        <w:t>Evidence to the Senate Standing Committee on Legal and Constitutional A</w:t>
      </w:r>
      <w:r w:rsidRPr="00BA1D43">
        <w:rPr>
          <w:lang w:val="en"/>
        </w:rPr>
        <w:t xml:space="preserve">ffairs (Estimates), Canberra, 19 </w:t>
      </w:r>
      <w:r w:rsidRPr="00B57BE3">
        <w:rPr>
          <w:lang w:val="en"/>
        </w:rPr>
        <w:t>November 2013, (</w:t>
      </w:r>
      <w:r w:rsidRPr="0057557A">
        <w:t xml:space="preserve">Ms Alison </w:t>
      </w:r>
      <w:proofErr w:type="spellStart"/>
      <w:r w:rsidRPr="0057557A">
        <w:t>Larkins</w:t>
      </w:r>
      <w:proofErr w:type="spellEnd"/>
      <w:r w:rsidRPr="0057557A">
        <w:t>, First Assistant Secretary, Department of Immigration and Border Protection</w:t>
      </w:r>
      <w:r w:rsidRPr="00964579">
        <w:rPr>
          <w:lang w:val="en"/>
        </w:rPr>
        <w:t>).</w:t>
      </w:r>
      <w:proofErr w:type="gramEnd"/>
      <w:r w:rsidRPr="00964579">
        <w:rPr>
          <w:lang w:val="en"/>
        </w:rPr>
        <w:t xml:space="preserve"> At </w:t>
      </w:r>
      <w:hyperlink r:id="rId2" w:history="1">
        <w:r w:rsidRPr="00964579">
          <w:rPr>
            <w:rStyle w:val="Hyperlink"/>
            <w:lang w:val="en"/>
          </w:rPr>
          <w:t>http://parlinfo.aph.gov.au/parlIn</w:t>
        </w:r>
        <w:r w:rsidRPr="00CB521C">
          <w:rPr>
            <w:rStyle w:val="Hyperlink"/>
            <w:lang w:val="en"/>
          </w:rPr>
          <w:t>fo/search/display/display.w3p;query=Id%3A%22committees%2Festimate%2F70373bf4-1745-474d-be50-7e04b2a90004%2F0000</w:t>
        </w:r>
        <w:r w:rsidRPr="00CB521C">
          <w:rPr>
            <w:rStyle w:val="Hyperlink"/>
            <w:lang w:val="en"/>
          </w:rPr>
          <w:t>%</w:t>
        </w:r>
        <w:r w:rsidRPr="00CB521C">
          <w:rPr>
            <w:rStyle w:val="Hyperlink"/>
            <w:lang w:val="en"/>
          </w:rPr>
          <w:t>22</w:t>
        </w:r>
      </w:hyperlink>
      <w:r w:rsidR="00845E21">
        <w:rPr>
          <w:lang w:val="en"/>
        </w:rPr>
        <w:t xml:space="preserve"> (viewed 12 </w:t>
      </w:r>
      <w:r w:rsidRPr="00964579">
        <w:rPr>
          <w:lang w:val="en"/>
        </w:rPr>
        <w:t>December 2013).</w:t>
      </w:r>
    </w:p>
  </w:endnote>
  <w:endnote w:id="5">
    <w:p w:rsidR="00850837" w:rsidRPr="00C057CE" w:rsidRDefault="00850837" w:rsidP="005F2CDD">
      <w:pPr>
        <w:spacing w:before="0" w:after="0"/>
        <w:ind w:left="284" w:hanging="284"/>
        <w:rPr>
          <w:rFonts w:eastAsia="Times New Roman" w:cs="Arial"/>
          <w:color w:val="000000"/>
        </w:rPr>
      </w:pPr>
      <w:r>
        <w:rPr>
          <w:rStyle w:val="EndnoteReference"/>
        </w:rPr>
        <w:endnoteRef/>
      </w:r>
      <w:r>
        <w:t xml:space="preserve"> </w:t>
      </w:r>
      <w:r>
        <w:tab/>
      </w:r>
      <w:r w:rsidRPr="00B3024D">
        <w:rPr>
          <w:rFonts w:eastAsia="Times New Roman" w:cs="Arial"/>
          <w:color w:val="000000"/>
          <w:sz w:val="20"/>
          <w:szCs w:val="20"/>
        </w:rPr>
        <w:t xml:space="preserve">For more information on asylum seekers on bridging visas, see the Commission’s Factsheet </w:t>
      </w:r>
      <w:r w:rsidRPr="004552F1">
        <w:rPr>
          <w:rFonts w:eastAsia="Times New Roman" w:cs="Arial"/>
          <w:i/>
          <w:color w:val="000000"/>
          <w:sz w:val="20"/>
          <w:szCs w:val="20"/>
        </w:rPr>
        <w:t>Tell Me About: Bridging Visas for Asylum Seekers</w:t>
      </w:r>
      <w:r>
        <w:rPr>
          <w:rFonts w:eastAsia="Times New Roman" w:cs="Arial"/>
          <w:color w:val="000000"/>
          <w:sz w:val="20"/>
          <w:szCs w:val="20"/>
        </w:rPr>
        <w:t xml:space="preserve">, available at: </w:t>
      </w:r>
      <w:hyperlink r:id="rId3" w:history="1">
        <w:r w:rsidRPr="000006C2">
          <w:rPr>
            <w:rStyle w:val="Hyperlink"/>
            <w:rFonts w:eastAsia="Times New Roman" w:cs="Arial"/>
            <w:sz w:val="20"/>
            <w:szCs w:val="20"/>
          </w:rPr>
          <w:t>http://www.humanrights.gov.au/publications/tell-me-about-bridging-visas-asylum-seekers</w:t>
        </w:r>
      </w:hyperlink>
      <w:r>
        <w:rPr>
          <w:rFonts w:eastAsia="Times New Roman" w:cs="Arial"/>
          <w:color w:val="000000"/>
          <w:sz w:val="20"/>
          <w:szCs w:val="20"/>
        </w:rPr>
        <w:t>.</w:t>
      </w:r>
    </w:p>
  </w:endnote>
  <w:endnote w:id="6">
    <w:p w:rsidR="00850837" w:rsidRDefault="00850837" w:rsidP="005F2CDD">
      <w:pPr>
        <w:pStyle w:val="EndnoteText"/>
        <w:ind w:left="284" w:hanging="284"/>
      </w:pPr>
      <w:r>
        <w:rPr>
          <w:rStyle w:val="EndnoteReference"/>
        </w:rPr>
        <w:endnoteRef/>
      </w:r>
      <w:r>
        <w:t xml:space="preserve"> </w:t>
      </w:r>
      <w:r>
        <w:tab/>
      </w:r>
      <w:r>
        <w:rPr>
          <w:lang w:val="en"/>
        </w:rPr>
        <w:t xml:space="preserve">See, for example, Human Rights and Equal Opportunity Commission (HREOC), </w:t>
      </w:r>
      <w:proofErr w:type="gramStart"/>
      <w:r>
        <w:rPr>
          <w:rStyle w:val="Emphasis"/>
          <w:lang w:val="en"/>
        </w:rPr>
        <w:t>A</w:t>
      </w:r>
      <w:proofErr w:type="gramEnd"/>
      <w:r>
        <w:rPr>
          <w:rStyle w:val="Emphasis"/>
          <w:lang w:val="en"/>
        </w:rPr>
        <w:t xml:space="preserve"> last resort? National Inquiry into Children in Immigration Detention</w:t>
      </w:r>
      <w:r>
        <w:rPr>
          <w:lang w:val="en"/>
        </w:rPr>
        <w:t xml:space="preserve"> (2004), </w:t>
      </w:r>
      <w:proofErr w:type="spellStart"/>
      <w:r>
        <w:rPr>
          <w:lang w:val="en"/>
        </w:rPr>
        <w:t>Ch</w:t>
      </w:r>
      <w:proofErr w:type="spellEnd"/>
      <w:r>
        <w:rPr>
          <w:lang w:val="en"/>
        </w:rPr>
        <w:t xml:space="preserve"> 16. At </w:t>
      </w:r>
      <w:hyperlink r:id="rId4" w:history="1">
        <w:r>
          <w:rPr>
            <w:rStyle w:val="Hyperlink"/>
            <w:lang w:val="en"/>
          </w:rPr>
          <w:t>http://www.humanrights.gov.au/last-resort-report-national-inquiry-children-immigration-detention-2004</w:t>
        </w:r>
      </w:hyperlink>
      <w:r w:rsidR="00637A53">
        <w:rPr>
          <w:lang w:val="en"/>
        </w:rPr>
        <w:t xml:space="preserve"> (viewed 12 Dec</w:t>
      </w:r>
      <w:r>
        <w:rPr>
          <w:lang w:val="en"/>
        </w:rPr>
        <w:t>ember 2013).</w:t>
      </w:r>
    </w:p>
  </w:endnote>
  <w:endnote w:id="7">
    <w:p w:rsidR="00850837" w:rsidRDefault="00850837" w:rsidP="005F2CDD">
      <w:pPr>
        <w:pStyle w:val="EndnoteText"/>
        <w:ind w:left="284" w:hanging="284"/>
      </w:pPr>
      <w:r>
        <w:rPr>
          <w:rStyle w:val="EndnoteReference"/>
        </w:rPr>
        <w:endnoteRef/>
      </w:r>
      <w:r>
        <w:t xml:space="preserve"> </w:t>
      </w:r>
      <w:r>
        <w:tab/>
      </w:r>
      <w:r w:rsidRPr="00C057CE">
        <w:rPr>
          <w:i/>
        </w:rPr>
        <w:t>International Covenant on Economic, Social and Cultural Rights</w:t>
      </w:r>
      <w:r>
        <w:t>, 1966, art 12.</w:t>
      </w:r>
    </w:p>
  </w:endnote>
  <w:endnote w:id="8">
    <w:p w:rsidR="00850837" w:rsidRPr="00292BDB" w:rsidRDefault="00850837" w:rsidP="005F2CDD">
      <w:pPr>
        <w:pStyle w:val="EndnoteText"/>
        <w:ind w:left="284" w:hanging="284"/>
      </w:pPr>
      <w:r>
        <w:rPr>
          <w:rStyle w:val="EndnoteReference"/>
        </w:rPr>
        <w:endnoteRef/>
      </w:r>
      <w:r>
        <w:t xml:space="preserve"> </w:t>
      </w:r>
      <w:r>
        <w:tab/>
        <w:t xml:space="preserve">Z Steel </w:t>
      </w:r>
      <w:r w:rsidRPr="00C057CE">
        <w:rPr>
          <w:i/>
        </w:rPr>
        <w:t>et al</w:t>
      </w:r>
      <w:r>
        <w:t xml:space="preserve">, ‘Impact of immigration detention and temporary protection on the mental health of refugees’ (2006) 188 </w:t>
      </w:r>
      <w:r>
        <w:rPr>
          <w:i/>
        </w:rPr>
        <w:t>British Journal of Psychiatry</w:t>
      </w:r>
      <w:r>
        <w:t xml:space="preserve"> 58, p 63.</w:t>
      </w:r>
    </w:p>
  </w:endnote>
  <w:endnote w:id="9">
    <w:p w:rsidR="00850837" w:rsidRPr="00333E7C" w:rsidRDefault="00850837" w:rsidP="005F2CDD">
      <w:pPr>
        <w:autoSpaceDE w:val="0"/>
        <w:autoSpaceDN w:val="0"/>
        <w:adjustRightInd w:val="0"/>
        <w:spacing w:before="0" w:after="0"/>
        <w:ind w:left="284" w:hanging="284"/>
        <w:rPr>
          <w:rFonts w:ascii="OptimaLTStd" w:eastAsia="Times New Roman" w:hAnsi="OptimaLTStd" w:cs="OptimaLTStd"/>
          <w:sz w:val="20"/>
          <w:szCs w:val="20"/>
        </w:rPr>
      </w:pPr>
      <w:r>
        <w:rPr>
          <w:rStyle w:val="EndnoteReference"/>
        </w:rPr>
        <w:endnoteRef/>
      </w:r>
      <w:r>
        <w:t xml:space="preserve"> </w:t>
      </w:r>
      <w:r>
        <w:tab/>
      </w:r>
      <w:r>
        <w:rPr>
          <w:rFonts w:ascii="OptimaLTStd" w:eastAsia="Times New Roman" w:hAnsi="OptimaLTStd" w:cs="OptimaLTStd"/>
          <w:sz w:val="20"/>
          <w:szCs w:val="20"/>
        </w:rPr>
        <w:t xml:space="preserve">S </w:t>
      </w:r>
      <w:proofErr w:type="spellStart"/>
      <w:r>
        <w:rPr>
          <w:rFonts w:ascii="OptimaLTStd" w:eastAsia="Times New Roman" w:hAnsi="OptimaLTStd" w:cs="OptimaLTStd"/>
          <w:sz w:val="20"/>
          <w:szCs w:val="20"/>
        </w:rPr>
        <w:t>Momartin</w:t>
      </w:r>
      <w:proofErr w:type="spellEnd"/>
      <w:r>
        <w:rPr>
          <w:rFonts w:ascii="OptimaLTStd" w:eastAsia="Times New Roman" w:hAnsi="OptimaLTStd" w:cs="OptimaLTStd"/>
          <w:sz w:val="20"/>
          <w:szCs w:val="20"/>
        </w:rPr>
        <w:t xml:space="preserve"> </w:t>
      </w:r>
      <w:r w:rsidRPr="00747CDF">
        <w:rPr>
          <w:rFonts w:ascii="OptimaLTStd" w:eastAsia="Times New Roman" w:hAnsi="OptimaLTStd" w:cs="OptimaLTStd"/>
          <w:i/>
          <w:sz w:val="20"/>
          <w:szCs w:val="20"/>
        </w:rPr>
        <w:t>et al</w:t>
      </w:r>
      <w:r>
        <w:rPr>
          <w:rFonts w:ascii="OptimaLTStd" w:eastAsia="Times New Roman" w:hAnsi="OptimaLTStd" w:cs="OptimaLTStd"/>
          <w:sz w:val="20"/>
          <w:szCs w:val="20"/>
        </w:rPr>
        <w:t xml:space="preserve">, ‘A Comparison of the Mental Health of Refugees with Temporary versus Permanent Protection Visas’ (2006) 185 </w:t>
      </w:r>
      <w:r w:rsidRPr="00333E7C">
        <w:rPr>
          <w:rFonts w:ascii="OptimaLTStd" w:eastAsia="Times New Roman" w:hAnsi="OptimaLTStd" w:cs="OptimaLTStd"/>
          <w:i/>
          <w:sz w:val="20"/>
          <w:szCs w:val="20"/>
        </w:rPr>
        <w:t>Medical Journal of Australia</w:t>
      </w:r>
      <w:r>
        <w:rPr>
          <w:rFonts w:ascii="OptimaLTStd" w:eastAsia="Times New Roman" w:hAnsi="OptimaLTStd" w:cs="OptimaLTStd"/>
          <w:sz w:val="20"/>
          <w:szCs w:val="20"/>
        </w:rPr>
        <w:t xml:space="preserve"> 357. </w:t>
      </w:r>
      <w:r w:rsidRPr="00747CDF">
        <w:rPr>
          <w:rFonts w:eastAsia="Times New Roman" w:cs="Arial"/>
          <w:sz w:val="20"/>
          <w:szCs w:val="20"/>
        </w:rPr>
        <w:t xml:space="preserve">See also </w:t>
      </w:r>
      <w:r w:rsidRPr="00747CDF">
        <w:rPr>
          <w:rFonts w:cs="Arial"/>
          <w:sz w:val="20"/>
          <w:szCs w:val="20"/>
          <w:lang w:val="en"/>
        </w:rPr>
        <w:t xml:space="preserve">Z Steel </w:t>
      </w:r>
      <w:r w:rsidRPr="00747CDF">
        <w:rPr>
          <w:rStyle w:val="Emphasis"/>
          <w:rFonts w:cs="Arial"/>
          <w:sz w:val="20"/>
          <w:szCs w:val="20"/>
          <w:lang w:val="en"/>
        </w:rPr>
        <w:t>et al</w:t>
      </w:r>
      <w:r w:rsidRPr="00747CDF">
        <w:rPr>
          <w:rFonts w:cs="Arial"/>
          <w:sz w:val="20"/>
          <w:szCs w:val="20"/>
          <w:lang w:val="en"/>
        </w:rPr>
        <w:t xml:space="preserve">, ‘Two year psychosocial and mental health outcomes for refugees subjected to restrictive or supportive immigration policies’ (2011) 72 </w:t>
      </w:r>
      <w:r w:rsidRPr="00747CDF">
        <w:rPr>
          <w:rStyle w:val="Emphasis"/>
          <w:rFonts w:cs="Arial"/>
          <w:sz w:val="20"/>
          <w:szCs w:val="20"/>
          <w:lang w:val="en"/>
        </w:rPr>
        <w:t>Social Science &amp; Medicine</w:t>
      </w:r>
      <w:r w:rsidRPr="00747CDF">
        <w:rPr>
          <w:rFonts w:cs="Arial"/>
          <w:sz w:val="20"/>
          <w:szCs w:val="20"/>
          <w:lang w:val="en"/>
        </w:rPr>
        <w:t xml:space="preserve"> 1149.</w:t>
      </w:r>
    </w:p>
  </w:endnote>
  <w:endnote w:id="10">
    <w:p w:rsidR="00850837" w:rsidRDefault="00850837" w:rsidP="005F2CDD">
      <w:pPr>
        <w:pStyle w:val="EndnoteText"/>
        <w:ind w:left="284" w:hanging="284"/>
      </w:pPr>
      <w:r>
        <w:rPr>
          <w:rStyle w:val="EndnoteReference"/>
        </w:rPr>
        <w:endnoteRef/>
      </w:r>
      <w:r>
        <w:t xml:space="preserve"> </w:t>
      </w:r>
      <w:r>
        <w:tab/>
      </w:r>
      <w:proofErr w:type="gramStart"/>
      <w:r>
        <w:t xml:space="preserve">HREOC, </w:t>
      </w:r>
      <w:r w:rsidRPr="00DF1395">
        <w:t xml:space="preserve">note </w:t>
      </w:r>
      <w:r w:rsidR="008D448C">
        <w:t>6</w:t>
      </w:r>
      <w:r w:rsidRPr="00DF1395">
        <w:t>, section</w:t>
      </w:r>
      <w:r>
        <w:t xml:space="preserve"> 16.2.1.</w:t>
      </w:r>
      <w:proofErr w:type="gramEnd"/>
    </w:p>
  </w:endnote>
  <w:endnote w:id="11">
    <w:p w:rsidR="00850837" w:rsidRPr="00295501" w:rsidRDefault="00850837" w:rsidP="005F2CDD">
      <w:pPr>
        <w:pStyle w:val="EndnoteText"/>
        <w:ind w:left="284" w:hanging="284"/>
      </w:pPr>
      <w:r>
        <w:rPr>
          <w:rStyle w:val="EndnoteReference"/>
        </w:rPr>
        <w:endnoteRef/>
      </w:r>
      <w:r>
        <w:t xml:space="preserve">  </w:t>
      </w:r>
      <w:r>
        <w:tab/>
      </w:r>
      <w:proofErr w:type="gramStart"/>
      <w:r>
        <w:t>HREOC, above, section 16.2.3.</w:t>
      </w:r>
      <w:proofErr w:type="gramEnd"/>
      <w:r>
        <w:t xml:space="preserve"> </w:t>
      </w:r>
    </w:p>
  </w:endnote>
  <w:endnote w:id="12">
    <w:p w:rsidR="00850837" w:rsidRDefault="00850837" w:rsidP="005F2CDD">
      <w:pPr>
        <w:pStyle w:val="EndnoteText"/>
        <w:ind w:left="284" w:hanging="284"/>
      </w:pPr>
      <w:r>
        <w:rPr>
          <w:rStyle w:val="EndnoteReference"/>
        </w:rPr>
        <w:endnoteRef/>
      </w:r>
      <w:r>
        <w:t xml:space="preserve"> </w:t>
      </w:r>
      <w:r>
        <w:tab/>
      </w:r>
      <w:proofErr w:type="gramStart"/>
      <w:r w:rsidRPr="00C057CE">
        <w:rPr>
          <w:i/>
        </w:rPr>
        <w:t>Convention on the Rights of the Child</w:t>
      </w:r>
      <w:r>
        <w:t>, 1989 (CRC), arts 6(2), 24(1) and 39.</w:t>
      </w:r>
      <w:proofErr w:type="gramEnd"/>
    </w:p>
  </w:endnote>
  <w:endnote w:id="13">
    <w:p w:rsidR="00850837" w:rsidRDefault="00850837" w:rsidP="005F2CDD">
      <w:pPr>
        <w:pStyle w:val="EndnoteText"/>
        <w:ind w:left="284" w:hanging="284"/>
      </w:pPr>
      <w:r>
        <w:rPr>
          <w:rStyle w:val="EndnoteReference"/>
        </w:rPr>
        <w:endnoteRef/>
      </w:r>
      <w:r>
        <w:t xml:space="preserve"> </w:t>
      </w:r>
      <w:r>
        <w:tab/>
      </w:r>
      <w:proofErr w:type="gramStart"/>
      <w:r>
        <w:t xml:space="preserve">Senate Legal and Constitutional References Committee, Parliament of Australia, </w:t>
      </w:r>
      <w:r w:rsidRPr="00C057CE">
        <w:rPr>
          <w:i/>
        </w:rPr>
        <w:t>Administration and operation of the Migration Act 1958</w:t>
      </w:r>
      <w:r>
        <w:t xml:space="preserve"> (2006), </w:t>
      </w:r>
      <w:proofErr w:type="spellStart"/>
      <w:r>
        <w:t>para</w:t>
      </w:r>
      <w:proofErr w:type="spellEnd"/>
      <w:r>
        <w:t xml:space="preserve"> 8.33.</w:t>
      </w:r>
      <w:proofErr w:type="gramEnd"/>
      <w:r>
        <w:t xml:space="preserve"> At </w:t>
      </w:r>
      <w:hyperlink r:id="rId5" w:history="1">
        <w:r w:rsidRPr="000006C2">
          <w:rPr>
            <w:rStyle w:val="Hyperlink"/>
          </w:rPr>
          <w:t>http://www.aph.gov.au/Parliamentary_Business/Committees/Senate/Legal_and_Constitutional_Affairs/Completed%20inquiries/2004-07/migration/report/c08</w:t>
        </w:r>
      </w:hyperlink>
      <w:r w:rsidR="00F76156">
        <w:t xml:space="preserve"> (viewed 12 Dec</w:t>
      </w:r>
      <w:r>
        <w:t>ember 2013).</w:t>
      </w:r>
    </w:p>
  </w:endnote>
  <w:endnote w:id="14">
    <w:p w:rsidR="00850837" w:rsidRDefault="00850837" w:rsidP="005F2CDD">
      <w:pPr>
        <w:pStyle w:val="EndnoteText"/>
        <w:ind w:left="284" w:hanging="284"/>
      </w:pPr>
      <w:r>
        <w:rPr>
          <w:rStyle w:val="EndnoteReference"/>
        </w:rPr>
        <w:endnoteRef/>
      </w:r>
      <w:r>
        <w:t xml:space="preserve"> </w:t>
      </w:r>
      <w:r>
        <w:tab/>
      </w:r>
      <w:r w:rsidRPr="004552F1">
        <w:rPr>
          <w:i/>
        </w:rPr>
        <w:t>International Covenant on Civil and Political Rights</w:t>
      </w:r>
      <w:r>
        <w:t>, 1966</w:t>
      </w:r>
      <w:r w:rsidR="00F76156">
        <w:t xml:space="preserve"> (ICCPR)</w:t>
      </w:r>
      <w:r>
        <w:t>, art 23;</w:t>
      </w:r>
      <w:r w:rsidRPr="0044621B">
        <w:rPr>
          <w:rFonts w:cs="Arial"/>
          <w:lang w:val="en"/>
        </w:rPr>
        <w:t xml:space="preserve"> </w:t>
      </w:r>
      <w:r>
        <w:rPr>
          <w:rFonts w:cs="Arial"/>
          <w:lang w:val="en"/>
        </w:rPr>
        <w:t xml:space="preserve">Human Rights Committee, </w:t>
      </w:r>
      <w:r>
        <w:rPr>
          <w:rFonts w:cs="Arial"/>
          <w:i/>
          <w:iCs/>
          <w:lang w:val="en"/>
        </w:rPr>
        <w:t>General Comment No. 19:</w:t>
      </w:r>
      <w:r>
        <w:rPr>
          <w:rFonts w:cs="Arial"/>
          <w:lang w:val="en"/>
        </w:rPr>
        <w:t xml:space="preserve"> </w:t>
      </w:r>
      <w:r>
        <w:rPr>
          <w:rFonts w:cs="Arial"/>
          <w:i/>
          <w:iCs/>
          <w:lang w:val="en"/>
        </w:rPr>
        <w:t xml:space="preserve">Protection of the family, the right to marriage and equality of the spouses (Art. 23), </w:t>
      </w:r>
      <w:r>
        <w:rPr>
          <w:rFonts w:cs="Arial"/>
          <w:lang w:val="en"/>
        </w:rPr>
        <w:t xml:space="preserve">UN Doc HRI/GEN/1/Rev.6, 149 (1990), </w:t>
      </w:r>
      <w:proofErr w:type="spellStart"/>
      <w:r>
        <w:rPr>
          <w:rFonts w:cs="Arial"/>
          <w:lang w:val="en"/>
        </w:rPr>
        <w:t>paras</w:t>
      </w:r>
      <w:proofErr w:type="spellEnd"/>
      <w:r>
        <w:rPr>
          <w:rFonts w:cs="Arial"/>
          <w:lang w:val="en"/>
        </w:rPr>
        <w:t xml:space="preserve"> 3 and 5.</w:t>
      </w:r>
      <w:r>
        <w:t xml:space="preserve"> </w:t>
      </w:r>
    </w:p>
  </w:endnote>
  <w:endnote w:id="15">
    <w:p w:rsidR="00850837" w:rsidRDefault="00850837" w:rsidP="005F2CDD">
      <w:pPr>
        <w:pStyle w:val="EndnoteText"/>
        <w:ind w:left="284" w:hanging="284"/>
      </w:pPr>
      <w:r>
        <w:rPr>
          <w:rStyle w:val="EndnoteReference"/>
        </w:rPr>
        <w:endnoteRef/>
      </w:r>
      <w:r>
        <w:t xml:space="preserve"> </w:t>
      </w:r>
      <w:r>
        <w:tab/>
      </w:r>
      <w:proofErr w:type="gramStart"/>
      <w:r>
        <w:t xml:space="preserve">Explanatory Statement, </w:t>
      </w:r>
      <w:r w:rsidRPr="00C057CE">
        <w:rPr>
          <w:i/>
        </w:rPr>
        <w:t>Migration Amendment (Temporary Protection Visas) Regulation 2013</w:t>
      </w:r>
      <w:r>
        <w:t xml:space="preserve"> (</w:t>
      </w:r>
      <w:proofErr w:type="spellStart"/>
      <w:r>
        <w:t>Cth</w:t>
      </w:r>
      <w:proofErr w:type="spellEnd"/>
      <w:r>
        <w:t>).</w:t>
      </w:r>
      <w:proofErr w:type="gramEnd"/>
    </w:p>
  </w:endnote>
  <w:endnote w:id="16">
    <w:p w:rsidR="00850837" w:rsidRDefault="00850837" w:rsidP="005F2CDD">
      <w:pPr>
        <w:pStyle w:val="EndnoteText"/>
        <w:ind w:left="284" w:hanging="284"/>
      </w:pPr>
      <w:r>
        <w:rPr>
          <w:rStyle w:val="EndnoteReference"/>
        </w:rPr>
        <w:endnoteRef/>
      </w:r>
      <w:r>
        <w:t xml:space="preserve"> </w:t>
      </w:r>
      <w:r>
        <w:tab/>
      </w:r>
      <w:proofErr w:type="gramStart"/>
      <w:r>
        <w:t xml:space="preserve">HREOC, </w:t>
      </w:r>
      <w:r w:rsidRPr="00DF1395">
        <w:t xml:space="preserve">note </w:t>
      </w:r>
      <w:r w:rsidR="008D448C">
        <w:t>6</w:t>
      </w:r>
      <w:r w:rsidRPr="00DF1395">
        <w:t>,</w:t>
      </w:r>
      <w:r>
        <w:t xml:space="preserve"> section 16.2.2.</w:t>
      </w:r>
      <w:proofErr w:type="gramEnd"/>
    </w:p>
  </w:endnote>
  <w:endnote w:id="17">
    <w:p w:rsidR="00850837" w:rsidRDefault="00850837" w:rsidP="005F2CDD">
      <w:pPr>
        <w:pStyle w:val="EndnoteText"/>
        <w:ind w:left="284" w:hanging="284"/>
      </w:pPr>
      <w:r>
        <w:rPr>
          <w:rStyle w:val="EndnoteReference"/>
        </w:rPr>
        <w:endnoteRef/>
      </w:r>
      <w:r>
        <w:t xml:space="preserve"> </w:t>
      </w:r>
      <w:r>
        <w:tab/>
      </w:r>
      <w:proofErr w:type="gramStart"/>
      <w:r>
        <w:t>HREOC, above, section 16.2.2.</w:t>
      </w:r>
      <w:proofErr w:type="gramEnd"/>
      <w:r>
        <w:t xml:space="preserve"> See also </w:t>
      </w:r>
      <w:r>
        <w:rPr>
          <w:lang w:val="en"/>
        </w:rPr>
        <w:t xml:space="preserve">Evidence to the Senate Standing Committee on Legal and Constitutional Affairs (Estimates), Canberra, 24 February 2009, p 73 (Senator Chris Evans, Minister for Immigration and Citizenship). At </w:t>
      </w:r>
      <w:hyperlink r:id="rId6" w:history="1">
        <w:r>
          <w:rPr>
            <w:rStyle w:val="Hyperlink"/>
            <w:lang w:val="en"/>
          </w:rPr>
          <w:t>http://parlinfo.aph.gov.au/parlInfo/search/display/display.w3p;query=Id%3A%22committees%2Festimate%2F11640%2F0001%22</w:t>
        </w:r>
      </w:hyperlink>
      <w:r w:rsidR="00F76156">
        <w:rPr>
          <w:lang w:val="en"/>
        </w:rPr>
        <w:t xml:space="preserve"> (viewed 12 Dec</w:t>
      </w:r>
      <w:r>
        <w:rPr>
          <w:lang w:val="en"/>
        </w:rPr>
        <w:t>ember 2013).</w:t>
      </w:r>
    </w:p>
  </w:endnote>
  <w:endnote w:id="18">
    <w:p w:rsidR="00850837" w:rsidRDefault="00850837" w:rsidP="005F2CDD">
      <w:pPr>
        <w:pStyle w:val="EndnoteText"/>
        <w:ind w:left="284" w:hanging="284"/>
      </w:pPr>
      <w:r>
        <w:rPr>
          <w:rStyle w:val="EndnoteReference"/>
        </w:rPr>
        <w:endnoteRef/>
      </w:r>
      <w:r>
        <w:t xml:space="preserve"> </w:t>
      </w:r>
      <w:r>
        <w:tab/>
        <w:t xml:space="preserve">ICCPR, arts 2(1) and 26, </w:t>
      </w:r>
      <w:r>
        <w:rPr>
          <w:lang w:val="en"/>
        </w:rPr>
        <w:t xml:space="preserve">Human Rights Committee, </w:t>
      </w:r>
      <w:r>
        <w:rPr>
          <w:rStyle w:val="Emphasis"/>
          <w:lang w:val="en"/>
        </w:rPr>
        <w:t>General Comment No. 15: The position of aliens under the Covenant</w:t>
      </w:r>
      <w:r>
        <w:rPr>
          <w:lang w:val="en"/>
        </w:rPr>
        <w:t xml:space="preserve">, UN Doc HRI/GEN/1/Rev.9 (Vol. </w:t>
      </w:r>
      <w:proofErr w:type="gramStart"/>
      <w:r>
        <w:rPr>
          <w:lang w:val="en"/>
        </w:rPr>
        <w:t xml:space="preserve">I) (1986), </w:t>
      </w:r>
      <w:proofErr w:type="spellStart"/>
      <w:r>
        <w:rPr>
          <w:lang w:val="en"/>
        </w:rPr>
        <w:t>paras</w:t>
      </w:r>
      <w:proofErr w:type="spellEnd"/>
      <w:r>
        <w:rPr>
          <w:lang w:val="en"/>
        </w:rPr>
        <w:t xml:space="preserve"> 2, 5, 7, 9 and 10.</w:t>
      </w:r>
      <w:proofErr w:type="gramEnd"/>
    </w:p>
  </w:endnote>
  <w:endnote w:id="19">
    <w:p w:rsidR="00850837" w:rsidRDefault="00850837" w:rsidP="005F2CDD">
      <w:pPr>
        <w:pStyle w:val="EndnoteText"/>
        <w:ind w:left="284" w:hanging="284"/>
      </w:pPr>
      <w:r>
        <w:rPr>
          <w:rStyle w:val="EndnoteReference"/>
        </w:rPr>
        <w:endnoteRef/>
      </w:r>
      <w:r>
        <w:t xml:space="preserve"> </w:t>
      </w:r>
      <w:r>
        <w:tab/>
      </w:r>
      <w:r>
        <w:rPr>
          <w:lang w:val="en"/>
        </w:rPr>
        <w:t xml:space="preserve">Human Rights Committee, </w:t>
      </w:r>
      <w:r>
        <w:rPr>
          <w:rStyle w:val="Emphasis"/>
          <w:lang w:val="en"/>
        </w:rPr>
        <w:t>General Comment No</w:t>
      </w:r>
      <w:r>
        <w:rPr>
          <w:lang w:val="en"/>
        </w:rPr>
        <w:t>.</w:t>
      </w:r>
      <w:r>
        <w:rPr>
          <w:rStyle w:val="Emphasis"/>
          <w:lang w:val="en"/>
        </w:rPr>
        <w:t>18: Non-discrimination</w:t>
      </w:r>
      <w:r>
        <w:rPr>
          <w:lang w:val="en"/>
        </w:rPr>
        <w:t>, UN Doc</w:t>
      </w:r>
      <w:r w:rsidR="00155644">
        <w:rPr>
          <w:lang w:val="en"/>
        </w:rPr>
        <w:t xml:space="preserve"> CCPR/C/21/Rev.1/Add. </w:t>
      </w:r>
      <w:proofErr w:type="gramStart"/>
      <w:r w:rsidR="00155644">
        <w:rPr>
          <w:lang w:val="en"/>
        </w:rPr>
        <w:t xml:space="preserve">1 (1989), </w:t>
      </w:r>
      <w:proofErr w:type="spellStart"/>
      <w:r>
        <w:rPr>
          <w:lang w:val="en"/>
        </w:rPr>
        <w:t>para</w:t>
      </w:r>
      <w:proofErr w:type="spellEnd"/>
      <w:r>
        <w:rPr>
          <w:lang w:val="en"/>
        </w:rPr>
        <w:t xml:space="preserve"> 13.</w:t>
      </w:r>
      <w:proofErr w:type="gramEnd"/>
    </w:p>
  </w:endnote>
  <w:endnote w:id="20">
    <w:p w:rsidR="00850837" w:rsidRDefault="00850837" w:rsidP="005F2CDD">
      <w:pPr>
        <w:pStyle w:val="EndnoteText"/>
        <w:ind w:left="284" w:hanging="284"/>
      </w:pPr>
      <w:r>
        <w:rPr>
          <w:rStyle w:val="EndnoteReference"/>
        </w:rPr>
        <w:endnoteRef/>
      </w:r>
      <w:r>
        <w:t xml:space="preserve"> </w:t>
      </w:r>
      <w:r>
        <w:tab/>
      </w:r>
      <w:r>
        <w:rPr>
          <w:rStyle w:val="Emphasis"/>
          <w:lang w:val="en"/>
        </w:rPr>
        <w:t xml:space="preserve">Convention </w:t>
      </w:r>
      <w:proofErr w:type="gramStart"/>
      <w:r>
        <w:rPr>
          <w:rStyle w:val="Emphasis"/>
          <w:lang w:val="en"/>
        </w:rPr>
        <w:t>Relating</w:t>
      </w:r>
      <w:proofErr w:type="gramEnd"/>
      <w:r>
        <w:rPr>
          <w:rStyle w:val="Emphasis"/>
          <w:lang w:val="en"/>
        </w:rPr>
        <w:t xml:space="preserve"> to the Status of Refugees</w:t>
      </w:r>
      <w:r>
        <w:rPr>
          <w:lang w:val="en"/>
        </w:rPr>
        <w:t xml:space="preserve">, 1951, as amended by the </w:t>
      </w:r>
      <w:r>
        <w:rPr>
          <w:rStyle w:val="Emphasis"/>
          <w:lang w:val="en"/>
        </w:rPr>
        <w:t>Protocol Relating to the Status of Refugees</w:t>
      </w:r>
      <w:r>
        <w:rPr>
          <w:lang w:val="en"/>
        </w:rPr>
        <w:t>, 1967.</w:t>
      </w: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ptimaLTSt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37" w:rsidRPr="0090165F" w:rsidRDefault="00850837"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37" w:rsidRPr="0090165F" w:rsidRDefault="00850837"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155644">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37" w:rsidRDefault="00850837" w:rsidP="00F14C6D">
      <w:r>
        <w:separator/>
      </w:r>
    </w:p>
  </w:footnote>
  <w:footnote w:type="continuationSeparator" w:id="0">
    <w:p w:rsidR="00850837" w:rsidRDefault="0085083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37" w:rsidRDefault="008508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37" w:rsidRPr="00D27262" w:rsidRDefault="00850837"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rsidR="00850837" w:rsidRDefault="00850837"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50837" w:rsidRPr="00B85DD4" w:rsidTr="00165E3C">
      <w:trPr>
        <w:trHeight w:val="1276"/>
      </w:trPr>
      <w:tc>
        <w:tcPr>
          <w:tcW w:w="1508" w:type="dxa"/>
        </w:tcPr>
        <w:p w:rsidR="00850837" w:rsidRPr="00B85DD4" w:rsidRDefault="00850837"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850837" w:rsidRPr="00B85DD4" w:rsidRDefault="00850837" w:rsidP="002B1B65">
          <w:pPr>
            <w:spacing w:before="0" w:after="0"/>
            <w:rPr>
              <w:rFonts w:cs="ArialMT"/>
              <w:i/>
              <w:color w:val="808080"/>
              <w:sz w:val="17"/>
            </w:rPr>
          </w:pPr>
        </w:p>
      </w:tc>
      <w:tc>
        <w:tcPr>
          <w:tcW w:w="2302" w:type="dxa"/>
        </w:tcPr>
        <w:p w:rsidR="00850837" w:rsidRPr="00B85DD4" w:rsidRDefault="00850837" w:rsidP="00B520BC">
          <w:pPr>
            <w:pStyle w:val="HeaderFooter"/>
            <w:rPr>
              <w:b/>
              <w:spacing w:val="-20"/>
              <w:sz w:val="40"/>
            </w:rPr>
          </w:pPr>
        </w:p>
      </w:tc>
      <w:tc>
        <w:tcPr>
          <w:tcW w:w="2130" w:type="dxa"/>
        </w:tcPr>
        <w:p w:rsidR="00850837" w:rsidRPr="00B85DD4" w:rsidRDefault="00850837" w:rsidP="00B520BC">
          <w:pPr>
            <w:pStyle w:val="HeaderFooter"/>
            <w:rPr>
              <w:b/>
              <w:spacing w:val="-20"/>
              <w:sz w:val="40"/>
            </w:rPr>
          </w:pPr>
        </w:p>
      </w:tc>
      <w:tc>
        <w:tcPr>
          <w:tcW w:w="1721" w:type="dxa"/>
        </w:tcPr>
        <w:p w:rsidR="00850837" w:rsidRPr="00B85DD4" w:rsidRDefault="00850837" w:rsidP="00B520BC">
          <w:pPr>
            <w:pStyle w:val="HeaderFooter"/>
            <w:spacing w:before="227" w:after="340"/>
            <w:rPr>
              <w:b/>
              <w:spacing w:val="-20"/>
              <w:sz w:val="40"/>
            </w:rPr>
          </w:pPr>
        </w:p>
      </w:tc>
    </w:tr>
  </w:tbl>
  <w:p w:rsidR="00850837" w:rsidRDefault="008508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37" w:rsidRDefault="0085083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37" w:rsidRPr="00D27262" w:rsidRDefault="00850837" w:rsidP="00B34946">
    <w:pPr>
      <w:spacing w:before="0" w:after="60"/>
      <w:jc w:val="right"/>
      <w:rPr>
        <w:sz w:val="22"/>
        <w:szCs w:val="22"/>
      </w:rPr>
    </w:pPr>
    <w:r w:rsidRPr="00D27262">
      <w:rPr>
        <w:sz w:val="22"/>
        <w:szCs w:val="22"/>
      </w:rPr>
      <w:t>Au</w:t>
    </w:r>
    <w:r>
      <w:rPr>
        <w:sz w:val="22"/>
        <w:szCs w:val="22"/>
      </w:rPr>
      <w:t>stralian Human Rights Commission</w:t>
    </w:r>
  </w:p>
  <w:p w:rsidR="00850837" w:rsidRPr="001E5676" w:rsidRDefault="006F3196" w:rsidP="002F4CE1">
    <w:pPr>
      <w:pStyle w:val="Footer"/>
      <w:spacing w:after="240"/>
      <w:jc w:val="right"/>
      <w:rPr>
        <w:i/>
        <w:sz w:val="18"/>
        <w:szCs w:val="18"/>
      </w:rPr>
    </w:pPr>
    <w:r>
      <w:rPr>
        <w:b/>
        <w:i/>
        <w:sz w:val="18"/>
        <w:szCs w:val="18"/>
      </w:rPr>
      <w:t>Decem</w:t>
    </w:r>
    <w:r w:rsidR="00850837">
      <w:rPr>
        <w:b/>
        <w:i/>
        <w:sz w:val="18"/>
        <w:szCs w:val="18"/>
      </w:rPr>
      <w:t>ber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50837" w:rsidRPr="00B85DD4" w:rsidTr="002B1B65">
      <w:trPr>
        <w:trHeight w:val="1603"/>
      </w:trPr>
      <w:tc>
        <w:tcPr>
          <w:tcW w:w="1508" w:type="dxa"/>
        </w:tcPr>
        <w:p w:rsidR="00850837" w:rsidRPr="00B85DD4" w:rsidRDefault="00850837"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rPr>
            <w:pict>
              <v:shape id="_x0000_i1025" type="#_x0000_t75" alt="Description: HREOC-Globe_PMS_POS" style="width:64.5pt;height:64.5pt;visibility:visible">
                <v:imagedata r:id="rId2" o:title="HREOC-Globe_PMS_POS"/>
              </v:shape>
            </w:pict>
          </w:r>
        </w:p>
      </w:tc>
      <w:tc>
        <w:tcPr>
          <w:tcW w:w="2688" w:type="dxa"/>
          <w:vAlign w:val="center"/>
        </w:tcPr>
        <w:p w:rsidR="00850837" w:rsidRPr="00D36BB2" w:rsidRDefault="00850837" w:rsidP="002B1B65">
          <w:pPr>
            <w:pStyle w:val="LogoType"/>
            <w:pBdr>
              <w:bottom w:val="single" w:sz="4" w:space="1" w:color="808080"/>
            </w:pBdr>
            <w:spacing w:line="240" w:lineRule="auto"/>
          </w:pPr>
          <w:r w:rsidRPr="00D36BB2">
            <w:t>Australian</w:t>
          </w:r>
        </w:p>
        <w:p w:rsidR="00850837" w:rsidRPr="00D36BB2" w:rsidRDefault="00850837" w:rsidP="002B1B65">
          <w:pPr>
            <w:pStyle w:val="LogoType"/>
            <w:pBdr>
              <w:bottom w:val="single" w:sz="4" w:space="1" w:color="808080"/>
            </w:pBdr>
            <w:spacing w:line="240" w:lineRule="auto"/>
          </w:pPr>
          <w:r w:rsidRPr="00D36BB2">
            <w:t>Human Rights</w:t>
          </w:r>
        </w:p>
        <w:p w:rsidR="00850837" w:rsidRPr="00D36BB2" w:rsidRDefault="00850837" w:rsidP="002B1B65">
          <w:pPr>
            <w:pStyle w:val="LogoType"/>
            <w:pBdr>
              <w:bottom w:val="single" w:sz="4" w:space="1" w:color="808080"/>
            </w:pBdr>
            <w:spacing w:line="240" w:lineRule="auto"/>
          </w:pPr>
          <w:r w:rsidRPr="00D36BB2">
            <w:t>Commission</w:t>
          </w:r>
        </w:p>
        <w:p w:rsidR="00850837" w:rsidRPr="00B85DD4" w:rsidRDefault="00850837"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850837" w:rsidRPr="00B85DD4" w:rsidRDefault="00850837" w:rsidP="00B520BC">
          <w:pPr>
            <w:pStyle w:val="HeaderFooter"/>
            <w:rPr>
              <w:b/>
              <w:spacing w:val="-20"/>
              <w:sz w:val="40"/>
            </w:rPr>
          </w:pPr>
        </w:p>
      </w:tc>
      <w:tc>
        <w:tcPr>
          <w:tcW w:w="2130" w:type="dxa"/>
        </w:tcPr>
        <w:p w:rsidR="00850837" w:rsidRPr="00B85DD4" w:rsidRDefault="00850837" w:rsidP="00B520BC">
          <w:pPr>
            <w:pStyle w:val="HeaderFooter"/>
            <w:rPr>
              <w:b/>
              <w:spacing w:val="-20"/>
              <w:sz w:val="40"/>
            </w:rPr>
          </w:pPr>
        </w:p>
      </w:tc>
      <w:tc>
        <w:tcPr>
          <w:tcW w:w="1721" w:type="dxa"/>
        </w:tcPr>
        <w:p w:rsidR="00850837" w:rsidRPr="00B85DD4" w:rsidRDefault="00850837" w:rsidP="00B520BC">
          <w:pPr>
            <w:pStyle w:val="HeaderFooter"/>
            <w:spacing w:before="227" w:after="340"/>
            <w:rPr>
              <w:b/>
              <w:spacing w:val="-20"/>
              <w:sz w:val="40"/>
            </w:rPr>
          </w:pPr>
        </w:p>
      </w:tc>
    </w:tr>
  </w:tbl>
  <w:p w:rsidR="00850837" w:rsidRDefault="00850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9965583"/>
    <w:multiLevelType w:val="hybridMultilevel"/>
    <w:tmpl w:val="B336B20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EBA7EE0"/>
    <w:multiLevelType w:val="multilevel"/>
    <w:tmpl w:val="502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2CB7B3E"/>
    <w:multiLevelType w:val="hybridMultilevel"/>
    <w:tmpl w:val="1FE29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1B47D97"/>
    <w:multiLevelType w:val="hybridMultilevel"/>
    <w:tmpl w:val="08E8E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361A340F"/>
    <w:multiLevelType w:val="hybridMultilevel"/>
    <w:tmpl w:val="9CB2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C883107"/>
    <w:multiLevelType w:val="hybridMultilevel"/>
    <w:tmpl w:val="D49602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nsid w:val="71A470B0"/>
    <w:multiLevelType w:val="hybridMultilevel"/>
    <w:tmpl w:val="99246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D49332A"/>
    <w:multiLevelType w:val="hybridMultilevel"/>
    <w:tmpl w:val="AD32EF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0"/>
  </w:num>
  <w:num w:numId="2">
    <w:abstractNumId w:val="29"/>
  </w:num>
  <w:num w:numId="3">
    <w:abstractNumId w:val="35"/>
  </w:num>
  <w:num w:numId="4">
    <w:abstractNumId w:val="1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3"/>
  </w:num>
  <w:num w:numId="18">
    <w:abstractNumId w:val="25"/>
  </w:num>
  <w:num w:numId="19">
    <w:abstractNumId w:val="16"/>
  </w:num>
  <w:num w:numId="20">
    <w:abstractNumId w:val="38"/>
  </w:num>
  <w:num w:numId="21">
    <w:abstractNumId w:val="27"/>
  </w:num>
  <w:num w:numId="22">
    <w:abstractNumId w:val="26"/>
  </w:num>
  <w:num w:numId="23">
    <w:abstractNumId w:val="40"/>
  </w:num>
  <w:num w:numId="24">
    <w:abstractNumId w:val="11"/>
  </w:num>
  <w:num w:numId="25">
    <w:abstractNumId w:val="39"/>
  </w:num>
  <w:num w:numId="26">
    <w:abstractNumId w:val="28"/>
  </w:num>
  <w:num w:numId="27">
    <w:abstractNumId w:val="12"/>
  </w:num>
  <w:num w:numId="28">
    <w:abstractNumId w:val="18"/>
  </w:num>
  <w:num w:numId="29">
    <w:abstractNumId w:val="32"/>
  </w:num>
  <w:num w:numId="30">
    <w:abstractNumId w:val="3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6"/>
  </w:num>
  <w:num w:numId="36">
    <w:abstractNumId w:val="14"/>
  </w:num>
  <w:num w:numId="37">
    <w:abstractNumId w:val="10"/>
  </w:num>
  <w:num w:numId="38">
    <w:abstractNumId w:val="31"/>
  </w:num>
  <w:num w:numId="39">
    <w:abstractNumId w:val="13"/>
  </w:num>
  <w:num w:numId="40">
    <w:abstractNumId w:val="41"/>
  </w:num>
  <w:num w:numId="41">
    <w:abstractNumId w:val="15"/>
  </w:num>
  <w:num w:numId="42">
    <w:abstractNumId w:val="17"/>
  </w:num>
  <w:num w:numId="43">
    <w:abstractNumId w:val="22"/>
  </w:num>
  <w:num w:numId="44">
    <w:abstractNumId w:val="3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233"/>
    <w:rsid w:val="00000D83"/>
    <w:rsid w:val="000025AD"/>
    <w:rsid w:val="000040BE"/>
    <w:rsid w:val="00005C0D"/>
    <w:rsid w:val="0001325A"/>
    <w:rsid w:val="00014DC1"/>
    <w:rsid w:val="00016BD8"/>
    <w:rsid w:val="00017376"/>
    <w:rsid w:val="0002106F"/>
    <w:rsid w:val="00023708"/>
    <w:rsid w:val="00023841"/>
    <w:rsid w:val="00023DF9"/>
    <w:rsid w:val="000242DC"/>
    <w:rsid w:val="00025FCB"/>
    <w:rsid w:val="00026CAF"/>
    <w:rsid w:val="00034258"/>
    <w:rsid w:val="000343B0"/>
    <w:rsid w:val="00034F40"/>
    <w:rsid w:val="00035108"/>
    <w:rsid w:val="000424A3"/>
    <w:rsid w:val="000453B3"/>
    <w:rsid w:val="00045975"/>
    <w:rsid w:val="00054D27"/>
    <w:rsid w:val="0005558B"/>
    <w:rsid w:val="00056DC7"/>
    <w:rsid w:val="000579B1"/>
    <w:rsid w:val="00074911"/>
    <w:rsid w:val="000750FB"/>
    <w:rsid w:val="000958AB"/>
    <w:rsid w:val="000A1DB8"/>
    <w:rsid w:val="000A48AC"/>
    <w:rsid w:val="000A6167"/>
    <w:rsid w:val="000A6948"/>
    <w:rsid w:val="000B0A5D"/>
    <w:rsid w:val="000B3E54"/>
    <w:rsid w:val="000C08FB"/>
    <w:rsid w:val="000C7AAB"/>
    <w:rsid w:val="000C7EF5"/>
    <w:rsid w:val="000D3104"/>
    <w:rsid w:val="000D6C8E"/>
    <w:rsid w:val="000E130A"/>
    <w:rsid w:val="000E59EE"/>
    <w:rsid w:val="000E6925"/>
    <w:rsid w:val="000F0138"/>
    <w:rsid w:val="000F225A"/>
    <w:rsid w:val="000F3930"/>
    <w:rsid w:val="000F5490"/>
    <w:rsid w:val="000F5D20"/>
    <w:rsid w:val="000F6735"/>
    <w:rsid w:val="000F686B"/>
    <w:rsid w:val="00101F45"/>
    <w:rsid w:val="00112F68"/>
    <w:rsid w:val="00120267"/>
    <w:rsid w:val="001212E8"/>
    <w:rsid w:val="00122791"/>
    <w:rsid w:val="00127594"/>
    <w:rsid w:val="00130A16"/>
    <w:rsid w:val="00133ADC"/>
    <w:rsid w:val="00134774"/>
    <w:rsid w:val="00137F57"/>
    <w:rsid w:val="00140274"/>
    <w:rsid w:val="00144B98"/>
    <w:rsid w:val="00147364"/>
    <w:rsid w:val="00147861"/>
    <w:rsid w:val="00150519"/>
    <w:rsid w:val="00151263"/>
    <w:rsid w:val="00152CA9"/>
    <w:rsid w:val="00155644"/>
    <w:rsid w:val="00155880"/>
    <w:rsid w:val="00162A8D"/>
    <w:rsid w:val="00165E3C"/>
    <w:rsid w:val="001664D6"/>
    <w:rsid w:val="0017225D"/>
    <w:rsid w:val="00172760"/>
    <w:rsid w:val="00172AF7"/>
    <w:rsid w:val="00173FB5"/>
    <w:rsid w:val="00174288"/>
    <w:rsid w:val="001776E3"/>
    <w:rsid w:val="001825DE"/>
    <w:rsid w:val="00187EA3"/>
    <w:rsid w:val="00192ED1"/>
    <w:rsid w:val="0019393A"/>
    <w:rsid w:val="00194579"/>
    <w:rsid w:val="00195562"/>
    <w:rsid w:val="001A3172"/>
    <w:rsid w:val="001A34E7"/>
    <w:rsid w:val="001A356E"/>
    <w:rsid w:val="001A4ECE"/>
    <w:rsid w:val="001A559D"/>
    <w:rsid w:val="001A5867"/>
    <w:rsid w:val="001A6E02"/>
    <w:rsid w:val="001A7D51"/>
    <w:rsid w:val="001B0353"/>
    <w:rsid w:val="001B4A0F"/>
    <w:rsid w:val="001B4D9E"/>
    <w:rsid w:val="001C003B"/>
    <w:rsid w:val="001C0FD7"/>
    <w:rsid w:val="001C1251"/>
    <w:rsid w:val="001C1F8B"/>
    <w:rsid w:val="001C2773"/>
    <w:rsid w:val="001C71D1"/>
    <w:rsid w:val="001C7A17"/>
    <w:rsid w:val="001D31E0"/>
    <w:rsid w:val="001D4C9E"/>
    <w:rsid w:val="001D5EB4"/>
    <w:rsid w:val="001D65F4"/>
    <w:rsid w:val="001E2FE8"/>
    <w:rsid w:val="001E3972"/>
    <w:rsid w:val="001E5676"/>
    <w:rsid w:val="001E56EF"/>
    <w:rsid w:val="001E6D01"/>
    <w:rsid w:val="001F2BBB"/>
    <w:rsid w:val="001F6710"/>
    <w:rsid w:val="00200677"/>
    <w:rsid w:val="002009F7"/>
    <w:rsid w:val="00204CC0"/>
    <w:rsid w:val="00211246"/>
    <w:rsid w:val="002159FE"/>
    <w:rsid w:val="00217D7E"/>
    <w:rsid w:val="0022046F"/>
    <w:rsid w:val="00223ACD"/>
    <w:rsid w:val="002313C3"/>
    <w:rsid w:val="00231ED1"/>
    <w:rsid w:val="00236F16"/>
    <w:rsid w:val="00242624"/>
    <w:rsid w:val="00243165"/>
    <w:rsid w:val="002453C3"/>
    <w:rsid w:val="0024557E"/>
    <w:rsid w:val="0025572F"/>
    <w:rsid w:val="00256C93"/>
    <w:rsid w:val="00256E5A"/>
    <w:rsid w:val="0026581D"/>
    <w:rsid w:val="00267C38"/>
    <w:rsid w:val="0027018D"/>
    <w:rsid w:val="002779C8"/>
    <w:rsid w:val="00285843"/>
    <w:rsid w:val="002863D7"/>
    <w:rsid w:val="002873B4"/>
    <w:rsid w:val="0029243F"/>
    <w:rsid w:val="00294106"/>
    <w:rsid w:val="002A211E"/>
    <w:rsid w:val="002A4A44"/>
    <w:rsid w:val="002A6471"/>
    <w:rsid w:val="002B1B65"/>
    <w:rsid w:val="002B4F16"/>
    <w:rsid w:val="002B5698"/>
    <w:rsid w:val="002C0519"/>
    <w:rsid w:val="002C1866"/>
    <w:rsid w:val="002C3185"/>
    <w:rsid w:val="002C4D46"/>
    <w:rsid w:val="002C679A"/>
    <w:rsid w:val="002D1015"/>
    <w:rsid w:val="002D1794"/>
    <w:rsid w:val="002D3FD0"/>
    <w:rsid w:val="002E245E"/>
    <w:rsid w:val="002E276D"/>
    <w:rsid w:val="002E4877"/>
    <w:rsid w:val="002E6244"/>
    <w:rsid w:val="002F3E1F"/>
    <w:rsid w:val="002F4CDD"/>
    <w:rsid w:val="002F4CE1"/>
    <w:rsid w:val="002F56DE"/>
    <w:rsid w:val="002F73C7"/>
    <w:rsid w:val="00300F22"/>
    <w:rsid w:val="00302AF9"/>
    <w:rsid w:val="00304A37"/>
    <w:rsid w:val="00304CAC"/>
    <w:rsid w:val="00305F57"/>
    <w:rsid w:val="003077A5"/>
    <w:rsid w:val="00310AC5"/>
    <w:rsid w:val="00310ED4"/>
    <w:rsid w:val="00312301"/>
    <w:rsid w:val="00312F1D"/>
    <w:rsid w:val="0031492A"/>
    <w:rsid w:val="00316C1A"/>
    <w:rsid w:val="00316FB4"/>
    <w:rsid w:val="00323C73"/>
    <w:rsid w:val="00324B50"/>
    <w:rsid w:val="00331141"/>
    <w:rsid w:val="00333ABE"/>
    <w:rsid w:val="00337E95"/>
    <w:rsid w:val="00343355"/>
    <w:rsid w:val="003433E0"/>
    <w:rsid w:val="00343618"/>
    <w:rsid w:val="00343D4E"/>
    <w:rsid w:val="00343FD7"/>
    <w:rsid w:val="00344758"/>
    <w:rsid w:val="00347142"/>
    <w:rsid w:val="00350454"/>
    <w:rsid w:val="00350B4C"/>
    <w:rsid w:val="00356501"/>
    <w:rsid w:val="003565A8"/>
    <w:rsid w:val="003566EA"/>
    <w:rsid w:val="0035711A"/>
    <w:rsid w:val="0036066E"/>
    <w:rsid w:val="00361A61"/>
    <w:rsid w:val="00362ECD"/>
    <w:rsid w:val="003642DF"/>
    <w:rsid w:val="0036600E"/>
    <w:rsid w:val="003704A9"/>
    <w:rsid w:val="00370548"/>
    <w:rsid w:val="00370D9D"/>
    <w:rsid w:val="00372BA7"/>
    <w:rsid w:val="00372C79"/>
    <w:rsid w:val="00376E81"/>
    <w:rsid w:val="003830BD"/>
    <w:rsid w:val="00383137"/>
    <w:rsid w:val="0038794A"/>
    <w:rsid w:val="00387A53"/>
    <w:rsid w:val="00390304"/>
    <w:rsid w:val="00391980"/>
    <w:rsid w:val="00392042"/>
    <w:rsid w:val="00392F7D"/>
    <w:rsid w:val="003964BC"/>
    <w:rsid w:val="00396DFB"/>
    <w:rsid w:val="0039781D"/>
    <w:rsid w:val="003B2843"/>
    <w:rsid w:val="003B5AB9"/>
    <w:rsid w:val="003C176D"/>
    <w:rsid w:val="003C5193"/>
    <w:rsid w:val="003C5B50"/>
    <w:rsid w:val="003D033B"/>
    <w:rsid w:val="003D2F86"/>
    <w:rsid w:val="003D6E39"/>
    <w:rsid w:val="003D7F08"/>
    <w:rsid w:val="003E3294"/>
    <w:rsid w:val="003E3B55"/>
    <w:rsid w:val="003F7EEE"/>
    <w:rsid w:val="00401D8B"/>
    <w:rsid w:val="00402AB4"/>
    <w:rsid w:val="00404097"/>
    <w:rsid w:val="00406B1D"/>
    <w:rsid w:val="0041148F"/>
    <w:rsid w:val="004167D7"/>
    <w:rsid w:val="00422417"/>
    <w:rsid w:val="00424233"/>
    <w:rsid w:val="00425D8D"/>
    <w:rsid w:val="00425E77"/>
    <w:rsid w:val="004324ED"/>
    <w:rsid w:val="00433301"/>
    <w:rsid w:val="0043626D"/>
    <w:rsid w:val="004372AC"/>
    <w:rsid w:val="00443EA9"/>
    <w:rsid w:val="0044621B"/>
    <w:rsid w:val="004509DC"/>
    <w:rsid w:val="004552F1"/>
    <w:rsid w:val="00455D9C"/>
    <w:rsid w:val="00455E96"/>
    <w:rsid w:val="00457B2A"/>
    <w:rsid w:val="00464FE2"/>
    <w:rsid w:val="00467D45"/>
    <w:rsid w:val="0047106A"/>
    <w:rsid w:val="004712FB"/>
    <w:rsid w:val="00471747"/>
    <w:rsid w:val="00472EFF"/>
    <w:rsid w:val="00474063"/>
    <w:rsid w:val="00476793"/>
    <w:rsid w:val="00482C8A"/>
    <w:rsid w:val="004849F1"/>
    <w:rsid w:val="004869C5"/>
    <w:rsid w:val="00490D87"/>
    <w:rsid w:val="00491B83"/>
    <w:rsid w:val="00491EB3"/>
    <w:rsid w:val="00494083"/>
    <w:rsid w:val="00497C67"/>
    <w:rsid w:val="004A0FC2"/>
    <w:rsid w:val="004A187B"/>
    <w:rsid w:val="004A2D3C"/>
    <w:rsid w:val="004A788B"/>
    <w:rsid w:val="004C2A02"/>
    <w:rsid w:val="004C7412"/>
    <w:rsid w:val="004D04BF"/>
    <w:rsid w:val="004D5048"/>
    <w:rsid w:val="004E081F"/>
    <w:rsid w:val="004E0DFF"/>
    <w:rsid w:val="004E4455"/>
    <w:rsid w:val="004E4520"/>
    <w:rsid w:val="004F104B"/>
    <w:rsid w:val="004F1AD0"/>
    <w:rsid w:val="004F1C7C"/>
    <w:rsid w:val="004F50D8"/>
    <w:rsid w:val="004F681A"/>
    <w:rsid w:val="005038CB"/>
    <w:rsid w:val="005123F0"/>
    <w:rsid w:val="00513540"/>
    <w:rsid w:val="00513941"/>
    <w:rsid w:val="00516645"/>
    <w:rsid w:val="0052188A"/>
    <w:rsid w:val="00523940"/>
    <w:rsid w:val="00523A1B"/>
    <w:rsid w:val="0053051D"/>
    <w:rsid w:val="00541D64"/>
    <w:rsid w:val="00545097"/>
    <w:rsid w:val="0056078F"/>
    <w:rsid w:val="00561C96"/>
    <w:rsid w:val="00564208"/>
    <w:rsid w:val="00564F5A"/>
    <w:rsid w:val="005715A6"/>
    <w:rsid w:val="00571CEB"/>
    <w:rsid w:val="0057557A"/>
    <w:rsid w:val="00577D4F"/>
    <w:rsid w:val="0058283B"/>
    <w:rsid w:val="005872C5"/>
    <w:rsid w:val="00591951"/>
    <w:rsid w:val="0059494E"/>
    <w:rsid w:val="00594C52"/>
    <w:rsid w:val="005A1368"/>
    <w:rsid w:val="005A2B35"/>
    <w:rsid w:val="005A689E"/>
    <w:rsid w:val="005A6AFA"/>
    <w:rsid w:val="005B48CB"/>
    <w:rsid w:val="005C0B82"/>
    <w:rsid w:val="005C1CDE"/>
    <w:rsid w:val="005C228D"/>
    <w:rsid w:val="005C5D41"/>
    <w:rsid w:val="005C6727"/>
    <w:rsid w:val="005C67C0"/>
    <w:rsid w:val="005C67F6"/>
    <w:rsid w:val="005C78FC"/>
    <w:rsid w:val="005C7A9A"/>
    <w:rsid w:val="005D0272"/>
    <w:rsid w:val="005D11E9"/>
    <w:rsid w:val="005D1F34"/>
    <w:rsid w:val="005D2149"/>
    <w:rsid w:val="005D383D"/>
    <w:rsid w:val="005D4EF7"/>
    <w:rsid w:val="005D69D8"/>
    <w:rsid w:val="005D7D94"/>
    <w:rsid w:val="005E3EAC"/>
    <w:rsid w:val="005E6B7D"/>
    <w:rsid w:val="005E743F"/>
    <w:rsid w:val="005F2CDD"/>
    <w:rsid w:val="005F4B30"/>
    <w:rsid w:val="0060581F"/>
    <w:rsid w:val="006066C1"/>
    <w:rsid w:val="006110A0"/>
    <w:rsid w:val="006117EA"/>
    <w:rsid w:val="00621719"/>
    <w:rsid w:val="006228C5"/>
    <w:rsid w:val="006379E0"/>
    <w:rsid w:val="00637A53"/>
    <w:rsid w:val="00637F6C"/>
    <w:rsid w:val="0064124B"/>
    <w:rsid w:val="00644162"/>
    <w:rsid w:val="00644424"/>
    <w:rsid w:val="00644530"/>
    <w:rsid w:val="0065305C"/>
    <w:rsid w:val="00653243"/>
    <w:rsid w:val="00654793"/>
    <w:rsid w:val="00664A98"/>
    <w:rsid w:val="00664D16"/>
    <w:rsid w:val="0066512A"/>
    <w:rsid w:val="006726F6"/>
    <w:rsid w:val="00677B11"/>
    <w:rsid w:val="00683009"/>
    <w:rsid w:val="006837C1"/>
    <w:rsid w:val="006855FE"/>
    <w:rsid w:val="00691A53"/>
    <w:rsid w:val="00694428"/>
    <w:rsid w:val="00695056"/>
    <w:rsid w:val="006A3A58"/>
    <w:rsid w:val="006A5035"/>
    <w:rsid w:val="006A5CDE"/>
    <w:rsid w:val="006A5E2B"/>
    <w:rsid w:val="006A64DA"/>
    <w:rsid w:val="006A6BB3"/>
    <w:rsid w:val="006B20B9"/>
    <w:rsid w:val="006B5EC8"/>
    <w:rsid w:val="006B67E3"/>
    <w:rsid w:val="006C7ECA"/>
    <w:rsid w:val="006D5EE5"/>
    <w:rsid w:val="006E31F7"/>
    <w:rsid w:val="006E5E46"/>
    <w:rsid w:val="006E6D3B"/>
    <w:rsid w:val="006E7595"/>
    <w:rsid w:val="006E7EB4"/>
    <w:rsid w:val="006F3196"/>
    <w:rsid w:val="006F3782"/>
    <w:rsid w:val="00702C69"/>
    <w:rsid w:val="00704382"/>
    <w:rsid w:val="007060F6"/>
    <w:rsid w:val="00711953"/>
    <w:rsid w:val="00713086"/>
    <w:rsid w:val="007228E5"/>
    <w:rsid w:val="007302AD"/>
    <w:rsid w:val="00730BD2"/>
    <w:rsid w:val="00730E47"/>
    <w:rsid w:val="0073271A"/>
    <w:rsid w:val="0073307A"/>
    <w:rsid w:val="0073545F"/>
    <w:rsid w:val="00741A4B"/>
    <w:rsid w:val="00751050"/>
    <w:rsid w:val="00751BDC"/>
    <w:rsid w:val="007540BF"/>
    <w:rsid w:val="007707AB"/>
    <w:rsid w:val="00770DCB"/>
    <w:rsid w:val="00771000"/>
    <w:rsid w:val="00775485"/>
    <w:rsid w:val="00780848"/>
    <w:rsid w:val="007821BE"/>
    <w:rsid w:val="00783D16"/>
    <w:rsid w:val="00792E83"/>
    <w:rsid w:val="00794EAC"/>
    <w:rsid w:val="007A33D2"/>
    <w:rsid w:val="007A3D0E"/>
    <w:rsid w:val="007A6E54"/>
    <w:rsid w:val="007C39AB"/>
    <w:rsid w:val="007D1FC5"/>
    <w:rsid w:val="007D5C0F"/>
    <w:rsid w:val="007E4569"/>
    <w:rsid w:val="007E5B88"/>
    <w:rsid w:val="007E73C2"/>
    <w:rsid w:val="007E77DE"/>
    <w:rsid w:val="007F0D0B"/>
    <w:rsid w:val="007F2D25"/>
    <w:rsid w:val="008007A8"/>
    <w:rsid w:val="008042D9"/>
    <w:rsid w:val="008116F0"/>
    <w:rsid w:val="00813338"/>
    <w:rsid w:val="008135C3"/>
    <w:rsid w:val="00814FC0"/>
    <w:rsid w:val="00815FB2"/>
    <w:rsid w:val="00820856"/>
    <w:rsid w:val="008215E8"/>
    <w:rsid w:val="008237D0"/>
    <w:rsid w:val="00834647"/>
    <w:rsid w:val="00834A78"/>
    <w:rsid w:val="00836BB0"/>
    <w:rsid w:val="00837BD4"/>
    <w:rsid w:val="00841C10"/>
    <w:rsid w:val="00843663"/>
    <w:rsid w:val="0084413D"/>
    <w:rsid w:val="008446FA"/>
    <w:rsid w:val="00845E21"/>
    <w:rsid w:val="00850837"/>
    <w:rsid w:val="00854DE3"/>
    <w:rsid w:val="0086181A"/>
    <w:rsid w:val="00864111"/>
    <w:rsid w:val="00866254"/>
    <w:rsid w:val="008724DE"/>
    <w:rsid w:val="0087348C"/>
    <w:rsid w:val="00876AAA"/>
    <w:rsid w:val="00887867"/>
    <w:rsid w:val="00890241"/>
    <w:rsid w:val="00891F83"/>
    <w:rsid w:val="00896FE7"/>
    <w:rsid w:val="00897716"/>
    <w:rsid w:val="008A0C08"/>
    <w:rsid w:val="008A1649"/>
    <w:rsid w:val="008A31FB"/>
    <w:rsid w:val="008A3D57"/>
    <w:rsid w:val="008A6763"/>
    <w:rsid w:val="008B23BC"/>
    <w:rsid w:val="008B2D37"/>
    <w:rsid w:val="008B3FF3"/>
    <w:rsid w:val="008B6536"/>
    <w:rsid w:val="008B6A9C"/>
    <w:rsid w:val="008B7FCB"/>
    <w:rsid w:val="008C1B70"/>
    <w:rsid w:val="008C5E9E"/>
    <w:rsid w:val="008D20C9"/>
    <w:rsid w:val="008D2A08"/>
    <w:rsid w:val="008D448C"/>
    <w:rsid w:val="008E0801"/>
    <w:rsid w:val="008E3A0D"/>
    <w:rsid w:val="008E3D60"/>
    <w:rsid w:val="008E3F4C"/>
    <w:rsid w:val="008E6A52"/>
    <w:rsid w:val="0090165F"/>
    <w:rsid w:val="00901B82"/>
    <w:rsid w:val="0090281C"/>
    <w:rsid w:val="00903D52"/>
    <w:rsid w:val="00912B09"/>
    <w:rsid w:val="00914CD9"/>
    <w:rsid w:val="009275D2"/>
    <w:rsid w:val="00932CCD"/>
    <w:rsid w:val="00940762"/>
    <w:rsid w:val="00943F52"/>
    <w:rsid w:val="00946656"/>
    <w:rsid w:val="0095506E"/>
    <w:rsid w:val="009553D5"/>
    <w:rsid w:val="00957012"/>
    <w:rsid w:val="0096053E"/>
    <w:rsid w:val="00962BA3"/>
    <w:rsid w:val="00964579"/>
    <w:rsid w:val="00966C2F"/>
    <w:rsid w:val="0097160B"/>
    <w:rsid w:val="00971CCE"/>
    <w:rsid w:val="00974E33"/>
    <w:rsid w:val="0097512B"/>
    <w:rsid w:val="00980D3B"/>
    <w:rsid w:val="00992CDA"/>
    <w:rsid w:val="0099397C"/>
    <w:rsid w:val="00996242"/>
    <w:rsid w:val="009A5E03"/>
    <w:rsid w:val="009B1CDA"/>
    <w:rsid w:val="009B4233"/>
    <w:rsid w:val="009B7A95"/>
    <w:rsid w:val="009C38B0"/>
    <w:rsid w:val="009C5726"/>
    <w:rsid w:val="009D0C1D"/>
    <w:rsid w:val="009D67F6"/>
    <w:rsid w:val="009E0FE1"/>
    <w:rsid w:val="009E1B3D"/>
    <w:rsid w:val="009E1F45"/>
    <w:rsid w:val="009E20C6"/>
    <w:rsid w:val="009E2540"/>
    <w:rsid w:val="009E65C1"/>
    <w:rsid w:val="009F0D82"/>
    <w:rsid w:val="009F2764"/>
    <w:rsid w:val="00A00386"/>
    <w:rsid w:val="00A016F8"/>
    <w:rsid w:val="00A01F3B"/>
    <w:rsid w:val="00A035E0"/>
    <w:rsid w:val="00A0406E"/>
    <w:rsid w:val="00A046C2"/>
    <w:rsid w:val="00A07EDD"/>
    <w:rsid w:val="00A11307"/>
    <w:rsid w:val="00A117D1"/>
    <w:rsid w:val="00A13AF3"/>
    <w:rsid w:val="00A14301"/>
    <w:rsid w:val="00A15123"/>
    <w:rsid w:val="00A20103"/>
    <w:rsid w:val="00A21388"/>
    <w:rsid w:val="00A21B08"/>
    <w:rsid w:val="00A236BB"/>
    <w:rsid w:val="00A25E8F"/>
    <w:rsid w:val="00A27791"/>
    <w:rsid w:val="00A27A37"/>
    <w:rsid w:val="00A35D03"/>
    <w:rsid w:val="00A40C4B"/>
    <w:rsid w:val="00A41355"/>
    <w:rsid w:val="00A41758"/>
    <w:rsid w:val="00A41BD5"/>
    <w:rsid w:val="00A438AA"/>
    <w:rsid w:val="00A43B92"/>
    <w:rsid w:val="00A54251"/>
    <w:rsid w:val="00A56A7C"/>
    <w:rsid w:val="00A56AF7"/>
    <w:rsid w:val="00A57E83"/>
    <w:rsid w:val="00A6179E"/>
    <w:rsid w:val="00A6244F"/>
    <w:rsid w:val="00A64316"/>
    <w:rsid w:val="00A6650D"/>
    <w:rsid w:val="00A668ED"/>
    <w:rsid w:val="00A7158F"/>
    <w:rsid w:val="00A764FE"/>
    <w:rsid w:val="00A804D9"/>
    <w:rsid w:val="00A81CF2"/>
    <w:rsid w:val="00A8297D"/>
    <w:rsid w:val="00A83527"/>
    <w:rsid w:val="00A85594"/>
    <w:rsid w:val="00A90408"/>
    <w:rsid w:val="00A92915"/>
    <w:rsid w:val="00A92AC8"/>
    <w:rsid w:val="00A92F92"/>
    <w:rsid w:val="00A9331E"/>
    <w:rsid w:val="00A94CC6"/>
    <w:rsid w:val="00A96892"/>
    <w:rsid w:val="00A97D93"/>
    <w:rsid w:val="00AA13BE"/>
    <w:rsid w:val="00AA2051"/>
    <w:rsid w:val="00AA3392"/>
    <w:rsid w:val="00AA54D3"/>
    <w:rsid w:val="00AB2C51"/>
    <w:rsid w:val="00AC15CD"/>
    <w:rsid w:val="00AC3CFF"/>
    <w:rsid w:val="00AC5245"/>
    <w:rsid w:val="00AC75FD"/>
    <w:rsid w:val="00AE00F1"/>
    <w:rsid w:val="00AE51B5"/>
    <w:rsid w:val="00AE62AF"/>
    <w:rsid w:val="00AE7931"/>
    <w:rsid w:val="00AF1E0A"/>
    <w:rsid w:val="00AF2E96"/>
    <w:rsid w:val="00AF4E56"/>
    <w:rsid w:val="00B10C5F"/>
    <w:rsid w:val="00B10EBD"/>
    <w:rsid w:val="00B12D2A"/>
    <w:rsid w:val="00B1492C"/>
    <w:rsid w:val="00B14CD7"/>
    <w:rsid w:val="00B242EA"/>
    <w:rsid w:val="00B24B1D"/>
    <w:rsid w:val="00B259F0"/>
    <w:rsid w:val="00B277E0"/>
    <w:rsid w:val="00B30B14"/>
    <w:rsid w:val="00B34946"/>
    <w:rsid w:val="00B375ED"/>
    <w:rsid w:val="00B41217"/>
    <w:rsid w:val="00B519FD"/>
    <w:rsid w:val="00B520BC"/>
    <w:rsid w:val="00B5545E"/>
    <w:rsid w:val="00B55A67"/>
    <w:rsid w:val="00B57BE3"/>
    <w:rsid w:val="00B60FD4"/>
    <w:rsid w:val="00B62221"/>
    <w:rsid w:val="00B635BE"/>
    <w:rsid w:val="00B63D24"/>
    <w:rsid w:val="00B70776"/>
    <w:rsid w:val="00B772B0"/>
    <w:rsid w:val="00B8156D"/>
    <w:rsid w:val="00B82D38"/>
    <w:rsid w:val="00B83023"/>
    <w:rsid w:val="00B844DC"/>
    <w:rsid w:val="00B844ED"/>
    <w:rsid w:val="00B86547"/>
    <w:rsid w:val="00B90BDB"/>
    <w:rsid w:val="00B924E6"/>
    <w:rsid w:val="00B92F17"/>
    <w:rsid w:val="00B96BAC"/>
    <w:rsid w:val="00BA1D43"/>
    <w:rsid w:val="00BA262D"/>
    <w:rsid w:val="00BA5698"/>
    <w:rsid w:val="00BA654C"/>
    <w:rsid w:val="00BA7DB7"/>
    <w:rsid w:val="00BB1730"/>
    <w:rsid w:val="00BB48D6"/>
    <w:rsid w:val="00BC0004"/>
    <w:rsid w:val="00BC3B30"/>
    <w:rsid w:val="00BC79EB"/>
    <w:rsid w:val="00BD0064"/>
    <w:rsid w:val="00BD5F0B"/>
    <w:rsid w:val="00BD7FCF"/>
    <w:rsid w:val="00BF1AAE"/>
    <w:rsid w:val="00BF1F52"/>
    <w:rsid w:val="00BF328F"/>
    <w:rsid w:val="00BF4504"/>
    <w:rsid w:val="00BF4F35"/>
    <w:rsid w:val="00C00EE2"/>
    <w:rsid w:val="00C05041"/>
    <w:rsid w:val="00C051B8"/>
    <w:rsid w:val="00C057BD"/>
    <w:rsid w:val="00C057DC"/>
    <w:rsid w:val="00C064DC"/>
    <w:rsid w:val="00C075C6"/>
    <w:rsid w:val="00C07DEA"/>
    <w:rsid w:val="00C11C4D"/>
    <w:rsid w:val="00C134E7"/>
    <w:rsid w:val="00C13BE1"/>
    <w:rsid w:val="00C25BDA"/>
    <w:rsid w:val="00C33104"/>
    <w:rsid w:val="00C332D4"/>
    <w:rsid w:val="00C42235"/>
    <w:rsid w:val="00C43E50"/>
    <w:rsid w:val="00C4574C"/>
    <w:rsid w:val="00C47F23"/>
    <w:rsid w:val="00C511A9"/>
    <w:rsid w:val="00C521D4"/>
    <w:rsid w:val="00C526A0"/>
    <w:rsid w:val="00C5318D"/>
    <w:rsid w:val="00C53D37"/>
    <w:rsid w:val="00C6528F"/>
    <w:rsid w:val="00C662BA"/>
    <w:rsid w:val="00C70322"/>
    <w:rsid w:val="00C83E3B"/>
    <w:rsid w:val="00C854D4"/>
    <w:rsid w:val="00C85A24"/>
    <w:rsid w:val="00C90556"/>
    <w:rsid w:val="00CA0D78"/>
    <w:rsid w:val="00CA4855"/>
    <w:rsid w:val="00CA5618"/>
    <w:rsid w:val="00CB0C50"/>
    <w:rsid w:val="00CB24FE"/>
    <w:rsid w:val="00CB521C"/>
    <w:rsid w:val="00CB5AA5"/>
    <w:rsid w:val="00CC32C3"/>
    <w:rsid w:val="00CC4E8F"/>
    <w:rsid w:val="00CD192A"/>
    <w:rsid w:val="00CD4257"/>
    <w:rsid w:val="00CD58FD"/>
    <w:rsid w:val="00CE11DE"/>
    <w:rsid w:val="00CE1C6C"/>
    <w:rsid w:val="00CE29C7"/>
    <w:rsid w:val="00CE2A89"/>
    <w:rsid w:val="00CE33BE"/>
    <w:rsid w:val="00CE4025"/>
    <w:rsid w:val="00CE6322"/>
    <w:rsid w:val="00CF3EB0"/>
    <w:rsid w:val="00CF50FB"/>
    <w:rsid w:val="00D01919"/>
    <w:rsid w:val="00D01B3D"/>
    <w:rsid w:val="00D0456E"/>
    <w:rsid w:val="00D05645"/>
    <w:rsid w:val="00D0579D"/>
    <w:rsid w:val="00D06D92"/>
    <w:rsid w:val="00D06DF3"/>
    <w:rsid w:val="00D102A7"/>
    <w:rsid w:val="00D20A69"/>
    <w:rsid w:val="00D244A9"/>
    <w:rsid w:val="00D27E2E"/>
    <w:rsid w:val="00D343FA"/>
    <w:rsid w:val="00D418FF"/>
    <w:rsid w:val="00D41B67"/>
    <w:rsid w:val="00D41FA0"/>
    <w:rsid w:val="00D45830"/>
    <w:rsid w:val="00D47F12"/>
    <w:rsid w:val="00D5059E"/>
    <w:rsid w:val="00D50C89"/>
    <w:rsid w:val="00D51543"/>
    <w:rsid w:val="00D529AB"/>
    <w:rsid w:val="00D552FE"/>
    <w:rsid w:val="00D60912"/>
    <w:rsid w:val="00D65C76"/>
    <w:rsid w:val="00D662D9"/>
    <w:rsid w:val="00D67A2D"/>
    <w:rsid w:val="00D734C7"/>
    <w:rsid w:val="00D76705"/>
    <w:rsid w:val="00D82F4E"/>
    <w:rsid w:val="00D831B5"/>
    <w:rsid w:val="00D94019"/>
    <w:rsid w:val="00D968A1"/>
    <w:rsid w:val="00DA2F73"/>
    <w:rsid w:val="00DA3D01"/>
    <w:rsid w:val="00DA791C"/>
    <w:rsid w:val="00DB03D1"/>
    <w:rsid w:val="00DB2A01"/>
    <w:rsid w:val="00DC30BD"/>
    <w:rsid w:val="00DC3596"/>
    <w:rsid w:val="00DC462F"/>
    <w:rsid w:val="00DC484F"/>
    <w:rsid w:val="00DD32A1"/>
    <w:rsid w:val="00DD3BF3"/>
    <w:rsid w:val="00DD6A21"/>
    <w:rsid w:val="00DE1C53"/>
    <w:rsid w:val="00DE39AA"/>
    <w:rsid w:val="00DE60CA"/>
    <w:rsid w:val="00DE6C1B"/>
    <w:rsid w:val="00DF0677"/>
    <w:rsid w:val="00DF0F9F"/>
    <w:rsid w:val="00DF1157"/>
    <w:rsid w:val="00DF1395"/>
    <w:rsid w:val="00DF72EA"/>
    <w:rsid w:val="00E00216"/>
    <w:rsid w:val="00E02055"/>
    <w:rsid w:val="00E02C70"/>
    <w:rsid w:val="00E04994"/>
    <w:rsid w:val="00E062CE"/>
    <w:rsid w:val="00E11475"/>
    <w:rsid w:val="00E1328B"/>
    <w:rsid w:val="00E142AB"/>
    <w:rsid w:val="00E23EA4"/>
    <w:rsid w:val="00E24E50"/>
    <w:rsid w:val="00E24FA3"/>
    <w:rsid w:val="00E25BE7"/>
    <w:rsid w:val="00E25F37"/>
    <w:rsid w:val="00E26B28"/>
    <w:rsid w:val="00E31465"/>
    <w:rsid w:val="00E31D2E"/>
    <w:rsid w:val="00E31F3B"/>
    <w:rsid w:val="00E32498"/>
    <w:rsid w:val="00E328CD"/>
    <w:rsid w:val="00E36B95"/>
    <w:rsid w:val="00E4003F"/>
    <w:rsid w:val="00E458F6"/>
    <w:rsid w:val="00E45954"/>
    <w:rsid w:val="00E45E50"/>
    <w:rsid w:val="00E52382"/>
    <w:rsid w:val="00E56BCD"/>
    <w:rsid w:val="00E702CF"/>
    <w:rsid w:val="00E7088C"/>
    <w:rsid w:val="00E71282"/>
    <w:rsid w:val="00E71AD6"/>
    <w:rsid w:val="00E77EBE"/>
    <w:rsid w:val="00E80266"/>
    <w:rsid w:val="00E82DEB"/>
    <w:rsid w:val="00E831DC"/>
    <w:rsid w:val="00E84A1F"/>
    <w:rsid w:val="00E90667"/>
    <w:rsid w:val="00E93C1F"/>
    <w:rsid w:val="00EA0081"/>
    <w:rsid w:val="00EA1EA5"/>
    <w:rsid w:val="00EA44D9"/>
    <w:rsid w:val="00EA4AEE"/>
    <w:rsid w:val="00EB6A76"/>
    <w:rsid w:val="00EB76BE"/>
    <w:rsid w:val="00ED4B26"/>
    <w:rsid w:val="00ED6599"/>
    <w:rsid w:val="00ED7466"/>
    <w:rsid w:val="00EE0E58"/>
    <w:rsid w:val="00EE1A9E"/>
    <w:rsid w:val="00EE1DC7"/>
    <w:rsid w:val="00EF150D"/>
    <w:rsid w:val="00EF2958"/>
    <w:rsid w:val="00F00771"/>
    <w:rsid w:val="00F00E56"/>
    <w:rsid w:val="00F065AE"/>
    <w:rsid w:val="00F1137E"/>
    <w:rsid w:val="00F14C6D"/>
    <w:rsid w:val="00F33F55"/>
    <w:rsid w:val="00F34BC9"/>
    <w:rsid w:val="00F36A6F"/>
    <w:rsid w:val="00F422F9"/>
    <w:rsid w:val="00F50CB7"/>
    <w:rsid w:val="00F51E28"/>
    <w:rsid w:val="00F5228A"/>
    <w:rsid w:val="00F52A59"/>
    <w:rsid w:val="00F57D48"/>
    <w:rsid w:val="00F603BD"/>
    <w:rsid w:val="00F63BB8"/>
    <w:rsid w:val="00F6667A"/>
    <w:rsid w:val="00F71E31"/>
    <w:rsid w:val="00F72207"/>
    <w:rsid w:val="00F74BAC"/>
    <w:rsid w:val="00F76156"/>
    <w:rsid w:val="00F828DE"/>
    <w:rsid w:val="00F8302E"/>
    <w:rsid w:val="00F84647"/>
    <w:rsid w:val="00F87DD6"/>
    <w:rsid w:val="00F91105"/>
    <w:rsid w:val="00F921A4"/>
    <w:rsid w:val="00FA07F7"/>
    <w:rsid w:val="00FA3B2C"/>
    <w:rsid w:val="00FA4916"/>
    <w:rsid w:val="00FA5078"/>
    <w:rsid w:val="00FA5FD5"/>
    <w:rsid w:val="00FA73E0"/>
    <w:rsid w:val="00FB15E8"/>
    <w:rsid w:val="00FB6AF6"/>
    <w:rsid w:val="00FC095C"/>
    <w:rsid w:val="00FC0D7D"/>
    <w:rsid w:val="00FC1038"/>
    <w:rsid w:val="00FD01B5"/>
    <w:rsid w:val="00FD6494"/>
    <w:rsid w:val="00FE0224"/>
    <w:rsid w:val="00FE292C"/>
    <w:rsid w:val="00FE2F72"/>
    <w:rsid w:val="00FF0DE7"/>
    <w:rsid w:val="00FF1432"/>
    <w:rsid w:val="00FF2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36"/>
      </w:numPr>
      <w:tabs>
        <w:tab w:val="clear" w:pos="720"/>
      </w:tabs>
      <w:ind w:hanging="720"/>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character" w:styleId="CommentReference">
    <w:name w:val="annotation reference"/>
    <w:locked/>
    <w:rsid w:val="00E71282"/>
    <w:rPr>
      <w:sz w:val="16"/>
      <w:szCs w:val="16"/>
    </w:rPr>
  </w:style>
  <w:style w:type="paragraph" w:styleId="CommentText">
    <w:name w:val="annotation text"/>
    <w:basedOn w:val="Normal"/>
    <w:link w:val="CommentTextChar"/>
    <w:locked/>
    <w:rsid w:val="00E71282"/>
    <w:rPr>
      <w:rFonts w:eastAsia="Times New Roman"/>
      <w:sz w:val="20"/>
      <w:szCs w:val="20"/>
    </w:rPr>
  </w:style>
  <w:style w:type="character" w:customStyle="1" w:styleId="CommentTextChar">
    <w:name w:val="Comment Text Char"/>
    <w:basedOn w:val="DefaultParagraphFont"/>
    <w:link w:val="CommentText"/>
    <w:rsid w:val="00E71282"/>
    <w:rPr>
      <w:rFonts w:ascii="Arial" w:hAnsi="Arial"/>
    </w:rPr>
  </w:style>
  <w:style w:type="paragraph" w:styleId="CommentSubject">
    <w:name w:val="annotation subject"/>
    <w:basedOn w:val="CommentText"/>
    <w:next w:val="CommentText"/>
    <w:link w:val="CommentSubjectChar"/>
    <w:locked/>
    <w:rsid w:val="00491EB3"/>
    <w:rPr>
      <w:rFonts w:eastAsia="MS Mincho"/>
      <w:b/>
      <w:bCs/>
    </w:rPr>
  </w:style>
  <w:style w:type="character" w:customStyle="1" w:styleId="CommentSubjectChar">
    <w:name w:val="Comment Subject Char"/>
    <w:basedOn w:val="CommentTextChar"/>
    <w:link w:val="CommentSubject"/>
    <w:rsid w:val="00491EB3"/>
    <w:rPr>
      <w:rFonts w:ascii="Arial" w:eastAsia="MS Mincho" w:hAnsi="Arial"/>
      <w:b/>
      <w:bCs/>
    </w:rPr>
  </w:style>
  <w:style w:type="paragraph" w:styleId="Revision">
    <w:name w:val="Revision"/>
    <w:hidden/>
    <w:uiPriority w:val="99"/>
    <w:semiHidden/>
    <w:rsid w:val="006726F6"/>
    <w:rPr>
      <w:rFonts w:ascii="Arial" w:eastAsia="MS Mincho" w:hAnsi="Arial"/>
      <w:sz w:val="24"/>
      <w:szCs w:val="24"/>
    </w:rPr>
  </w:style>
  <w:style w:type="paragraph" w:styleId="ListParagraph">
    <w:name w:val="List Paragraph"/>
    <w:basedOn w:val="Normal"/>
    <w:uiPriority w:val="34"/>
    <w:qFormat/>
    <w:rsid w:val="00AA54D3"/>
    <w:pPr>
      <w:ind w:left="720"/>
      <w:contextualSpacing/>
    </w:pPr>
  </w:style>
  <w:style w:type="character" w:customStyle="1" w:styleId="BodyTextChar">
    <w:name w:val="Body Text Char"/>
    <w:link w:val="BodyText"/>
    <w:rsid w:val="00AA54D3"/>
    <w:rPr>
      <w:rFonts w:ascii="Arial" w:eastAsia="MS Mincho"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19"/>
      </w:numPr>
    </w:pPr>
  </w:style>
  <w:style w:type="numbering" w:customStyle="1" w:styleId="Heading2Char">
    <w:name w:val="1ai"/>
    <w:pPr>
      <w:numPr>
        <w:numId w:val="18"/>
      </w:numPr>
    </w:pPr>
  </w:style>
  <w:style w:type="numbering" w:customStyle="1" w:styleId="Heading3Char">
    <w:name w:val="11111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human_rights/children_detention_report/report/chap16.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umanrights.gov.au/news/stories/tpvs-part-inhumane-system"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umanrights.gov.au/about/media/media_releases/2008/56_08.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humanrights.gov.au/publications/tell-me-about-bridging-visas-asylum-seekers" TargetMode="External"/><Relationship Id="rId2" Type="http://schemas.openxmlformats.org/officeDocument/2006/relationships/hyperlink" Target="http://parlinfo.aph.gov.au/parlInfo/search/display/display.w3p;query=Id%3A%22committees%2Festimate%2F70373bf4-1745-474d-be50-7e04b2a90004%2F0000%22" TargetMode="External"/><Relationship Id="rId1" Type="http://schemas.openxmlformats.org/officeDocument/2006/relationships/hyperlink" Target="http://www.minister.immi.gov.au/media/sm/2013/sm208933.htm" TargetMode="External"/><Relationship Id="rId6" Type="http://schemas.openxmlformats.org/officeDocument/2006/relationships/hyperlink" Target="http://parlinfo.aph.gov.au/parlInfo/search/display/display.w3p;query=Id%3A%22committees%2Festimate%2F11640%2F0001%22" TargetMode="External"/><Relationship Id="rId5" Type="http://schemas.openxmlformats.org/officeDocument/2006/relationships/hyperlink" Target="http://www.aph.gov.au/Parliamentary_Business/Committees/Senate/Legal_and_Constitutional_Affairs/Completed%20inquiries/2004-07/migration/report/c08" TargetMode="External"/><Relationship Id="rId4" Type="http://schemas.openxmlformats.org/officeDocument/2006/relationships/hyperlink" Target="http://www.humanrights.gov.au/last-resort-report-national-inquiry-children-immigration-detention-20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3E3C9-0AE4-4EF2-ADB1-9221C589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702</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8180</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Sarah Dillon</dc:creator>
  <cp:lastModifiedBy>Sarah Dillon</cp:lastModifiedBy>
  <cp:revision>102</cp:revision>
  <cp:lastPrinted>2013-12-12T05:39:00Z</cp:lastPrinted>
  <dcterms:created xsi:type="dcterms:W3CDTF">2013-11-22T05:52:00Z</dcterms:created>
  <dcterms:modified xsi:type="dcterms:W3CDTF">2013-12-12T06:24:00Z</dcterms:modified>
</cp:coreProperties>
</file>