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B03174" w:rsidP="008A7305" w:rsidRDefault="00B03174" w14:paraId="23A0691F" w14:textId="77777777">
      <w:pPr>
        <w:jc w:val="right"/>
        <w:rPr>
          <w:rFonts w:eastAsia="Times New Roman"/>
          <w:bCs/>
          <w:color w:val="237BBC"/>
          <w:kern w:val="32"/>
          <w:sz w:val="56"/>
          <w:szCs w:val="32"/>
        </w:rPr>
      </w:pPr>
      <w:r w:rsidRPr="00B03174">
        <w:rPr>
          <w:rFonts w:eastAsia="Times New Roman"/>
          <w:bCs/>
          <w:i/>
          <w:iCs/>
          <w:color w:val="237BBC"/>
          <w:kern w:val="32"/>
          <w:sz w:val="56"/>
          <w:szCs w:val="32"/>
        </w:rPr>
        <w:t>Ensuring health and bodily integrity</w:t>
      </w:r>
      <w:r>
        <w:rPr>
          <w:rFonts w:eastAsia="Times New Roman"/>
          <w:bCs/>
          <w:i/>
          <w:iCs/>
          <w:color w:val="237BBC"/>
          <w:kern w:val="32"/>
          <w:sz w:val="56"/>
          <w:szCs w:val="32"/>
        </w:rPr>
        <w:t>:</w:t>
      </w:r>
      <w:r w:rsidRPr="00B03174">
        <w:rPr>
          <w:rFonts w:eastAsia="Times New Roman"/>
          <w:bCs/>
          <w:i/>
          <w:iCs/>
          <w:color w:val="237BBC"/>
          <w:kern w:val="32"/>
          <w:sz w:val="56"/>
          <w:szCs w:val="32"/>
        </w:rPr>
        <w:t xml:space="preserve"> towards a human rights approach for people</w:t>
      </w:r>
      <w:r w:rsidRPr="00B03174">
        <w:rPr>
          <w:rFonts w:eastAsia="Times New Roman"/>
          <w:b/>
          <w:bCs/>
          <w:i/>
          <w:iCs/>
          <w:color w:val="237BBC"/>
          <w:kern w:val="32"/>
          <w:sz w:val="56"/>
          <w:szCs w:val="32"/>
        </w:rPr>
        <w:t> </w:t>
      </w:r>
      <w:r w:rsidRPr="00B03174">
        <w:rPr>
          <w:rFonts w:eastAsia="Times New Roman"/>
          <w:bCs/>
          <w:i/>
          <w:iCs/>
          <w:color w:val="237BBC"/>
          <w:kern w:val="32"/>
          <w:sz w:val="56"/>
          <w:szCs w:val="32"/>
        </w:rPr>
        <w:t>born with variations in sex characteristics</w:t>
      </w:r>
    </w:p>
    <w:p w:rsidR="00AC636D" w:rsidP="008A7305" w:rsidRDefault="00B03174" w14:paraId="4AA4F405" w14:textId="1F507EC1">
      <w:pPr>
        <w:jc w:val="right"/>
      </w:pPr>
      <w:r w:rsidRPr="00B03174">
        <w:rPr>
          <w:rFonts w:eastAsia="Times New Roman"/>
          <w:bCs/>
          <w:color w:val="237BBC"/>
          <w:kern w:val="32"/>
          <w:sz w:val="56"/>
          <w:szCs w:val="32"/>
        </w:rPr>
        <w:t xml:space="preserve"> </w:t>
      </w:r>
      <w:r w:rsidR="008A7305">
        <w:rPr>
          <w:rFonts w:cs="Arial"/>
          <w:color w:val="237BBC"/>
          <w:sz w:val="28"/>
        </w:rPr>
        <w:fldChar w:fldCharType="begin"/>
      </w:r>
      <w:r w:rsidR="008A7305">
        <w:rPr>
          <w:rFonts w:cs="Arial"/>
          <w:color w:val="237BBC"/>
          <w:sz w:val="28"/>
        </w:rPr>
        <w:instrText xml:space="preserve"> CREATEDATE  \@ "MMMM yyyy"  \* MERGEFORMAT </w:instrText>
      </w:r>
      <w:r w:rsidR="008A7305">
        <w:rPr>
          <w:rFonts w:cs="Arial"/>
          <w:color w:val="237BBC"/>
          <w:sz w:val="28"/>
        </w:rPr>
        <w:fldChar w:fldCharType="separate"/>
      </w:r>
      <w:r w:rsidR="00B3206A">
        <w:rPr>
          <w:rFonts w:cs="Arial"/>
          <w:noProof/>
          <w:color w:val="237BBC"/>
          <w:sz w:val="28"/>
        </w:rPr>
        <w:t>October</w:t>
      </w:r>
      <w:r w:rsidR="002669D5">
        <w:rPr>
          <w:rFonts w:cs="Arial"/>
          <w:noProof/>
          <w:color w:val="237BBC"/>
          <w:sz w:val="28"/>
        </w:rPr>
        <w:t xml:space="preserve"> 2021</w:t>
      </w:r>
      <w:r w:rsidR="008A7305">
        <w:rPr>
          <w:rFonts w:cs="Arial"/>
          <w:color w:val="237BBC"/>
          <w:sz w:val="28"/>
        </w:rPr>
        <w:fldChar w:fldCharType="end"/>
      </w:r>
    </w:p>
    <w:p w:rsidRPr="00AC636D" w:rsidR="009E4BD0" w:rsidP="00961135" w:rsidRDefault="00961135" w14:paraId="353249B8" w14:textId="5CE24071">
      <w:pPr>
        <w:jc w:val="right"/>
        <w:sectPr w:rsidRPr="00AC636D" w:rsidR="009E4BD0" w:rsidSect="00AC636D">
          <w:headerReference w:type="even" r:id="rId14"/>
          <w:headerReference w:type="default" r:id="rId15"/>
          <w:headerReference w:type="first" r:id="rId16"/>
          <w:footerReference w:type="first" r:id="rId17"/>
          <w:type w:val="continuous"/>
          <w:pgSz w:w="11906" w:h="16838" w:orient="portrait" w:code="9"/>
          <w:pgMar w:top="228" w:right="1700" w:bottom="1134" w:left="1418" w:header="277" w:footer="1361" w:gutter="0"/>
          <w:pgNumType w:start="2"/>
          <w:cols w:space="708"/>
          <w:titlePg/>
          <w:docGrid w:linePitch="360"/>
        </w:sectPr>
      </w:pPr>
      <w:r>
        <w:tab/>
      </w:r>
    </w:p>
    <w:p w:rsidRPr="006D1CB7" w:rsidR="00793D75" w:rsidP="006D1CB7" w:rsidRDefault="006D1CB7" w14:paraId="537682E9" w14:textId="77777777">
      <w:pPr>
        <w:pStyle w:val="MainTitle"/>
        <w:jc w:val="left"/>
      </w:pPr>
      <w:r>
        <w:lastRenderedPageBreak/>
        <w:t xml:space="preserve"> </w:t>
      </w:r>
    </w:p>
    <w:sdt>
      <w:sdtPr>
        <w:rPr>
          <w:b w:val="0"/>
          <w:lang w:val="en-AU" w:eastAsia="en-AU"/>
        </w:rPr>
        <w:id w:val="-2082441639"/>
        <w:docPartObj>
          <w:docPartGallery w:val="Table of Contents"/>
          <w:docPartUnique/>
        </w:docPartObj>
      </w:sdtPr>
      <w:sdtEndPr>
        <w:rPr>
          <w:bCs/>
          <w:noProof/>
        </w:rPr>
      </w:sdtEndPr>
      <w:sdtContent>
        <w:p w:rsidR="00793D75" w:rsidRDefault="00793D75" w14:paraId="04890F7F" w14:textId="1AAEE0BC">
          <w:pPr>
            <w:pStyle w:val="TOCHeading"/>
          </w:pPr>
          <w:r>
            <w:t>Contents</w:t>
          </w:r>
        </w:p>
        <w:p w:rsidR="00BB54FC" w:rsidRDefault="00793D75" w14:paraId="3875EFC2" w14:textId="0608CC9E">
          <w:pPr>
            <w:pStyle w:val="TOC1"/>
            <w:rPr>
              <w:rFonts w:asciiTheme="minorHAnsi" w:hAnsiTheme="minorHAnsi" w:eastAsiaTheme="minorEastAsia" w:cstheme="minorBidi"/>
              <w:b w:val="0"/>
              <w:lang w:eastAsia="en-GB"/>
            </w:rPr>
          </w:pPr>
          <w:r>
            <w:fldChar w:fldCharType="begin"/>
          </w:r>
          <w:r>
            <w:instrText xml:space="preserve"> TOC \o "1-3" \h \z \u </w:instrText>
          </w:r>
          <w:r>
            <w:fldChar w:fldCharType="separate"/>
          </w:r>
          <w:hyperlink w:history="1" w:anchor="_Toc85541366">
            <w:r w:rsidRPr="00B72BC3" w:rsidR="00BB54FC">
              <w:rPr>
                <w:rStyle w:val="Hyperlink"/>
              </w:rPr>
              <w:t>Foreword</w:t>
            </w:r>
            <w:r w:rsidR="00BB54FC">
              <w:rPr>
                <w:webHidden/>
              </w:rPr>
              <w:tab/>
            </w:r>
            <w:r w:rsidR="00BB54FC">
              <w:rPr>
                <w:webHidden/>
              </w:rPr>
              <w:fldChar w:fldCharType="begin"/>
            </w:r>
            <w:r w:rsidR="00BB54FC">
              <w:rPr>
                <w:webHidden/>
              </w:rPr>
              <w:instrText xml:space="preserve"> PAGEREF _Toc85541366 \h </w:instrText>
            </w:r>
            <w:r w:rsidR="00BB54FC">
              <w:rPr>
                <w:webHidden/>
              </w:rPr>
            </w:r>
            <w:r w:rsidR="00BB54FC">
              <w:rPr>
                <w:webHidden/>
              </w:rPr>
              <w:fldChar w:fldCharType="separate"/>
            </w:r>
            <w:r w:rsidR="00BB54FC">
              <w:rPr>
                <w:webHidden/>
              </w:rPr>
              <w:t>7</w:t>
            </w:r>
            <w:r w:rsidR="00BB54FC">
              <w:rPr>
                <w:webHidden/>
              </w:rPr>
              <w:fldChar w:fldCharType="end"/>
            </w:r>
          </w:hyperlink>
        </w:p>
        <w:p w:rsidR="00BB54FC" w:rsidRDefault="00BB54FC" w14:paraId="1F7BC324" w14:textId="2FA59E27">
          <w:pPr>
            <w:pStyle w:val="TOC1"/>
            <w:rPr>
              <w:rFonts w:asciiTheme="minorHAnsi" w:hAnsiTheme="minorHAnsi" w:eastAsiaTheme="minorEastAsia" w:cstheme="minorBidi"/>
              <w:b w:val="0"/>
              <w:lang w:eastAsia="en-GB"/>
            </w:rPr>
          </w:pPr>
          <w:hyperlink w:history="1" w:anchor="_Toc85541367">
            <w:r w:rsidRPr="00B72BC3">
              <w:rPr>
                <w:rStyle w:val="Hyperlink"/>
              </w:rPr>
              <w:t>Terms of reference</w:t>
            </w:r>
            <w:r>
              <w:rPr>
                <w:webHidden/>
              </w:rPr>
              <w:tab/>
            </w:r>
            <w:r>
              <w:rPr>
                <w:webHidden/>
              </w:rPr>
              <w:fldChar w:fldCharType="begin"/>
            </w:r>
            <w:r>
              <w:rPr>
                <w:webHidden/>
              </w:rPr>
              <w:instrText xml:space="preserve"> PAGEREF _Toc85541367 \h </w:instrText>
            </w:r>
            <w:r>
              <w:rPr>
                <w:webHidden/>
              </w:rPr>
            </w:r>
            <w:r>
              <w:rPr>
                <w:webHidden/>
              </w:rPr>
              <w:fldChar w:fldCharType="separate"/>
            </w:r>
            <w:r>
              <w:rPr>
                <w:webHidden/>
              </w:rPr>
              <w:t>9</w:t>
            </w:r>
            <w:r>
              <w:rPr>
                <w:webHidden/>
              </w:rPr>
              <w:fldChar w:fldCharType="end"/>
            </w:r>
          </w:hyperlink>
        </w:p>
        <w:p w:rsidR="00BB54FC" w:rsidRDefault="00BB54FC" w14:paraId="69F9F180" w14:textId="29200A4E">
          <w:pPr>
            <w:pStyle w:val="TOC1"/>
            <w:rPr>
              <w:rFonts w:asciiTheme="minorHAnsi" w:hAnsiTheme="minorHAnsi" w:eastAsiaTheme="minorEastAsia" w:cstheme="minorBidi"/>
              <w:b w:val="0"/>
              <w:lang w:eastAsia="en-GB"/>
            </w:rPr>
          </w:pPr>
          <w:hyperlink w:history="1" w:anchor="_Toc85541368">
            <w:r w:rsidRPr="00B72BC3">
              <w:rPr>
                <w:rStyle w:val="Hyperlink"/>
              </w:rPr>
              <w:t>Recommendations</w:t>
            </w:r>
            <w:r>
              <w:rPr>
                <w:webHidden/>
              </w:rPr>
              <w:tab/>
            </w:r>
            <w:r>
              <w:rPr>
                <w:webHidden/>
              </w:rPr>
              <w:fldChar w:fldCharType="begin"/>
            </w:r>
            <w:r>
              <w:rPr>
                <w:webHidden/>
              </w:rPr>
              <w:instrText xml:space="preserve"> PAGEREF _Toc85541368 \h </w:instrText>
            </w:r>
            <w:r>
              <w:rPr>
                <w:webHidden/>
              </w:rPr>
            </w:r>
            <w:r>
              <w:rPr>
                <w:webHidden/>
              </w:rPr>
              <w:fldChar w:fldCharType="separate"/>
            </w:r>
            <w:r>
              <w:rPr>
                <w:webHidden/>
              </w:rPr>
              <w:t>13</w:t>
            </w:r>
            <w:r>
              <w:rPr>
                <w:webHidden/>
              </w:rPr>
              <w:fldChar w:fldCharType="end"/>
            </w:r>
          </w:hyperlink>
        </w:p>
        <w:p w:rsidR="00BB54FC" w:rsidRDefault="00BB54FC" w14:paraId="34B2A8E5" w14:textId="2A543C22">
          <w:pPr>
            <w:pStyle w:val="TOC1"/>
            <w:rPr>
              <w:rFonts w:asciiTheme="minorHAnsi" w:hAnsiTheme="minorHAnsi" w:eastAsiaTheme="minorEastAsia" w:cstheme="minorBidi"/>
              <w:b w:val="0"/>
              <w:lang w:eastAsia="en-GB"/>
            </w:rPr>
          </w:pPr>
          <w:hyperlink w:history="1" w:anchor="_Toc85541369">
            <w:r w:rsidRPr="00B72BC3">
              <w:rPr>
                <w:rStyle w:val="Hyperlink"/>
              </w:rPr>
              <w:t>1</w:t>
            </w:r>
            <w:r>
              <w:rPr>
                <w:rFonts w:asciiTheme="minorHAnsi" w:hAnsiTheme="minorHAnsi" w:eastAsiaTheme="minorEastAsia" w:cstheme="minorBidi"/>
                <w:b w:val="0"/>
                <w:lang w:eastAsia="en-GB"/>
              </w:rPr>
              <w:tab/>
            </w:r>
            <w:r w:rsidRPr="00B72BC3">
              <w:rPr>
                <w:rStyle w:val="Hyperlink"/>
              </w:rPr>
              <w:t>Executive Summary</w:t>
            </w:r>
            <w:r>
              <w:rPr>
                <w:webHidden/>
              </w:rPr>
              <w:tab/>
            </w:r>
            <w:r>
              <w:rPr>
                <w:webHidden/>
              </w:rPr>
              <w:fldChar w:fldCharType="begin"/>
            </w:r>
            <w:r>
              <w:rPr>
                <w:webHidden/>
              </w:rPr>
              <w:instrText xml:space="preserve"> PAGEREF _Toc85541369 \h </w:instrText>
            </w:r>
            <w:r>
              <w:rPr>
                <w:webHidden/>
              </w:rPr>
            </w:r>
            <w:r>
              <w:rPr>
                <w:webHidden/>
              </w:rPr>
              <w:fldChar w:fldCharType="separate"/>
            </w:r>
            <w:r>
              <w:rPr>
                <w:webHidden/>
              </w:rPr>
              <w:t>20</w:t>
            </w:r>
            <w:r>
              <w:rPr>
                <w:webHidden/>
              </w:rPr>
              <w:fldChar w:fldCharType="end"/>
            </w:r>
          </w:hyperlink>
        </w:p>
        <w:p w:rsidR="00BB54FC" w:rsidRDefault="00BB54FC" w14:paraId="45063A86" w14:textId="763F0EA1">
          <w:pPr>
            <w:pStyle w:val="TOC2"/>
            <w:rPr>
              <w:rFonts w:asciiTheme="minorHAnsi" w:hAnsiTheme="minorHAnsi" w:eastAsiaTheme="minorEastAsia" w:cstheme="minorBidi"/>
              <w:b w:val="0"/>
              <w:i w:val="0"/>
              <w:lang w:eastAsia="en-GB"/>
            </w:rPr>
          </w:pPr>
          <w:hyperlink w:history="1" w:anchor="_Toc85541370">
            <w:r w:rsidRPr="00B72BC3">
              <w:rPr>
                <w:rStyle w:val="Hyperlink"/>
              </w:rPr>
              <w:t>1.1</w:t>
            </w:r>
            <w:r>
              <w:rPr>
                <w:rFonts w:asciiTheme="minorHAnsi" w:hAnsiTheme="minorHAnsi" w:eastAsiaTheme="minorEastAsia" w:cstheme="minorBidi"/>
                <w:b w:val="0"/>
                <w:i w:val="0"/>
                <w:lang w:eastAsia="en-GB"/>
              </w:rPr>
              <w:tab/>
            </w:r>
            <w:r w:rsidRPr="00B72BC3">
              <w:rPr>
                <w:rStyle w:val="Hyperlink"/>
              </w:rPr>
              <w:t>Towards a human rights approach for people born with variations in sex characteristics</w:t>
            </w:r>
            <w:r>
              <w:rPr>
                <w:webHidden/>
              </w:rPr>
              <w:tab/>
            </w:r>
            <w:r>
              <w:rPr>
                <w:webHidden/>
              </w:rPr>
              <w:fldChar w:fldCharType="begin"/>
            </w:r>
            <w:r>
              <w:rPr>
                <w:webHidden/>
              </w:rPr>
              <w:instrText xml:space="preserve"> PAGEREF _Toc85541370 \h </w:instrText>
            </w:r>
            <w:r>
              <w:rPr>
                <w:webHidden/>
              </w:rPr>
            </w:r>
            <w:r>
              <w:rPr>
                <w:webHidden/>
              </w:rPr>
              <w:fldChar w:fldCharType="separate"/>
            </w:r>
            <w:r>
              <w:rPr>
                <w:webHidden/>
              </w:rPr>
              <w:t>20</w:t>
            </w:r>
            <w:r>
              <w:rPr>
                <w:webHidden/>
              </w:rPr>
              <w:fldChar w:fldCharType="end"/>
            </w:r>
          </w:hyperlink>
        </w:p>
        <w:p w:rsidR="00BB54FC" w:rsidRDefault="00BB54FC" w14:paraId="1AFFFEA6" w14:textId="2F8EBE3B">
          <w:pPr>
            <w:pStyle w:val="TOC3"/>
            <w:rPr>
              <w:rFonts w:asciiTheme="minorHAnsi" w:hAnsiTheme="minorHAnsi" w:eastAsiaTheme="minorEastAsia" w:cstheme="minorBidi"/>
              <w:i w:val="0"/>
              <w:lang w:eastAsia="en-GB"/>
            </w:rPr>
          </w:pPr>
          <w:hyperlink w:history="1" w:anchor="_Toc85541371">
            <w:r w:rsidRPr="00B72BC3">
              <w:rPr>
                <w:rStyle w:val="Hyperlink"/>
              </w:rPr>
              <w:t>(a)</w:t>
            </w:r>
            <w:r>
              <w:rPr>
                <w:rFonts w:asciiTheme="minorHAnsi" w:hAnsiTheme="minorHAnsi" w:eastAsiaTheme="minorEastAsia" w:cstheme="minorBidi"/>
                <w:i w:val="0"/>
                <w:lang w:eastAsia="en-GB"/>
              </w:rPr>
              <w:tab/>
            </w:r>
            <w:r w:rsidRPr="00B72BC3">
              <w:rPr>
                <w:rStyle w:val="Hyperlink"/>
              </w:rPr>
              <w:t>Consent and decision making</w:t>
            </w:r>
            <w:r>
              <w:rPr>
                <w:webHidden/>
              </w:rPr>
              <w:tab/>
            </w:r>
            <w:r>
              <w:rPr>
                <w:webHidden/>
              </w:rPr>
              <w:fldChar w:fldCharType="begin"/>
            </w:r>
            <w:r>
              <w:rPr>
                <w:webHidden/>
              </w:rPr>
              <w:instrText xml:space="preserve"> PAGEREF _Toc85541371 \h </w:instrText>
            </w:r>
            <w:r>
              <w:rPr>
                <w:webHidden/>
              </w:rPr>
            </w:r>
            <w:r>
              <w:rPr>
                <w:webHidden/>
              </w:rPr>
              <w:fldChar w:fldCharType="separate"/>
            </w:r>
            <w:r>
              <w:rPr>
                <w:webHidden/>
              </w:rPr>
              <w:t>22</w:t>
            </w:r>
            <w:r>
              <w:rPr>
                <w:webHidden/>
              </w:rPr>
              <w:fldChar w:fldCharType="end"/>
            </w:r>
          </w:hyperlink>
        </w:p>
        <w:p w:rsidR="00BB54FC" w:rsidRDefault="00BB54FC" w14:paraId="69D8E338" w14:textId="7B2F5DA5">
          <w:pPr>
            <w:pStyle w:val="TOC3"/>
            <w:rPr>
              <w:rFonts w:asciiTheme="minorHAnsi" w:hAnsiTheme="minorHAnsi" w:eastAsiaTheme="minorEastAsia" w:cstheme="minorBidi"/>
              <w:i w:val="0"/>
              <w:lang w:eastAsia="en-GB"/>
            </w:rPr>
          </w:pPr>
          <w:hyperlink w:history="1" w:anchor="_Toc85541372">
            <w:r w:rsidRPr="00B72BC3">
              <w:rPr>
                <w:rStyle w:val="Hyperlink"/>
              </w:rPr>
              <w:t>(b)</w:t>
            </w:r>
            <w:r>
              <w:rPr>
                <w:rFonts w:asciiTheme="minorHAnsi" w:hAnsiTheme="minorHAnsi" w:eastAsiaTheme="minorEastAsia" w:cstheme="minorBidi"/>
                <w:i w:val="0"/>
                <w:lang w:eastAsia="en-GB"/>
              </w:rPr>
              <w:tab/>
            </w:r>
            <w:r w:rsidRPr="00B72BC3">
              <w:rPr>
                <w:rStyle w:val="Hyperlink"/>
              </w:rPr>
              <w:t>Medical necessity</w:t>
            </w:r>
            <w:r>
              <w:rPr>
                <w:webHidden/>
              </w:rPr>
              <w:tab/>
            </w:r>
            <w:r>
              <w:rPr>
                <w:webHidden/>
              </w:rPr>
              <w:fldChar w:fldCharType="begin"/>
            </w:r>
            <w:r>
              <w:rPr>
                <w:webHidden/>
              </w:rPr>
              <w:instrText xml:space="preserve"> PAGEREF _Toc85541372 \h </w:instrText>
            </w:r>
            <w:r>
              <w:rPr>
                <w:webHidden/>
              </w:rPr>
            </w:r>
            <w:r>
              <w:rPr>
                <w:webHidden/>
              </w:rPr>
              <w:fldChar w:fldCharType="separate"/>
            </w:r>
            <w:r>
              <w:rPr>
                <w:webHidden/>
              </w:rPr>
              <w:t>23</w:t>
            </w:r>
            <w:r>
              <w:rPr>
                <w:webHidden/>
              </w:rPr>
              <w:fldChar w:fldCharType="end"/>
            </w:r>
          </w:hyperlink>
        </w:p>
        <w:p w:rsidR="00BB54FC" w:rsidRDefault="00BB54FC" w14:paraId="4091CF09" w14:textId="52B5FC4E">
          <w:pPr>
            <w:pStyle w:val="TOC3"/>
            <w:rPr>
              <w:rFonts w:asciiTheme="minorHAnsi" w:hAnsiTheme="minorHAnsi" w:eastAsiaTheme="minorEastAsia" w:cstheme="minorBidi"/>
              <w:i w:val="0"/>
              <w:lang w:eastAsia="en-GB"/>
            </w:rPr>
          </w:pPr>
          <w:hyperlink w:history="1" w:anchor="_Toc85541373">
            <w:r w:rsidRPr="00B72BC3">
              <w:rPr>
                <w:rStyle w:val="Hyperlink"/>
              </w:rPr>
              <w:t>(c)</w:t>
            </w:r>
            <w:r>
              <w:rPr>
                <w:rFonts w:asciiTheme="minorHAnsi" w:hAnsiTheme="minorHAnsi" w:eastAsiaTheme="minorEastAsia" w:cstheme="minorBidi"/>
                <w:i w:val="0"/>
                <w:lang w:eastAsia="en-GB"/>
              </w:rPr>
              <w:tab/>
            </w:r>
            <w:r w:rsidRPr="00B72BC3">
              <w:rPr>
                <w:rStyle w:val="Hyperlink"/>
              </w:rPr>
              <w:t>Clinical practice and new National Guidelines</w:t>
            </w:r>
            <w:r>
              <w:rPr>
                <w:webHidden/>
              </w:rPr>
              <w:tab/>
            </w:r>
            <w:r>
              <w:rPr>
                <w:webHidden/>
              </w:rPr>
              <w:fldChar w:fldCharType="begin"/>
            </w:r>
            <w:r>
              <w:rPr>
                <w:webHidden/>
              </w:rPr>
              <w:instrText xml:space="preserve"> PAGEREF _Toc85541373 \h </w:instrText>
            </w:r>
            <w:r>
              <w:rPr>
                <w:webHidden/>
              </w:rPr>
            </w:r>
            <w:r>
              <w:rPr>
                <w:webHidden/>
              </w:rPr>
              <w:fldChar w:fldCharType="separate"/>
            </w:r>
            <w:r>
              <w:rPr>
                <w:webHidden/>
              </w:rPr>
              <w:t>24</w:t>
            </w:r>
            <w:r>
              <w:rPr>
                <w:webHidden/>
              </w:rPr>
              <w:fldChar w:fldCharType="end"/>
            </w:r>
          </w:hyperlink>
        </w:p>
        <w:p w:rsidR="00BB54FC" w:rsidRDefault="00BB54FC" w14:paraId="34C05121" w14:textId="3ADF9465">
          <w:pPr>
            <w:pStyle w:val="TOC3"/>
            <w:rPr>
              <w:rFonts w:asciiTheme="minorHAnsi" w:hAnsiTheme="minorHAnsi" w:eastAsiaTheme="minorEastAsia" w:cstheme="minorBidi"/>
              <w:i w:val="0"/>
              <w:lang w:eastAsia="en-GB"/>
            </w:rPr>
          </w:pPr>
          <w:hyperlink w:history="1" w:anchor="_Toc85541374">
            <w:r w:rsidRPr="00B72BC3">
              <w:rPr>
                <w:rStyle w:val="Hyperlink"/>
              </w:rPr>
              <w:t>(d)</w:t>
            </w:r>
            <w:r>
              <w:rPr>
                <w:rFonts w:asciiTheme="minorHAnsi" w:hAnsiTheme="minorHAnsi" w:eastAsiaTheme="minorEastAsia" w:cstheme="minorBidi"/>
                <w:i w:val="0"/>
                <w:lang w:eastAsia="en-GB"/>
              </w:rPr>
              <w:tab/>
            </w:r>
            <w:r w:rsidRPr="00B72BC3">
              <w:rPr>
                <w:rStyle w:val="Hyperlink"/>
              </w:rPr>
              <w:t>Oversight of medical interventions</w:t>
            </w:r>
            <w:r>
              <w:rPr>
                <w:webHidden/>
              </w:rPr>
              <w:tab/>
            </w:r>
            <w:r>
              <w:rPr>
                <w:webHidden/>
              </w:rPr>
              <w:fldChar w:fldCharType="begin"/>
            </w:r>
            <w:r>
              <w:rPr>
                <w:webHidden/>
              </w:rPr>
              <w:instrText xml:space="preserve"> PAGEREF _Toc85541374 \h </w:instrText>
            </w:r>
            <w:r>
              <w:rPr>
                <w:webHidden/>
              </w:rPr>
            </w:r>
            <w:r>
              <w:rPr>
                <w:webHidden/>
              </w:rPr>
              <w:fldChar w:fldCharType="separate"/>
            </w:r>
            <w:r>
              <w:rPr>
                <w:webHidden/>
              </w:rPr>
              <w:t>24</w:t>
            </w:r>
            <w:r>
              <w:rPr>
                <w:webHidden/>
              </w:rPr>
              <w:fldChar w:fldCharType="end"/>
            </w:r>
          </w:hyperlink>
        </w:p>
        <w:p w:rsidR="00BB54FC" w:rsidRDefault="00BB54FC" w14:paraId="50F5360E" w14:textId="376B2C85">
          <w:pPr>
            <w:pStyle w:val="TOC3"/>
            <w:rPr>
              <w:rFonts w:asciiTheme="minorHAnsi" w:hAnsiTheme="minorHAnsi" w:eastAsiaTheme="minorEastAsia" w:cstheme="minorBidi"/>
              <w:i w:val="0"/>
              <w:lang w:eastAsia="en-GB"/>
            </w:rPr>
          </w:pPr>
          <w:hyperlink w:history="1" w:anchor="_Toc85541375">
            <w:r w:rsidRPr="00B72BC3">
              <w:rPr>
                <w:rStyle w:val="Hyperlink"/>
              </w:rPr>
              <w:t>(e)</w:t>
            </w:r>
            <w:r>
              <w:rPr>
                <w:rFonts w:asciiTheme="minorHAnsi" w:hAnsiTheme="minorHAnsi" w:eastAsiaTheme="minorEastAsia" w:cstheme="minorBidi"/>
                <w:i w:val="0"/>
                <w:lang w:eastAsia="en-GB"/>
              </w:rPr>
              <w:tab/>
            </w:r>
            <w:r w:rsidRPr="00B72BC3">
              <w:rPr>
                <w:rStyle w:val="Hyperlink"/>
              </w:rPr>
              <w:t>Enforcement</w:t>
            </w:r>
            <w:r>
              <w:rPr>
                <w:webHidden/>
              </w:rPr>
              <w:tab/>
            </w:r>
            <w:r>
              <w:rPr>
                <w:webHidden/>
              </w:rPr>
              <w:fldChar w:fldCharType="begin"/>
            </w:r>
            <w:r>
              <w:rPr>
                <w:webHidden/>
              </w:rPr>
              <w:instrText xml:space="preserve"> PAGEREF _Toc85541375 \h </w:instrText>
            </w:r>
            <w:r>
              <w:rPr>
                <w:webHidden/>
              </w:rPr>
            </w:r>
            <w:r>
              <w:rPr>
                <w:webHidden/>
              </w:rPr>
              <w:fldChar w:fldCharType="separate"/>
            </w:r>
            <w:r>
              <w:rPr>
                <w:webHidden/>
              </w:rPr>
              <w:t>25</w:t>
            </w:r>
            <w:r>
              <w:rPr>
                <w:webHidden/>
              </w:rPr>
              <w:fldChar w:fldCharType="end"/>
            </w:r>
          </w:hyperlink>
        </w:p>
        <w:p w:rsidR="00BB54FC" w:rsidRDefault="00BB54FC" w14:paraId="6A279378" w14:textId="02ECD766">
          <w:pPr>
            <w:pStyle w:val="TOC3"/>
            <w:rPr>
              <w:rFonts w:asciiTheme="minorHAnsi" w:hAnsiTheme="minorHAnsi" w:eastAsiaTheme="minorEastAsia" w:cstheme="minorBidi"/>
              <w:i w:val="0"/>
              <w:lang w:eastAsia="en-GB"/>
            </w:rPr>
          </w:pPr>
          <w:hyperlink w:history="1" w:anchor="_Toc85541376">
            <w:r w:rsidRPr="00B72BC3">
              <w:rPr>
                <w:rStyle w:val="Hyperlink"/>
              </w:rPr>
              <w:t>(f)</w:t>
            </w:r>
            <w:r>
              <w:rPr>
                <w:rFonts w:asciiTheme="minorHAnsi" w:hAnsiTheme="minorHAnsi" w:eastAsiaTheme="minorEastAsia" w:cstheme="minorBidi"/>
                <w:i w:val="0"/>
                <w:lang w:eastAsia="en-GB"/>
              </w:rPr>
              <w:tab/>
            </w:r>
            <w:r w:rsidRPr="00B72BC3">
              <w:rPr>
                <w:rStyle w:val="Hyperlink"/>
              </w:rPr>
              <w:t>Support, health records and data collection</w:t>
            </w:r>
            <w:r>
              <w:rPr>
                <w:webHidden/>
              </w:rPr>
              <w:tab/>
            </w:r>
            <w:r>
              <w:rPr>
                <w:webHidden/>
              </w:rPr>
              <w:fldChar w:fldCharType="begin"/>
            </w:r>
            <w:r>
              <w:rPr>
                <w:webHidden/>
              </w:rPr>
              <w:instrText xml:space="preserve"> PAGEREF _Toc85541376 \h </w:instrText>
            </w:r>
            <w:r>
              <w:rPr>
                <w:webHidden/>
              </w:rPr>
            </w:r>
            <w:r>
              <w:rPr>
                <w:webHidden/>
              </w:rPr>
              <w:fldChar w:fldCharType="separate"/>
            </w:r>
            <w:r>
              <w:rPr>
                <w:webHidden/>
              </w:rPr>
              <w:t>26</w:t>
            </w:r>
            <w:r>
              <w:rPr>
                <w:webHidden/>
              </w:rPr>
              <w:fldChar w:fldCharType="end"/>
            </w:r>
          </w:hyperlink>
        </w:p>
        <w:p w:rsidR="00BB54FC" w:rsidRDefault="00BB54FC" w14:paraId="0B516160" w14:textId="19FDD2F9">
          <w:pPr>
            <w:pStyle w:val="TOC2"/>
            <w:rPr>
              <w:rFonts w:asciiTheme="minorHAnsi" w:hAnsiTheme="minorHAnsi" w:eastAsiaTheme="minorEastAsia" w:cstheme="minorBidi"/>
              <w:b w:val="0"/>
              <w:i w:val="0"/>
              <w:lang w:eastAsia="en-GB"/>
            </w:rPr>
          </w:pPr>
          <w:hyperlink w:history="1" w:anchor="_Toc85541377">
            <w:r w:rsidRPr="00B72BC3">
              <w:rPr>
                <w:rStyle w:val="Hyperlink"/>
              </w:rPr>
              <w:t>1.2</w:t>
            </w:r>
            <w:r>
              <w:rPr>
                <w:rFonts w:asciiTheme="minorHAnsi" w:hAnsiTheme="minorHAnsi" w:eastAsiaTheme="minorEastAsia" w:cstheme="minorBidi"/>
                <w:b w:val="0"/>
                <w:i w:val="0"/>
                <w:lang w:eastAsia="en-GB"/>
              </w:rPr>
              <w:tab/>
            </w:r>
            <w:r w:rsidRPr="00B72BC3">
              <w:rPr>
                <w:rStyle w:val="Hyperlink"/>
              </w:rPr>
              <w:t>Developments around Australia</w:t>
            </w:r>
            <w:r>
              <w:rPr>
                <w:webHidden/>
              </w:rPr>
              <w:tab/>
            </w:r>
            <w:r>
              <w:rPr>
                <w:webHidden/>
              </w:rPr>
              <w:fldChar w:fldCharType="begin"/>
            </w:r>
            <w:r>
              <w:rPr>
                <w:webHidden/>
              </w:rPr>
              <w:instrText xml:space="preserve"> PAGEREF _Toc85541377 \h </w:instrText>
            </w:r>
            <w:r>
              <w:rPr>
                <w:webHidden/>
              </w:rPr>
            </w:r>
            <w:r>
              <w:rPr>
                <w:webHidden/>
              </w:rPr>
              <w:fldChar w:fldCharType="separate"/>
            </w:r>
            <w:r>
              <w:rPr>
                <w:webHidden/>
              </w:rPr>
              <w:t>26</w:t>
            </w:r>
            <w:r>
              <w:rPr>
                <w:webHidden/>
              </w:rPr>
              <w:fldChar w:fldCharType="end"/>
            </w:r>
          </w:hyperlink>
        </w:p>
        <w:p w:rsidR="00BB54FC" w:rsidRDefault="00BB54FC" w14:paraId="4C11603D" w14:textId="098223CA">
          <w:pPr>
            <w:pStyle w:val="TOC2"/>
            <w:rPr>
              <w:rFonts w:asciiTheme="minorHAnsi" w:hAnsiTheme="minorHAnsi" w:eastAsiaTheme="minorEastAsia" w:cstheme="minorBidi"/>
              <w:b w:val="0"/>
              <w:i w:val="0"/>
              <w:lang w:eastAsia="en-GB"/>
            </w:rPr>
          </w:pPr>
          <w:hyperlink w:history="1" w:anchor="_Toc85541378">
            <w:r w:rsidRPr="00B72BC3">
              <w:rPr>
                <w:rStyle w:val="Hyperlink"/>
              </w:rPr>
              <w:t>1.3</w:t>
            </w:r>
            <w:r>
              <w:rPr>
                <w:rFonts w:asciiTheme="minorHAnsi" w:hAnsiTheme="minorHAnsi" w:eastAsiaTheme="minorEastAsia" w:cstheme="minorBidi"/>
                <w:b w:val="0"/>
                <w:i w:val="0"/>
                <w:lang w:eastAsia="en-GB"/>
              </w:rPr>
              <w:tab/>
            </w:r>
            <w:r w:rsidRPr="00B72BC3">
              <w:rPr>
                <w:rStyle w:val="Hyperlink"/>
              </w:rPr>
              <w:t>Methodology</w:t>
            </w:r>
            <w:r>
              <w:rPr>
                <w:webHidden/>
              </w:rPr>
              <w:tab/>
            </w:r>
            <w:r>
              <w:rPr>
                <w:webHidden/>
              </w:rPr>
              <w:fldChar w:fldCharType="begin"/>
            </w:r>
            <w:r>
              <w:rPr>
                <w:webHidden/>
              </w:rPr>
              <w:instrText xml:space="preserve"> PAGEREF _Toc85541378 \h </w:instrText>
            </w:r>
            <w:r>
              <w:rPr>
                <w:webHidden/>
              </w:rPr>
            </w:r>
            <w:r>
              <w:rPr>
                <w:webHidden/>
              </w:rPr>
              <w:fldChar w:fldCharType="separate"/>
            </w:r>
            <w:r>
              <w:rPr>
                <w:webHidden/>
              </w:rPr>
              <w:t>28</w:t>
            </w:r>
            <w:r>
              <w:rPr>
                <w:webHidden/>
              </w:rPr>
              <w:fldChar w:fldCharType="end"/>
            </w:r>
          </w:hyperlink>
        </w:p>
        <w:p w:rsidR="00BB54FC" w:rsidRDefault="00BB54FC" w14:paraId="51A5DF1F" w14:textId="48E5C347">
          <w:pPr>
            <w:pStyle w:val="TOC3"/>
            <w:rPr>
              <w:rFonts w:asciiTheme="minorHAnsi" w:hAnsiTheme="minorHAnsi" w:eastAsiaTheme="minorEastAsia" w:cstheme="minorBidi"/>
              <w:i w:val="0"/>
              <w:lang w:eastAsia="en-GB"/>
            </w:rPr>
          </w:pPr>
          <w:hyperlink w:history="1" w:anchor="_Toc85541379">
            <w:r w:rsidRPr="00B72BC3">
              <w:rPr>
                <w:rStyle w:val="Hyperlink"/>
              </w:rPr>
              <w:t>(a)</w:t>
            </w:r>
            <w:r>
              <w:rPr>
                <w:rFonts w:asciiTheme="minorHAnsi" w:hAnsiTheme="minorHAnsi" w:eastAsiaTheme="minorEastAsia" w:cstheme="minorBidi"/>
                <w:i w:val="0"/>
                <w:lang w:eastAsia="en-GB"/>
              </w:rPr>
              <w:tab/>
            </w:r>
            <w:r w:rsidRPr="00B72BC3">
              <w:rPr>
                <w:rStyle w:val="Hyperlink"/>
              </w:rPr>
              <w:t>Objects</w:t>
            </w:r>
            <w:r>
              <w:rPr>
                <w:webHidden/>
              </w:rPr>
              <w:tab/>
            </w:r>
            <w:r>
              <w:rPr>
                <w:webHidden/>
              </w:rPr>
              <w:fldChar w:fldCharType="begin"/>
            </w:r>
            <w:r>
              <w:rPr>
                <w:webHidden/>
              </w:rPr>
              <w:instrText xml:space="preserve"> PAGEREF _Toc85541379 \h </w:instrText>
            </w:r>
            <w:r>
              <w:rPr>
                <w:webHidden/>
              </w:rPr>
            </w:r>
            <w:r>
              <w:rPr>
                <w:webHidden/>
              </w:rPr>
              <w:fldChar w:fldCharType="separate"/>
            </w:r>
            <w:r>
              <w:rPr>
                <w:webHidden/>
              </w:rPr>
              <w:t>28</w:t>
            </w:r>
            <w:r>
              <w:rPr>
                <w:webHidden/>
              </w:rPr>
              <w:fldChar w:fldCharType="end"/>
            </w:r>
          </w:hyperlink>
        </w:p>
        <w:p w:rsidR="00BB54FC" w:rsidRDefault="00BB54FC" w14:paraId="636D95BB" w14:textId="157B806F">
          <w:pPr>
            <w:pStyle w:val="TOC3"/>
            <w:rPr>
              <w:rFonts w:asciiTheme="minorHAnsi" w:hAnsiTheme="minorHAnsi" w:eastAsiaTheme="minorEastAsia" w:cstheme="minorBidi"/>
              <w:i w:val="0"/>
              <w:lang w:eastAsia="en-GB"/>
            </w:rPr>
          </w:pPr>
          <w:hyperlink w:history="1" w:anchor="_Toc85541380">
            <w:r w:rsidRPr="00B72BC3">
              <w:rPr>
                <w:rStyle w:val="Hyperlink"/>
              </w:rPr>
              <w:t>(b)</w:t>
            </w:r>
            <w:r>
              <w:rPr>
                <w:rFonts w:asciiTheme="minorHAnsi" w:hAnsiTheme="minorHAnsi" w:eastAsiaTheme="minorEastAsia" w:cstheme="minorBidi"/>
                <w:i w:val="0"/>
                <w:lang w:eastAsia="en-GB"/>
              </w:rPr>
              <w:tab/>
            </w:r>
            <w:r w:rsidRPr="00B72BC3">
              <w:rPr>
                <w:rStyle w:val="Hyperlink"/>
              </w:rPr>
              <w:t>Expert reference group</w:t>
            </w:r>
            <w:r>
              <w:rPr>
                <w:webHidden/>
              </w:rPr>
              <w:tab/>
            </w:r>
            <w:r>
              <w:rPr>
                <w:webHidden/>
              </w:rPr>
              <w:fldChar w:fldCharType="begin"/>
            </w:r>
            <w:r>
              <w:rPr>
                <w:webHidden/>
              </w:rPr>
              <w:instrText xml:space="preserve"> PAGEREF _Toc85541380 \h </w:instrText>
            </w:r>
            <w:r>
              <w:rPr>
                <w:webHidden/>
              </w:rPr>
            </w:r>
            <w:r>
              <w:rPr>
                <w:webHidden/>
              </w:rPr>
              <w:fldChar w:fldCharType="separate"/>
            </w:r>
            <w:r>
              <w:rPr>
                <w:webHidden/>
              </w:rPr>
              <w:t>29</w:t>
            </w:r>
            <w:r>
              <w:rPr>
                <w:webHidden/>
              </w:rPr>
              <w:fldChar w:fldCharType="end"/>
            </w:r>
          </w:hyperlink>
        </w:p>
        <w:p w:rsidR="00BB54FC" w:rsidRDefault="00BB54FC" w14:paraId="7E160F3B" w14:textId="60F9AA44">
          <w:pPr>
            <w:pStyle w:val="TOC3"/>
            <w:rPr>
              <w:rFonts w:asciiTheme="minorHAnsi" w:hAnsiTheme="minorHAnsi" w:eastAsiaTheme="minorEastAsia" w:cstheme="minorBidi"/>
              <w:i w:val="0"/>
              <w:lang w:eastAsia="en-GB"/>
            </w:rPr>
          </w:pPr>
          <w:hyperlink w:history="1" w:anchor="_Toc85541381">
            <w:r w:rsidRPr="00B72BC3">
              <w:rPr>
                <w:rStyle w:val="Hyperlink"/>
              </w:rPr>
              <w:t>(c)</w:t>
            </w:r>
            <w:r>
              <w:rPr>
                <w:rFonts w:asciiTheme="minorHAnsi" w:hAnsiTheme="minorHAnsi" w:eastAsiaTheme="minorEastAsia" w:cstheme="minorBidi"/>
                <w:i w:val="0"/>
                <w:lang w:eastAsia="en-GB"/>
              </w:rPr>
              <w:tab/>
            </w:r>
            <w:r w:rsidRPr="00B72BC3">
              <w:rPr>
                <w:rStyle w:val="Hyperlink"/>
              </w:rPr>
              <w:t>Consultation process</w:t>
            </w:r>
            <w:r>
              <w:rPr>
                <w:webHidden/>
              </w:rPr>
              <w:tab/>
            </w:r>
            <w:r>
              <w:rPr>
                <w:webHidden/>
              </w:rPr>
              <w:fldChar w:fldCharType="begin"/>
            </w:r>
            <w:r>
              <w:rPr>
                <w:webHidden/>
              </w:rPr>
              <w:instrText xml:space="preserve"> PAGEREF _Toc85541381 \h </w:instrText>
            </w:r>
            <w:r>
              <w:rPr>
                <w:webHidden/>
              </w:rPr>
            </w:r>
            <w:r>
              <w:rPr>
                <w:webHidden/>
              </w:rPr>
              <w:fldChar w:fldCharType="separate"/>
            </w:r>
            <w:r>
              <w:rPr>
                <w:webHidden/>
              </w:rPr>
              <w:t>29</w:t>
            </w:r>
            <w:r>
              <w:rPr>
                <w:webHidden/>
              </w:rPr>
              <w:fldChar w:fldCharType="end"/>
            </w:r>
          </w:hyperlink>
        </w:p>
        <w:p w:rsidR="00BB54FC" w:rsidRDefault="00BB54FC" w14:paraId="2F5344A5" w14:textId="6CDF9EA1">
          <w:pPr>
            <w:pStyle w:val="TOC3"/>
            <w:rPr>
              <w:rFonts w:asciiTheme="minorHAnsi" w:hAnsiTheme="minorHAnsi" w:eastAsiaTheme="minorEastAsia" w:cstheme="minorBidi"/>
              <w:i w:val="0"/>
              <w:lang w:eastAsia="en-GB"/>
            </w:rPr>
          </w:pPr>
          <w:hyperlink w:history="1" w:anchor="_Toc85541382">
            <w:r w:rsidRPr="00B72BC3">
              <w:rPr>
                <w:rStyle w:val="Hyperlink"/>
              </w:rPr>
              <w:t>(d)</w:t>
            </w:r>
            <w:r>
              <w:rPr>
                <w:rFonts w:asciiTheme="minorHAnsi" w:hAnsiTheme="minorHAnsi" w:eastAsiaTheme="minorEastAsia" w:cstheme="minorBidi"/>
                <w:i w:val="0"/>
                <w:lang w:eastAsia="en-GB"/>
              </w:rPr>
              <w:tab/>
            </w:r>
            <w:r w:rsidRPr="00B72BC3">
              <w:rPr>
                <w:rStyle w:val="Hyperlink"/>
              </w:rPr>
              <w:t>Human Research Ethics Committee process</w:t>
            </w:r>
            <w:r>
              <w:rPr>
                <w:webHidden/>
              </w:rPr>
              <w:tab/>
            </w:r>
            <w:r>
              <w:rPr>
                <w:webHidden/>
              </w:rPr>
              <w:fldChar w:fldCharType="begin"/>
            </w:r>
            <w:r>
              <w:rPr>
                <w:webHidden/>
              </w:rPr>
              <w:instrText xml:space="preserve"> PAGEREF _Toc85541382 \h </w:instrText>
            </w:r>
            <w:r>
              <w:rPr>
                <w:webHidden/>
              </w:rPr>
            </w:r>
            <w:r>
              <w:rPr>
                <w:webHidden/>
              </w:rPr>
              <w:fldChar w:fldCharType="separate"/>
            </w:r>
            <w:r>
              <w:rPr>
                <w:webHidden/>
              </w:rPr>
              <w:t>31</w:t>
            </w:r>
            <w:r>
              <w:rPr>
                <w:webHidden/>
              </w:rPr>
              <w:fldChar w:fldCharType="end"/>
            </w:r>
          </w:hyperlink>
        </w:p>
        <w:p w:rsidR="00BB54FC" w:rsidRDefault="00BB54FC" w14:paraId="287D2B4F" w14:textId="5155D3AF">
          <w:pPr>
            <w:pStyle w:val="TOC3"/>
            <w:rPr>
              <w:rFonts w:asciiTheme="minorHAnsi" w:hAnsiTheme="minorHAnsi" w:eastAsiaTheme="minorEastAsia" w:cstheme="minorBidi"/>
              <w:i w:val="0"/>
              <w:lang w:eastAsia="en-GB"/>
            </w:rPr>
          </w:pPr>
          <w:hyperlink w:history="1" w:anchor="_Toc85541383">
            <w:r w:rsidRPr="00B72BC3">
              <w:rPr>
                <w:rStyle w:val="Hyperlink"/>
              </w:rPr>
              <w:t>(e)</w:t>
            </w:r>
            <w:r>
              <w:rPr>
                <w:rFonts w:asciiTheme="minorHAnsi" w:hAnsiTheme="minorHAnsi" w:eastAsiaTheme="minorEastAsia" w:cstheme="minorBidi"/>
                <w:i w:val="0"/>
                <w:lang w:eastAsia="en-GB"/>
              </w:rPr>
              <w:tab/>
            </w:r>
            <w:r w:rsidRPr="00B72BC3">
              <w:rPr>
                <w:rStyle w:val="Hyperlink"/>
              </w:rPr>
              <w:t>Terminology</w:t>
            </w:r>
            <w:r>
              <w:rPr>
                <w:webHidden/>
              </w:rPr>
              <w:tab/>
            </w:r>
            <w:r>
              <w:rPr>
                <w:webHidden/>
              </w:rPr>
              <w:fldChar w:fldCharType="begin"/>
            </w:r>
            <w:r>
              <w:rPr>
                <w:webHidden/>
              </w:rPr>
              <w:instrText xml:space="preserve"> PAGEREF _Toc85541383 \h </w:instrText>
            </w:r>
            <w:r>
              <w:rPr>
                <w:webHidden/>
              </w:rPr>
            </w:r>
            <w:r>
              <w:rPr>
                <w:webHidden/>
              </w:rPr>
              <w:fldChar w:fldCharType="separate"/>
            </w:r>
            <w:r>
              <w:rPr>
                <w:webHidden/>
              </w:rPr>
              <w:t>31</w:t>
            </w:r>
            <w:r>
              <w:rPr>
                <w:webHidden/>
              </w:rPr>
              <w:fldChar w:fldCharType="end"/>
            </w:r>
          </w:hyperlink>
        </w:p>
        <w:p w:rsidR="00BB54FC" w:rsidRDefault="00BB54FC" w14:paraId="64F34678" w14:textId="5633F4A0">
          <w:pPr>
            <w:pStyle w:val="TOC2"/>
            <w:rPr>
              <w:rFonts w:asciiTheme="minorHAnsi" w:hAnsiTheme="minorHAnsi" w:eastAsiaTheme="minorEastAsia" w:cstheme="minorBidi"/>
              <w:b w:val="0"/>
              <w:i w:val="0"/>
              <w:lang w:eastAsia="en-GB"/>
            </w:rPr>
          </w:pPr>
          <w:hyperlink w:history="1" w:anchor="_Toc85541384">
            <w:r w:rsidRPr="00B72BC3">
              <w:rPr>
                <w:rStyle w:val="Hyperlink"/>
              </w:rPr>
              <w:t>1.4</w:t>
            </w:r>
            <w:r>
              <w:rPr>
                <w:rFonts w:asciiTheme="minorHAnsi" w:hAnsiTheme="minorHAnsi" w:eastAsiaTheme="minorEastAsia" w:cstheme="minorBidi"/>
                <w:b w:val="0"/>
                <w:i w:val="0"/>
                <w:lang w:eastAsia="en-GB"/>
              </w:rPr>
              <w:tab/>
            </w:r>
            <w:r w:rsidRPr="00B72BC3">
              <w:rPr>
                <w:rStyle w:val="Hyperlink"/>
              </w:rPr>
              <w:t>Population</w:t>
            </w:r>
            <w:r>
              <w:rPr>
                <w:webHidden/>
              </w:rPr>
              <w:tab/>
            </w:r>
            <w:r>
              <w:rPr>
                <w:webHidden/>
              </w:rPr>
              <w:fldChar w:fldCharType="begin"/>
            </w:r>
            <w:r>
              <w:rPr>
                <w:webHidden/>
              </w:rPr>
              <w:instrText xml:space="preserve"> PAGEREF _Toc85541384 \h </w:instrText>
            </w:r>
            <w:r>
              <w:rPr>
                <w:webHidden/>
              </w:rPr>
            </w:r>
            <w:r>
              <w:rPr>
                <w:webHidden/>
              </w:rPr>
              <w:fldChar w:fldCharType="separate"/>
            </w:r>
            <w:r>
              <w:rPr>
                <w:webHidden/>
              </w:rPr>
              <w:t>32</w:t>
            </w:r>
            <w:r>
              <w:rPr>
                <w:webHidden/>
              </w:rPr>
              <w:fldChar w:fldCharType="end"/>
            </w:r>
          </w:hyperlink>
        </w:p>
        <w:p w:rsidR="00BB54FC" w:rsidRDefault="00BB54FC" w14:paraId="63E36274" w14:textId="34C070FA">
          <w:pPr>
            <w:pStyle w:val="TOC2"/>
            <w:rPr>
              <w:rFonts w:asciiTheme="minorHAnsi" w:hAnsiTheme="minorHAnsi" w:eastAsiaTheme="minorEastAsia" w:cstheme="minorBidi"/>
              <w:b w:val="0"/>
              <w:i w:val="0"/>
              <w:lang w:eastAsia="en-GB"/>
            </w:rPr>
          </w:pPr>
          <w:hyperlink w:history="1" w:anchor="_Toc85541385">
            <w:r w:rsidRPr="00B72BC3">
              <w:rPr>
                <w:rStyle w:val="Hyperlink"/>
              </w:rPr>
              <w:t>1.5</w:t>
            </w:r>
            <w:r>
              <w:rPr>
                <w:rFonts w:asciiTheme="minorHAnsi" w:hAnsiTheme="minorHAnsi" w:eastAsiaTheme="minorEastAsia" w:cstheme="minorBidi"/>
                <w:b w:val="0"/>
                <w:i w:val="0"/>
                <w:lang w:eastAsia="en-GB"/>
              </w:rPr>
              <w:tab/>
            </w:r>
            <w:r w:rsidRPr="00B72BC3">
              <w:rPr>
                <w:rStyle w:val="Hyperlink"/>
              </w:rPr>
              <w:t>Outcomes</w:t>
            </w:r>
            <w:r>
              <w:rPr>
                <w:webHidden/>
              </w:rPr>
              <w:tab/>
            </w:r>
            <w:r>
              <w:rPr>
                <w:webHidden/>
              </w:rPr>
              <w:fldChar w:fldCharType="begin"/>
            </w:r>
            <w:r>
              <w:rPr>
                <w:webHidden/>
              </w:rPr>
              <w:instrText xml:space="preserve"> PAGEREF _Toc85541385 \h </w:instrText>
            </w:r>
            <w:r>
              <w:rPr>
                <w:webHidden/>
              </w:rPr>
            </w:r>
            <w:r>
              <w:rPr>
                <w:webHidden/>
              </w:rPr>
              <w:fldChar w:fldCharType="separate"/>
            </w:r>
            <w:r>
              <w:rPr>
                <w:webHidden/>
              </w:rPr>
              <w:t>33</w:t>
            </w:r>
            <w:r>
              <w:rPr>
                <w:webHidden/>
              </w:rPr>
              <w:fldChar w:fldCharType="end"/>
            </w:r>
          </w:hyperlink>
        </w:p>
        <w:p w:rsidR="00BB54FC" w:rsidRDefault="00BB54FC" w14:paraId="2544D575" w14:textId="02B31052">
          <w:pPr>
            <w:pStyle w:val="TOC1"/>
            <w:rPr>
              <w:rFonts w:asciiTheme="minorHAnsi" w:hAnsiTheme="minorHAnsi" w:eastAsiaTheme="minorEastAsia" w:cstheme="minorBidi"/>
              <w:b w:val="0"/>
              <w:lang w:eastAsia="en-GB"/>
            </w:rPr>
          </w:pPr>
          <w:hyperlink w:history="1" w:anchor="_Toc85541386">
            <w:r w:rsidRPr="00B72BC3">
              <w:rPr>
                <w:rStyle w:val="Hyperlink"/>
              </w:rPr>
              <w:t>2</w:t>
            </w:r>
            <w:r>
              <w:rPr>
                <w:rFonts w:asciiTheme="minorHAnsi" w:hAnsiTheme="minorHAnsi" w:eastAsiaTheme="minorEastAsia" w:cstheme="minorBidi"/>
                <w:b w:val="0"/>
                <w:lang w:eastAsia="en-GB"/>
              </w:rPr>
              <w:tab/>
            </w:r>
            <w:r w:rsidRPr="00B72BC3">
              <w:rPr>
                <w:rStyle w:val="Hyperlink"/>
              </w:rPr>
              <w:t>Human Rights</w:t>
            </w:r>
            <w:r>
              <w:rPr>
                <w:webHidden/>
              </w:rPr>
              <w:tab/>
            </w:r>
            <w:r>
              <w:rPr>
                <w:webHidden/>
              </w:rPr>
              <w:fldChar w:fldCharType="begin"/>
            </w:r>
            <w:r>
              <w:rPr>
                <w:webHidden/>
              </w:rPr>
              <w:instrText xml:space="preserve"> PAGEREF _Toc85541386 \h </w:instrText>
            </w:r>
            <w:r>
              <w:rPr>
                <w:webHidden/>
              </w:rPr>
            </w:r>
            <w:r>
              <w:rPr>
                <w:webHidden/>
              </w:rPr>
              <w:fldChar w:fldCharType="separate"/>
            </w:r>
            <w:r>
              <w:rPr>
                <w:webHidden/>
              </w:rPr>
              <w:t>34</w:t>
            </w:r>
            <w:r>
              <w:rPr>
                <w:webHidden/>
              </w:rPr>
              <w:fldChar w:fldCharType="end"/>
            </w:r>
          </w:hyperlink>
        </w:p>
        <w:p w:rsidR="00BB54FC" w:rsidRDefault="00BB54FC" w14:paraId="5CBDB0C2" w14:textId="36848E73">
          <w:pPr>
            <w:pStyle w:val="TOC2"/>
            <w:rPr>
              <w:rFonts w:asciiTheme="minorHAnsi" w:hAnsiTheme="minorHAnsi" w:eastAsiaTheme="minorEastAsia" w:cstheme="minorBidi"/>
              <w:b w:val="0"/>
              <w:i w:val="0"/>
              <w:lang w:eastAsia="en-GB"/>
            </w:rPr>
          </w:pPr>
          <w:hyperlink w:history="1" w:anchor="_Toc85541387">
            <w:r w:rsidRPr="00B72BC3">
              <w:rPr>
                <w:rStyle w:val="Hyperlink"/>
              </w:rPr>
              <w:t>2.1</w:t>
            </w:r>
            <w:r>
              <w:rPr>
                <w:rFonts w:asciiTheme="minorHAnsi" w:hAnsiTheme="minorHAnsi" w:eastAsiaTheme="minorEastAsia" w:cstheme="minorBidi"/>
                <w:b w:val="0"/>
                <w:i w:val="0"/>
                <w:lang w:eastAsia="en-GB"/>
              </w:rPr>
              <w:tab/>
            </w:r>
            <w:r w:rsidRPr="00B72BC3">
              <w:rPr>
                <w:rStyle w:val="Hyperlink"/>
              </w:rPr>
              <w:t>Towards a human rights framework</w:t>
            </w:r>
            <w:r>
              <w:rPr>
                <w:webHidden/>
              </w:rPr>
              <w:tab/>
            </w:r>
            <w:r>
              <w:rPr>
                <w:webHidden/>
              </w:rPr>
              <w:fldChar w:fldCharType="begin"/>
            </w:r>
            <w:r>
              <w:rPr>
                <w:webHidden/>
              </w:rPr>
              <w:instrText xml:space="preserve"> PAGEREF _Toc85541387 \h </w:instrText>
            </w:r>
            <w:r>
              <w:rPr>
                <w:webHidden/>
              </w:rPr>
            </w:r>
            <w:r>
              <w:rPr>
                <w:webHidden/>
              </w:rPr>
              <w:fldChar w:fldCharType="separate"/>
            </w:r>
            <w:r>
              <w:rPr>
                <w:webHidden/>
              </w:rPr>
              <w:t>34</w:t>
            </w:r>
            <w:r>
              <w:rPr>
                <w:webHidden/>
              </w:rPr>
              <w:fldChar w:fldCharType="end"/>
            </w:r>
          </w:hyperlink>
        </w:p>
        <w:p w:rsidR="00BB54FC" w:rsidRDefault="00BB54FC" w14:paraId="7432F8B6" w14:textId="0235F4B7">
          <w:pPr>
            <w:pStyle w:val="TOC2"/>
            <w:rPr>
              <w:rFonts w:asciiTheme="minorHAnsi" w:hAnsiTheme="minorHAnsi" w:eastAsiaTheme="minorEastAsia" w:cstheme="minorBidi"/>
              <w:b w:val="0"/>
              <w:i w:val="0"/>
              <w:lang w:eastAsia="en-GB"/>
            </w:rPr>
          </w:pPr>
          <w:hyperlink w:history="1" w:anchor="_Toc85541388">
            <w:r w:rsidRPr="00B72BC3">
              <w:rPr>
                <w:rStyle w:val="Hyperlink"/>
                <w:rFonts w:eastAsia="Open Sans" w:cs="Open Sans"/>
              </w:rPr>
              <w:t>2.2</w:t>
            </w:r>
            <w:r>
              <w:rPr>
                <w:rFonts w:asciiTheme="minorHAnsi" w:hAnsiTheme="minorHAnsi" w:eastAsiaTheme="minorEastAsia" w:cstheme="minorBidi"/>
                <w:b w:val="0"/>
                <w:i w:val="0"/>
                <w:lang w:eastAsia="en-GB"/>
              </w:rPr>
              <w:tab/>
            </w:r>
            <w:r w:rsidRPr="00B72BC3">
              <w:rPr>
                <w:rStyle w:val="Hyperlink"/>
              </w:rPr>
              <w:t>What are human rights?</w:t>
            </w:r>
            <w:r>
              <w:rPr>
                <w:webHidden/>
              </w:rPr>
              <w:tab/>
            </w:r>
            <w:r>
              <w:rPr>
                <w:webHidden/>
              </w:rPr>
              <w:fldChar w:fldCharType="begin"/>
            </w:r>
            <w:r>
              <w:rPr>
                <w:webHidden/>
              </w:rPr>
              <w:instrText xml:space="preserve"> PAGEREF _Toc85541388 \h </w:instrText>
            </w:r>
            <w:r>
              <w:rPr>
                <w:webHidden/>
              </w:rPr>
            </w:r>
            <w:r>
              <w:rPr>
                <w:webHidden/>
              </w:rPr>
              <w:fldChar w:fldCharType="separate"/>
            </w:r>
            <w:r>
              <w:rPr>
                <w:webHidden/>
              </w:rPr>
              <w:t>35</w:t>
            </w:r>
            <w:r>
              <w:rPr>
                <w:webHidden/>
              </w:rPr>
              <w:fldChar w:fldCharType="end"/>
            </w:r>
          </w:hyperlink>
        </w:p>
        <w:p w:rsidR="00BB54FC" w:rsidRDefault="00BB54FC" w14:paraId="627C5015" w14:textId="2B284753">
          <w:pPr>
            <w:pStyle w:val="TOC2"/>
            <w:rPr>
              <w:rFonts w:asciiTheme="minorHAnsi" w:hAnsiTheme="minorHAnsi" w:eastAsiaTheme="minorEastAsia" w:cstheme="minorBidi"/>
              <w:b w:val="0"/>
              <w:i w:val="0"/>
              <w:lang w:eastAsia="en-GB"/>
            </w:rPr>
          </w:pPr>
          <w:hyperlink w:history="1" w:anchor="_Toc85541389">
            <w:r w:rsidRPr="00B72BC3">
              <w:rPr>
                <w:rStyle w:val="Hyperlink"/>
                <w:rFonts w:eastAsia="Open Sans" w:cs="Open Sans"/>
              </w:rPr>
              <w:t>2.3</w:t>
            </w:r>
            <w:r>
              <w:rPr>
                <w:rFonts w:asciiTheme="minorHAnsi" w:hAnsiTheme="minorHAnsi" w:eastAsiaTheme="minorEastAsia" w:cstheme="minorBidi"/>
                <w:b w:val="0"/>
                <w:i w:val="0"/>
                <w:lang w:eastAsia="en-GB"/>
              </w:rPr>
              <w:tab/>
            </w:r>
            <w:r w:rsidRPr="00B72BC3">
              <w:rPr>
                <w:rStyle w:val="Hyperlink"/>
              </w:rPr>
              <w:t>Applicable human rights</w:t>
            </w:r>
            <w:r>
              <w:rPr>
                <w:webHidden/>
              </w:rPr>
              <w:tab/>
            </w:r>
            <w:r>
              <w:rPr>
                <w:webHidden/>
              </w:rPr>
              <w:fldChar w:fldCharType="begin"/>
            </w:r>
            <w:r>
              <w:rPr>
                <w:webHidden/>
              </w:rPr>
              <w:instrText xml:space="preserve"> PAGEREF _Toc85541389 \h </w:instrText>
            </w:r>
            <w:r>
              <w:rPr>
                <w:webHidden/>
              </w:rPr>
            </w:r>
            <w:r>
              <w:rPr>
                <w:webHidden/>
              </w:rPr>
              <w:fldChar w:fldCharType="separate"/>
            </w:r>
            <w:r>
              <w:rPr>
                <w:webHidden/>
              </w:rPr>
              <w:t>36</w:t>
            </w:r>
            <w:r>
              <w:rPr>
                <w:webHidden/>
              </w:rPr>
              <w:fldChar w:fldCharType="end"/>
            </w:r>
          </w:hyperlink>
        </w:p>
        <w:p w:rsidR="00BB54FC" w:rsidRDefault="00BB54FC" w14:paraId="56191A1B" w14:textId="0DF44E53">
          <w:pPr>
            <w:pStyle w:val="TOC3"/>
            <w:rPr>
              <w:rFonts w:asciiTheme="minorHAnsi" w:hAnsiTheme="minorHAnsi" w:eastAsiaTheme="minorEastAsia" w:cstheme="minorBidi"/>
              <w:i w:val="0"/>
              <w:lang w:eastAsia="en-GB"/>
            </w:rPr>
          </w:pPr>
          <w:hyperlink w:history="1" w:anchor="_Toc85541390">
            <w:r w:rsidRPr="00B72BC3">
              <w:rPr>
                <w:rStyle w:val="Hyperlink"/>
              </w:rPr>
              <w:t>(a)</w:t>
            </w:r>
            <w:r>
              <w:rPr>
                <w:rFonts w:asciiTheme="minorHAnsi" w:hAnsiTheme="minorHAnsi" w:eastAsiaTheme="minorEastAsia" w:cstheme="minorBidi"/>
                <w:i w:val="0"/>
                <w:lang w:eastAsia="en-GB"/>
              </w:rPr>
              <w:tab/>
            </w:r>
            <w:r w:rsidRPr="00B72BC3">
              <w:rPr>
                <w:rStyle w:val="Hyperlink"/>
              </w:rPr>
              <w:t>Bodily integrity and autonomy</w:t>
            </w:r>
            <w:r>
              <w:rPr>
                <w:webHidden/>
              </w:rPr>
              <w:tab/>
            </w:r>
            <w:r>
              <w:rPr>
                <w:webHidden/>
              </w:rPr>
              <w:fldChar w:fldCharType="begin"/>
            </w:r>
            <w:r>
              <w:rPr>
                <w:webHidden/>
              </w:rPr>
              <w:instrText xml:space="preserve"> PAGEREF _Toc85541390 \h </w:instrText>
            </w:r>
            <w:r>
              <w:rPr>
                <w:webHidden/>
              </w:rPr>
            </w:r>
            <w:r>
              <w:rPr>
                <w:webHidden/>
              </w:rPr>
              <w:fldChar w:fldCharType="separate"/>
            </w:r>
            <w:r>
              <w:rPr>
                <w:webHidden/>
              </w:rPr>
              <w:t>37</w:t>
            </w:r>
            <w:r>
              <w:rPr>
                <w:webHidden/>
              </w:rPr>
              <w:fldChar w:fldCharType="end"/>
            </w:r>
          </w:hyperlink>
        </w:p>
        <w:p w:rsidR="00BB54FC" w:rsidRDefault="00BB54FC" w14:paraId="1C0B6DE7" w14:textId="73620973">
          <w:pPr>
            <w:pStyle w:val="TOC3"/>
            <w:rPr>
              <w:rFonts w:asciiTheme="minorHAnsi" w:hAnsiTheme="minorHAnsi" w:eastAsiaTheme="minorEastAsia" w:cstheme="minorBidi"/>
              <w:i w:val="0"/>
              <w:lang w:eastAsia="en-GB"/>
            </w:rPr>
          </w:pPr>
          <w:hyperlink w:history="1" w:anchor="_Toc85541391">
            <w:r w:rsidRPr="00B72BC3">
              <w:rPr>
                <w:rStyle w:val="Hyperlink"/>
                <w:rFonts w:eastAsia="Open Sans" w:cs="Open Sans"/>
              </w:rPr>
              <w:t>(b)</w:t>
            </w:r>
            <w:r>
              <w:rPr>
                <w:rFonts w:asciiTheme="minorHAnsi" w:hAnsiTheme="minorHAnsi" w:eastAsiaTheme="minorEastAsia" w:cstheme="minorBidi"/>
                <w:i w:val="0"/>
                <w:lang w:eastAsia="en-GB"/>
              </w:rPr>
              <w:tab/>
            </w:r>
            <w:r w:rsidRPr="00B72BC3">
              <w:rPr>
                <w:rStyle w:val="Hyperlink"/>
              </w:rPr>
              <w:t>Children’s rights, including to participate in decisions that affect them</w:t>
            </w:r>
            <w:r>
              <w:rPr>
                <w:webHidden/>
              </w:rPr>
              <w:tab/>
            </w:r>
            <w:r>
              <w:rPr>
                <w:webHidden/>
              </w:rPr>
              <w:fldChar w:fldCharType="begin"/>
            </w:r>
            <w:r>
              <w:rPr>
                <w:webHidden/>
              </w:rPr>
              <w:instrText xml:space="preserve"> PAGEREF _Toc85541391 \h </w:instrText>
            </w:r>
            <w:r>
              <w:rPr>
                <w:webHidden/>
              </w:rPr>
            </w:r>
            <w:r>
              <w:rPr>
                <w:webHidden/>
              </w:rPr>
              <w:fldChar w:fldCharType="separate"/>
            </w:r>
            <w:r>
              <w:rPr>
                <w:webHidden/>
              </w:rPr>
              <w:t>40</w:t>
            </w:r>
            <w:r>
              <w:rPr>
                <w:webHidden/>
              </w:rPr>
              <w:fldChar w:fldCharType="end"/>
            </w:r>
          </w:hyperlink>
        </w:p>
        <w:p w:rsidR="00BB54FC" w:rsidRDefault="00BB54FC" w14:paraId="7D840690" w14:textId="5A25C9DC">
          <w:pPr>
            <w:pStyle w:val="TOC3"/>
            <w:rPr>
              <w:rFonts w:asciiTheme="minorHAnsi" w:hAnsiTheme="minorHAnsi" w:eastAsiaTheme="minorEastAsia" w:cstheme="minorBidi"/>
              <w:i w:val="0"/>
              <w:lang w:eastAsia="en-GB"/>
            </w:rPr>
          </w:pPr>
          <w:hyperlink w:history="1" w:anchor="_Toc85541392">
            <w:r w:rsidRPr="00B72BC3">
              <w:rPr>
                <w:rStyle w:val="Hyperlink"/>
              </w:rPr>
              <w:t>(c)</w:t>
            </w:r>
            <w:r>
              <w:rPr>
                <w:rFonts w:asciiTheme="minorHAnsi" w:hAnsiTheme="minorHAnsi" w:eastAsiaTheme="minorEastAsia" w:cstheme="minorBidi"/>
                <w:i w:val="0"/>
                <w:lang w:eastAsia="en-GB"/>
              </w:rPr>
              <w:tab/>
            </w:r>
            <w:r w:rsidRPr="00B72BC3">
              <w:rPr>
                <w:rStyle w:val="Hyperlink"/>
              </w:rPr>
              <w:t>Torture or cruel, inhuman or degrading treatment</w:t>
            </w:r>
            <w:r>
              <w:rPr>
                <w:webHidden/>
              </w:rPr>
              <w:tab/>
            </w:r>
            <w:r>
              <w:rPr>
                <w:webHidden/>
              </w:rPr>
              <w:fldChar w:fldCharType="begin"/>
            </w:r>
            <w:r>
              <w:rPr>
                <w:webHidden/>
              </w:rPr>
              <w:instrText xml:space="preserve"> PAGEREF _Toc85541392 \h </w:instrText>
            </w:r>
            <w:r>
              <w:rPr>
                <w:webHidden/>
              </w:rPr>
            </w:r>
            <w:r>
              <w:rPr>
                <w:webHidden/>
              </w:rPr>
              <w:fldChar w:fldCharType="separate"/>
            </w:r>
            <w:r>
              <w:rPr>
                <w:webHidden/>
              </w:rPr>
              <w:t>43</w:t>
            </w:r>
            <w:r>
              <w:rPr>
                <w:webHidden/>
              </w:rPr>
              <w:fldChar w:fldCharType="end"/>
            </w:r>
          </w:hyperlink>
        </w:p>
        <w:p w:rsidR="00BB54FC" w:rsidRDefault="00BB54FC" w14:paraId="4CFCC5BC" w14:textId="69C01B0E">
          <w:pPr>
            <w:pStyle w:val="TOC3"/>
            <w:rPr>
              <w:rFonts w:asciiTheme="minorHAnsi" w:hAnsiTheme="minorHAnsi" w:eastAsiaTheme="minorEastAsia" w:cstheme="minorBidi"/>
              <w:i w:val="0"/>
              <w:lang w:eastAsia="en-GB"/>
            </w:rPr>
          </w:pPr>
          <w:hyperlink w:history="1" w:anchor="_Toc85541393">
            <w:r w:rsidRPr="00B72BC3">
              <w:rPr>
                <w:rStyle w:val="Hyperlink"/>
              </w:rPr>
              <w:t>(d)</w:t>
            </w:r>
            <w:r>
              <w:rPr>
                <w:rFonts w:asciiTheme="minorHAnsi" w:hAnsiTheme="minorHAnsi" w:eastAsiaTheme="minorEastAsia" w:cstheme="minorBidi"/>
                <w:i w:val="0"/>
                <w:lang w:eastAsia="en-GB"/>
              </w:rPr>
              <w:tab/>
            </w:r>
            <w:r w:rsidRPr="00B72BC3">
              <w:rPr>
                <w:rStyle w:val="Hyperlink"/>
              </w:rPr>
              <w:t>The right to health</w:t>
            </w:r>
            <w:r>
              <w:rPr>
                <w:webHidden/>
              </w:rPr>
              <w:tab/>
            </w:r>
            <w:r>
              <w:rPr>
                <w:webHidden/>
              </w:rPr>
              <w:fldChar w:fldCharType="begin"/>
            </w:r>
            <w:r>
              <w:rPr>
                <w:webHidden/>
              </w:rPr>
              <w:instrText xml:space="preserve"> PAGEREF _Toc85541393 \h </w:instrText>
            </w:r>
            <w:r>
              <w:rPr>
                <w:webHidden/>
              </w:rPr>
            </w:r>
            <w:r>
              <w:rPr>
                <w:webHidden/>
              </w:rPr>
              <w:fldChar w:fldCharType="separate"/>
            </w:r>
            <w:r>
              <w:rPr>
                <w:webHidden/>
              </w:rPr>
              <w:t>45</w:t>
            </w:r>
            <w:r>
              <w:rPr>
                <w:webHidden/>
              </w:rPr>
              <w:fldChar w:fldCharType="end"/>
            </w:r>
          </w:hyperlink>
        </w:p>
        <w:p w:rsidR="00BB54FC" w:rsidRDefault="00BB54FC" w14:paraId="183AAE37" w14:textId="2A3641BB">
          <w:pPr>
            <w:pStyle w:val="TOC3"/>
            <w:rPr>
              <w:rFonts w:asciiTheme="minorHAnsi" w:hAnsiTheme="minorHAnsi" w:eastAsiaTheme="minorEastAsia" w:cstheme="minorBidi"/>
              <w:i w:val="0"/>
              <w:lang w:eastAsia="en-GB"/>
            </w:rPr>
          </w:pPr>
          <w:hyperlink w:history="1" w:anchor="_Toc85541394">
            <w:r w:rsidRPr="00B72BC3">
              <w:rPr>
                <w:rStyle w:val="Hyperlink"/>
              </w:rPr>
              <w:t>(e)</w:t>
            </w:r>
            <w:r>
              <w:rPr>
                <w:rFonts w:asciiTheme="minorHAnsi" w:hAnsiTheme="minorHAnsi" w:eastAsiaTheme="minorEastAsia" w:cstheme="minorBidi"/>
                <w:i w:val="0"/>
                <w:lang w:eastAsia="en-GB"/>
              </w:rPr>
              <w:tab/>
            </w:r>
            <w:r w:rsidRPr="00B72BC3">
              <w:rPr>
                <w:rStyle w:val="Hyperlink"/>
              </w:rPr>
              <w:t>The Yogyakarta Principles</w:t>
            </w:r>
            <w:r>
              <w:rPr>
                <w:webHidden/>
              </w:rPr>
              <w:tab/>
            </w:r>
            <w:r>
              <w:rPr>
                <w:webHidden/>
              </w:rPr>
              <w:fldChar w:fldCharType="begin"/>
            </w:r>
            <w:r>
              <w:rPr>
                <w:webHidden/>
              </w:rPr>
              <w:instrText xml:space="preserve"> PAGEREF _Toc85541394 \h </w:instrText>
            </w:r>
            <w:r>
              <w:rPr>
                <w:webHidden/>
              </w:rPr>
            </w:r>
            <w:r>
              <w:rPr>
                <w:webHidden/>
              </w:rPr>
              <w:fldChar w:fldCharType="separate"/>
            </w:r>
            <w:r>
              <w:rPr>
                <w:webHidden/>
              </w:rPr>
              <w:t>46</w:t>
            </w:r>
            <w:r>
              <w:rPr>
                <w:webHidden/>
              </w:rPr>
              <w:fldChar w:fldCharType="end"/>
            </w:r>
          </w:hyperlink>
        </w:p>
        <w:p w:rsidR="00BB54FC" w:rsidRDefault="00BB54FC" w14:paraId="1E3A438F" w14:textId="62996763">
          <w:pPr>
            <w:pStyle w:val="TOC3"/>
            <w:rPr>
              <w:rFonts w:asciiTheme="minorHAnsi" w:hAnsiTheme="minorHAnsi" w:eastAsiaTheme="minorEastAsia" w:cstheme="minorBidi"/>
              <w:i w:val="0"/>
              <w:lang w:eastAsia="en-GB"/>
            </w:rPr>
          </w:pPr>
          <w:hyperlink w:history="1" w:anchor="_Toc85541395">
            <w:r w:rsidRPr="00B72BC3">
              <w:rPr>
                <w:rStyle w:val="Hyperlink"/>
              </w:rPr>
              <w:t>(f)</w:t>
            </w:r>
            <w:r>
              <w:rPr>
                <w:rFonts w:asciiTheme="minorHAnsi" w:hAnsiTheme="minorHAnsi" w:eastAsiaTheme="minorEastAsia" w:cstheme="minorBidi"/>
                <w:i w:val="0"/>
                <w:lang w:eastAsia="en-GB"/>
              </w:rPr>
              <w:tab/>
            </w:r>
            <w:r w:rsidRPr="00B72BC3">
              <w:rPr>
                <w:rStyle w:val="Hyperlink"/>
              </w:rPr>
              <w:t>Other laws</w:t>
            </w:r>
            <w:r>
              <w:rPr>
                <w:webHidden/>
              </w:rPr>
              <w:tab/>
            </w:r>
            <w:r>
              <w:rPr>
                <w:webHidden/>
              </w:rPr>
              <w:fldChar w:fldCharType="begin"/>
            </w:r>
            <w:r>
              <w:rPr>
                <w:webHidden/>
              </w:rPr>
              <w:instrText xml:space="preserve"> PAGEREF _Toc85541395 \h </w:instrText>
            </w:r>
            <w:r>
              <w:rPr>
                <w:webHidden/>
              </w:rPr>
            </w:r>
            <w:r>
              <w:rPr>
                <w:webHidden/>
              </w:rPr>
              <w:fldChar w:fldCharType="separate"/>
            </w:r>
            <w:r>
              <w:rPr>
                <w:webHidden/>
              </w:rPr>
              <w:t>48</w:t>
            </w:r>
            <w:r>
              <w:rPr>
                <w:webHidden/>
              </w:rPr>
              <w:fldChar w:fldCharType="end"/>
            </w:r>
          </w:hyperlink>
        </w:p>
        <w:p w:rsidR="00BB54FC" w:rsidRDefault="00BB54FC" w14:paraId="3C3E74AE" w14:textId="5A8EC619">
          <w:pPr>
            <w:pStyle w:val="TOC2"/>
            <w:rPr>
              <w:rFonts w:asciiTheme="minorHAnsi" w:hAnsiTheme="minorHAnsi" w:eastAsiaTheme="minorEastAsia" w:cstheme="minorBidi"/>
              <w:b w:val="0"/>
              <w:i w:val="0"/>
              <w:lang w:eastAsia="en-GB"/>
            </w:rPr>
          </w:pPr>
          <w:hyperlink w:history="1" w:anchor="_Toc85541396">
            <w:r w:rsidRPr="00B72BC3">
              <w:rPr>
                <w:rStyle w:val="Hyperlink"/>
              </w:rPr>
              <w:t>2.4</w:t>
            </w:r>
            <w:r>
              <w:rPr>
                <w:rFonts w:asciiTheme="minorHAnsi" w:hAnsiTheme="minorHAnsi" w:eastAsiaTheme="minorEastAsia" w:cstheme="minorBidi"/>
                <w:b w:val="0"/>
                <w:i w:val="0"/>
                <w:lang w:eastAsia="en-GB"/>
              </w:rPr>
              <w:tab/>
            </w:r>
            <w:r w:rsidRPr="00B72BC3">
              <w:rPr>
                <w:rStyle w:val="Hyperlink"/>
              </w:rPr>
              <w:t>Applying a human rights framework</w:t>
            </w:r>
            <w:r>
              <w:rPr>
                <w:webHidden/>
              </w:rPr>
              <w:tab/>
            </w:r>
            <w:r>
              <w:rPr>
                <w:webHidden/>
              </w:rPr>
              <w:fldChar w:fldCharType="begin"/>
            </w:r>
            <w:r>
              <w:rPr>
                <w:webHidden/>
              </w:rPr>
              <w:instrText xml:space="preserve"> PAGEREF _Toc85541396 \h </w:instrText>
            </w:r>
            <w:r>
              <w:rPr>
                <w:webHidden/>
              </w:rPr>
            </w:r>
            <w:r>
              <w:rPr>
                <w:webHidden/>
              </w:rPr>
              <w:fldChar w:fldCharType="separate"/>
            </w:r>
            <w:r>
              <w:rPr>
                <w:webHidden/>
              </w:rPr>
              <w:t>48</w:t>
            </w:r>
            <w:r>
              <w:rPr>
                <w:webHidden/>
              </w:rPr>
              <w:fldChar w:fldCharType="end"/>
            </w:r>
          </w:hyperlink>
        </w:p>
        <w:p w:rsidR="00BB54FC" w:rsidRDefault="00BB54FC" w14:paraId="430F05BC" w14:textId="1BA5CB16">
          <w:pPr>
            <w:pStyle w:val="TOC1"/>
            <w:rPr>
              <w:rFonts w:asciiTheme="minorHAnsi" w:hAnsiTheme="minorHAnsi" w:eastAsiaTheme="minorEastAsia" w:cstheme="minorBidi"/>
              <w:b w:val="0"/>
              <w:lang w:eastAsia="en-GB"/>
            </w:rPr>
          </w:pPr>
          <w:hyperlink w:history="1" w:anchor="_Toc85541397">
            <w:r w:rsidRPr="00B72BC3">
              <w:rPr>
                <w:rStyle w:val="Hyperlink"/>
              </w:rPr>
              <w:t>3</w:t>
            </w:r>
            <w:r>
              <w:rPr>
                <w:rFonts w:asciiTheme="minorHAnsi" w:hAnsiTheme="minorHAnsi" w:eastAsiaTheme="minorEastAsia" w:cstheme="minorBidi"/>
                <w:b w:val="0"/>
                <w:lang w:eastAsia="en-GB"/>
              </w:rPr>
              <w:tab/>
            </w:r>
            <w:r w:rsidRPr="00B72BC3">
              <w:rPr>
                <w:rStyle w:val="Hyperlink"/>
              </w:rPr>
              <w:t>Lived experience</w:t>
            </w:r>
            <w:r>
              <w:rPr>
                <w:webHidden/>
              </w:rPr>
              <w:tab/>
            </w:r>
            <w:r>
              <w:rPr>
                <w:webHidden/>
              </w:rPr>
              <w:fldChar w:fldCharType="begin"/>
            </w:r>
            <w:r>
              <w:rPr>
                <w:webHidden/>
              </w:rPr>
              <w:instrText xml:space="preserve"> PAGEREF _Toc85541397 \h </w:instrText>
            </w:r>
            <w:r>
              <w:rPr>
                <w:webHidden/>
              </w:rPr>
            </w:r>
            <w:r>
              <w:rPr>
                <w:webHidden/>
              </w:rPr>
              <w:fldChar w:fldCharType="separate"/>
            </w:r>
            <w:r>
              <w:rPr>
                <w:webHidden/>
              </w:rPr>
              <w:t>50</w:t>
            </w:r>
            <w:r>
              <w:rPr>
                <w:webHidden/>
              </w:rPr>
              <w:fldChar w:fldCharType="end"/>
            </w:r>
          </w:hyperlink>
        </w:p>
        <w:p w:rsidR="00BB54FC" w:rsidRDefault="00BB54FC" w14:paraId="325BE4ED" w14:textId="02E0ACBC">
          <w:pPr>
            <w:pStyle w:val="TOC2"/>
            <w:rPr>
              <w:rFonts w:asciiTheme="minorHAnsi" w:hAnsiTheme="minorHAnsi" w:eastAsiaTheme="minorEastAsia" w:cstheme="minorBidi"/>
              <w:b w:val="0"/>
              <w:i w:val="0"/>
              <w:lang w:eastAsia="en-GB"/>
            </w:rPr>
          </w:pPr>
          <w:hyperlink w:history="1" w:anchor="_Toc85541398">
            <w:r w:rsidRPr="00B72BC3">
              <w:rPr>
                <w:rStyle w:val="Hyperlink"/>
              </w:rPr>
              <w:t>3.1</w:t>
            </w:r>
            <w:r>
              <w:rPr>
                <w:rFonts w:asciiTheme="minorHAnsi" w:hAnsiTheme="minorHAnsi" w:eastAsiaTheme="minorEastAsia" w:cstheme="minorBidi"/>
                <w:b w:val="0"/>
                <w:i w:val="0"/>
                <w:lang w:eastAsia="en-GB"/>
              </w:rPr>
              <w:tab/>
            </w:r>
            <w:r w:rsidRPr="00B72BC3">
              <w:rPr>
                <w:rStyle w:val="Hyperlink"/>
              </w:rPr>
              <w:t>Which medical interventions have occurred?</w:t>
            </w:r>
            <w:r>
              <w:rPr>
                <w:webHidden/>
              </w:rPr>
              <w:tab/>
            </w:r>
            <w:r>
              <w:rPr>
                <w:webHidden/>
              </w:rPr>
              <w:fldChar w:fldCharType="begin"/>
            </w:r>
            <w:r>
              <w:rPr>
                <w:webHidden/>
              </w:rPr>
              <w:instrText xml:space="preserve"> PAGEREF _Toc85541398 \h </w:instrText>
            </w:r>
            <w:r>
              <w:rPr>
                <w:webHidden/>
              </w:rPr>
            </w:r>
            <w:r>
              <w:rPr>
                <w:webHidden/>
              </w:rPr>
              <w:fldChar w:fldCharType="separate"/>
            </w:r>
            <w:r>
              <w:rPr>
                <w:webHidden/>
              </w:rPr>
              <w:t>50</w:t>
            </w:r>
            <w:r>
              <w:rPr>
                <w:webHidden/>
              </w:rPr>
              <w:fldChar w:fldCharType="end"/>
            </w:r>
          </w:hyperlink>
        </w:p>
        <w:p w:rsidR="00BB54FC" w:rsidRDefault="00BB54FC" w14:paraId="0A6A1398" w14:textId="6C0DA125">
          <w:pPr>
            <w:pStyle w:val="TOC2"/>
            <w:rPr>
              <w:rFonts w:asciiTheme="minorHAnsi" w:hAnsiTheme="minorHAnsi" w:eastAsiaTheme="minorEastAsia" w:cstheme="minorBidi"/>
              <w:b w:val="0"/>
              <w:i w:val="0"/>
              <w:lang w:eastAsia="en-GB"/>
            </w:rPr>
          </w:pPr>
          <w:hyperlink w:history="1" w:anchor="_Toc85541399">
            <w:r w:rsidRPr="00B72BC3">
              <w:rPr>
                <w:rStyle w:val="Hyperlink"/>
              </w:rPr>
              <w:t>3.2</w:t>
            </w:r>
            <w:r>
              <w:rPr>
                <w:rFonts w:asciiTheme="minorHAnsi" w:hAnsiTheme="minorHAnsi" w:eastAsiaTheme="minorEastAsia" w:cstheme="minorBidi"/>
                <w:b w:val="0"/>
                <w:i w:val="0"/>
                <w:lang w:eastAsia="en-GB"/>
              </w:rPr>
              <w:tab/>
            </w:r>
            <w:r w:rsidRPr="00B72BC3">
              <w:rPr>
                <w:rStyle w:val="Hyperlink"/>
              </w:rPr>
              <w:t>Impacts of medical interventions</w:t>
            </w:r>
            <w:r>
              <w:rPr>
                <w:webHidden/>
              </w:rPr>
              <w:tab/>
            </w:r>
            <w:r>
              <w:rPr>
                <w:webHidden/>
              </w:rPr>
              <w:fldChar w:fldCharType="begin"/>
            </w:r>
            <w:r>
              <w:rPr>
                <w:webHidden/>
              </w:rPr>
              <w:instrText xml:space="preserve"> PAGEREF _Toc85541399 \h </w:instrText>
            </w:r>
            <w:r>
              <w:rPr>
                <w:webHidden/>
              </w:rPr>
            </w:r>
            <w:r>
              <w:rPr>
                <w:webHidden/>
              </w:rPr>
              <w:fldChar w:fldCharType="separate"/>
            </w:r>
            <w:r>
              <w:rPr>
                <w:webHidden/>
              </w:rPr>
              <w:t>53</w:t>
            </w:r>
            <w:r>
              <w:rPr>
                <w:webHidden/>
              </w:rPr>
              <w:fldChar w:fldCharType="end"/>
            </w:r>
          </w:hyperlink>
        </w:p>
        <w:p w:rsidR="00BB54FC" w:rsidRDefault="00BB54FC" w14:paraId="227E6A3D" w14:textId="667BA66C">
          <w:pPr>
            <w:pStyle w:val="TOC3"/>
            <w:rPr>
              <w:rFonts w:asciiTheme="minorHAnsi" w:hAnsiTheme="minorHAnsi" w:eastAsiaTheme="minorEastAsia" w:cstheme="minorBidi"/>
              <w:i w:val="0"/>
              <w:lang w:eastAsia="en-GB"/>
            </w:rPr>
          </w:pPr>
          <w:hyperlink w:history="1" w:anchor="_Toc85541400">
            <w:r w:rsidRPr="00B72BC3">
              <w:rPr>
                <w:rStyle w:val="Hyperlink"/>
              </w:rPr>
              <w:t>(a)</w:t>
            </w:r>
            <w:r>
              <w:rPr>
                <w:rFonts w:asciiTheme="minorHAnsi" w:hAnsiTheme="minorHAnsi" w:eastAsiaTheme="minorEastAsia" w:cstheme="minorBidi"/>
                <w:i w:val="0"/>
                <w:lang w:eastAsia="en-GB"/>
              </w:rPr>
              <w:tab/>
            </w:r>
            <w:r w:rsidRPr="00B72BC3">
              <w:rPr>
                <w:rStyle w:val="Hyperlink"/>
              </w:rPr>
              <w:t>Physical consequences</w:t>
            </w:r>
            <w:r>
              <w:rPr>
                <w:webHidden/>
              </w:rPr>
              <w:tab/>
            </w:r>
            <w:r>
              <w:rPr>
                <w:webHidden/>
              </w:rPr>
              <w:fldChar w:fldCharType="begin"/>
            </w:r>
            <w:r>
              <w:rPr>
                <w:webHidden/>
              </w:rPr>
              <w:instrText xml:space="preserve"> PAGEREF _Toc85541400 \h </w:instrText>
            </w:r>
            <w:r>
              <w:rPr>
                <w:webHidden/>
              </w:rPr>
            </w:r>
            <w:r>
              <w:rPr>
                <w:webHidden/>
              </w:rPr>
              <w:fldChar w:fldCharType="separate"/>
            </w:r>
            <w:r>
              <w:rPr>
                <w:webHidden/>
              </w:rPr>
              <w:t>53</w:t>
            </w:r>
            <w:r>
              <w:rPr>
                <w:webHidden/>
              </w:rPr>
              <w:fldChar w:fldCharType="end"/>
            </w:r>
          </w:hyperlink>
        </w:p>
        <w:p w:rsidR="00BB54FC" w:rsidRDefault="00BB54FC" w14:paraId="66BE6C97" w14:textId="46EFCA62">
          <w:pPr>
            <w:pStyle w:val="TOC3"/>
            <w:rPr>
              <w:rFonts w:asciiTheme="minorHAnsi" w:hAnsiTheme="minorHAnsi" w:eastAsiaTheme="minorEastAsia" w:cstheme="minorBidi"/>
              <w:i w:val="0"/>
              <w:lang w:eastAsia="en-GB"/>
            </w:rPr>
          </w:pPr>
          <w:hyperlink w:history="1" w:anchor="_Toc85541401">
            <w:r w:rsidRPr="00B72BC3">
              <w:rPr>
                <w:rStyle w:val="Hyperlink"/>
              </w:rPr>
              <w:t>(b)</w:t>
            </w:r>
            <w:r>
              <w:rPr>
                <w:rFonts w:asciiTheme="minorHAnsi" w:hAnsiTheme="minorHAnsi" w:eastAsiaTheme="minorEastAsia" w:cstheme="minorBidi"/>
                <w:i w:val="0"/>
                <w:lang w:eastAsia="en-GB"/>
              </w:rPr>
              <w:tab/>
            </w:r>
            <w:r w:rsidRPr="00B72BC3">
              <w:rPr>
                <w:rStyle w:val="Hyperlink"/>
              </w:rPr>
              <w:t>Stigma and isolation</w:t>
            </w:r>
            <w:r>
              <w:rPr>
                <w:webHidden/>
              </w:rPr>
              <w:tab/>
            </w:r>
            <w:r>
              <w:rPr>
                <w:webHidden/>
              </w:rPr>
              <w:fldChar w:fldCharType="begin"/>
            </w:r>
            <w:r>
              <w:rPr>
                <w:webHidden/>
              </w:rPr>
              <w:instrText xml:space="preserve"> PAGEREF _Toc85541401 \h </w:instrText>
            </w:r>
            <w:r>
              <w:rPr>
                <w:webHidden/>
              </w:rPr>
            </w:r>
            <w:r>
              <w:rPr>
                <w:webHidden/>
              </w:rPr>
              <w:fldChar w:fldCharType="separate"/>
            </w:r>
            <w:r>
              <w:rPr>
                <w:webHidden/>
              </w:rPr>
              <w:t>54</w:t>
            </w:r>
            <w:r>
              <w:rPr>
                <w:webHidden/>
              </w:rPr>
              <w:fldChar w:fldCharType="end"/>
            </w:r>
          </w:hyperlink>
        </w:p>
        <w:p w:rsidR="00BB54FC" w:rsidRDefault="00BB54FC" w14:paraId="3258D32B" w14:textId="77379426">
          <w:pPr>
            <w:pStyle w:val="TOC3"/>
            <w:rPr>
              <w:rFonts w:asciiTheme="minorHAnsi" w:hAnsiTheme="minorHAnsi" w:eastAsiaTheme="minorEastAsia" w:cstheme="minorBidi"/>
              <w:i w:val="0"/>
              <w:lang w:eastAsia="en-GB"/>
            </w:rPr>
          </w:pPr>
          <w:hyperlink w:history="1" w:anchor="_Toc85541402">
            <w:r w:rsidRPr="00B72BC3">
              <w:rPr>
                <w:rStyle w:val="Hyperlink"/>
                <w:rFonts w:cs="Open Sans"/>
              </w:rPr>
              <w:t>(c)</w:t>
            </w:r>
            <w:r>
              <w:rPr>
                <w:rFonts w:asciiTheme="minorHAnsi" w:hAnsiTheme="minorHAnsi" w:eastAsiaTheme="minorEastAsia" w:cstheme="minorBidi"/>
                <w:i w:val="0"/>
                <w:lang w:eastAsia="en-GB"/>
              </w:rPr>
              <w:tab/>
            </w:r>
            <w:r w:rsidRPr="00B72BC3">
              <w:rPr>
                <w:rStyle w:val="Hyperlink"/>
                <w:rFonts w:cs="Open Sans"/>
              </w:rPr>
              <w:t>Invasive practices</w:t>
            </w:r>
            <w:r>
              <w:rPr>
                <w:webHidden/>
              </w:rPr>
              <w:tab/>
            </w:r>
            <w:r>
              <w:rPr>
                <w:webHidden/>
              </w:rPr>
              <w:fldChar w:fldCharType="begin"/>
            </w:r>
            <w:r>
              <w:rPr>
                <w:webHidden/>
              </w:rPr>
              <w:instrText xml:space="preserve"> PAGEREF _Toc85541402 \h </w:instrText>
            </w:r>
            <w:r>
              <w:rPr>
                <w:webHidden/>
              </w:rPr>
            </w:r>
            <w:r>
              <w:rPr>
                <w:webHidden/>
              </w:rPr>
              <w:fldChar w:fldCharType="separate"/>
            </w:r>
            <w:r>
              <w:rPr>
                <w:webHidden/>
              </w:rPr>
              <w:t>56</w:t>
            </w:r>
            <w:r>
              <w:rPr>
                <w:webHidden/>
              </w:rPr>
              <w:fldChar w:fldCharType="end"/>
            </w:r>
          </w:hyperlink>
        </w:p>
        <w:p w:rsidR="00BB54FC" w:rsidRDefault="00BB54FC" w14:paraId="14A9EB32" w14:textId="55034F1F">
          <w:pPr>
            <w:pStyle w:val="TOC3"/>
            <w:rPr>
              <w:rFonts w:asciiTheme="minorHAnsi" w:hAnsiTheme="minorHAnsi" w:eastAsiaTheme="minorEastAsia" w:cstheme="minorBidi"/>
              <w:i w:val="0"/>
              <w:lang w:eastAsia="en-GB"/>
            </w:rPr>
          </w:pPr>
          <w:hyperlink w:history="1" w:anchor="_Toc85541403">
            <w:r w:rsidRPr="00B72BC3">
              <w:rPr>
                <w:rStyle w:val="Hyperlink"/>
                <w:rFonts w:cs="Open Sans"/>
              </w:rPr>
              <w:t>(d)</w:t>
            </w:r>
            <w:r>
              <w:rPr>
                <w:rFonts w:asciiTheme="minorHAnsi" w:hAnsiTheme="minorHAnsi" w:eastAsiaTheme="minorEastAsia" w:cstheme="minorBidi"/>
                <w:i w:val="0"/>
                <w:lang w:eastAsia="en-GB"/>
              </w:rPr>
              <w:tab/>
            </w:r>
            <w:r w:rsidRPr="00B72BC3">
              <w:rPr>
                <w:rStyle w:val="Hyperlink"/>
                <w:rFonts w:cs="Open Sans"/>
              </w:rPr>
              <w:t>Autonomy, identity, personal history</w:t>
            </w:r>
            <w:r>
              <w:rPr>
                <w:webHidden/>
              </w:rPr>
              <w:tab/>
            </w:r>
            <w:r>
              <w:rPr>
                <w:webHidden/>
              </w:rPr>
              <w:fldChar w:fldCharType="begin"/>
            </w:r>
            <w:r>
              <w:rPr>
                <w:webHidden/>
              </w:rPr>
              <w:instrText xml:space="preserve"> PAGEREF _Toc85541403 \h </w:instrText>
            </w:r>
            <w:r>
              <w:rPr>
                <w:webHidden/>
              </w:rPr>
            </w:r>
            <w:r>
              <w:rPr>
                <w:webHidden/>
              </w:rPr>
              <w:fldChar w:fldCharType="separate"/>
            </w:r>
            <w:r>
              <w:rPr>
                <w:webHidden/>
              </w:rPr>
              <w:t>57</w:t>
            </w:r>
            <w:r>
              <w:rPr>
                <w:webHidden/>
              </w:rPr>
              <w:fldChar w:fldCharType="end"/>
            </w:r>
          </w:hyperlink>
        </w:p>
        <w:p w:rsidR="00BB54FC" w:rsidRDefault="00BB54FC" w14:paraId="55B09715" w14:textId="219CE5BF">
          <w:pPr>
            <w:pStyle w:val="TOC3"/>
            <w:rPr>
              <w:rFonts w:asciiTheme="minorHAnsi" w:hAnsiTheme="minorHAnsi" w:eastAsiaTheme="minorEastAsia" w:cstheme="minorBidi"/>
              <w:i w:val="0"/>
              <w:lang w:eastAsia="en-GB"/>
            </w:rPr>
          </w:pPr>
          <w:hyperlink w:history="1" w:anchor="_Toc85541404">
            <w:r w:rsidRPr="00B72BC3">
              <w:rPr>
                <w:rStyle w:val="Hyperlink"/>
                <w:rFonts w:cs="Open Sans"/>
              </w:rPr>
              <w:t>(e)</w:t>
            </w:r>
            <w:r>
              <w:rPr>
                <w:rFonts w:asciiTheme="minorHAnsi" w:hAnsiTheme="minorHAnsi" w:eastAsiaTheme="minorEastAsia" w:cstheme="minorBidi"/>
                <w:i w:val="0"/>
                <w:lang w:eastAsia="en-GB"/>
              </w:rPr>
              <w:tab/>
            </w:r>
            <w:r w:rsidRPr="00B72BC3">
              <w:rPr>
                <w:rStyle w:val="Hyperlink"/>
                <w:rFonts w:cs="Open Sans"/>
              </w:rPr>
              <w:t>Relationships</w:t>
            </w:r>
            <w:r>
              <w:rPr>
                <w:webHidden/>
              </w:rPr>
              <w:tab/>
            </w:r>
            <w:r>
              <w:rPr>
                <w:webHidden/>
              </w:rPr>
              <w:fldChar w:fldCharType="begin"/>
            </w:r>
            <w:r>
              <w:rPr>
                <w:webHidden/>
              </w:rPr>
              <w:instrText xml:space="preserve"> PAGEREF _Toc85541404 \h </w:instrText>
            </w:r>
            <w:r>
              <w:rPr>
                <w:webHidden/>
              </w:rPr>
            </w:r>
            <w:r>
              <w:rPr>
                <w:webHidden/>
              </w:rPr>
              <w:fldChar w:fldCharType="separate"/>
            </w:r>
            <w:r>
              <w:rPr>
                <w:webHidden/>
              </w:rPr>
              <w:t>58</w:t>
            </w:r>
            <w:r>
              <w:rPr>
                <w:webHidden/>
              </w:rPr>
              <w:fldChar w:fldCharType="end"/>
            </w:r>
          </w:hyperlink>
        </w:p>
        <w:p w:rsidR="00BB54FC" w:rsidRDefault="00BB54FC" w14:paraId="72A0EA20" w14:textId="1D6F5485">
          <w:pPr>
            <w:pStyle w:val="TOC3"/>
            <w:rPr>
              <w:rFonts w:asciiTheme="minorHAnsi" w:hAnsiTheme="minorHAnsi" w:eastAsiaTheme="minorEastAsia" w:cstheme="minorBidi"/>
              <w:i w:val="0"/>
              <w:lang w:eastAsia="en-GB"/>
            </w:rPr>
          </w:pPr>
          <w:hyperlink w:history="1" w:anchor="_Toc85541405">
            <w:r w:rsidRPr="00B72BC3">
              <w:rPr>
                <w:rStyle w:val="Hyperlink"/>
                <w:rFonts w:cs="Open Sans"/>
              </w:rPr>
              <w:t>(f)</w:t>
            </w:r>
            <w:r>
              <w:rPr>
                <w:rFonts w:asciiTheme="minorHAnsi" w:hAnsiTheme="minorHAnsi" w:eastAsiaTheme="minorEastAsia" w:cstheme="minorBidi"/>
                <w:i w:val="0"/>
                <w:lang w:eastAsia="en-GB"/>
              </w:rPr>
              <w:tab/>
            </w:r>
            <w:r w:rsidRPr="00B72BC3">
              <w:rPr>
                <w:rStyle w:val="Hyperlink"/>
                <w:rFonts w:cs="Open Sans"/>
              </w:rPr>
              <w:t>Mental health</w:t>
            </w:r>
            <w:r>
              <w:rPr>
                <w:webHidden/>
              </w:rPr>
              <w:tab/>
            </w:r>
            <w:r>
              <w:rPr>
                <w:webHidden/>
              </w:rPr>
              <w:fldChar w:fldCharType="begin"/>
            </w:r>
            <w:r>
              <w:rPr>
                <w:webHidden/>
              </w:rPr>
              <w:instrText xml:space="preserve"> PAGEREF _Toc85541405 \h </w:instrText>
            </w:r>
            <w:r>
              <w:rPr>
                <w:webHidden/>
              </w:rPr>
            </w:r>
            <w:r>
              <w:rPr>
                <w:webHidden/>
              </w:rPr>
              <w:fldChar w:fldCharType="separate"/>
            </w:r>
            <w:r>
              <w:rPr>
                <w:webHidden/>
              </w:rPr>
              <w:t>59</w:t>
            </w:r>
            <w:r>
              <w:rPr>
                <w:webHidden/>
              </w:rPr>
              <w:fldChar w:fldCharType="end"/>
            </w:r>
          </w:hyperlink>
        </w:p>
        <w:p w:rsidR="00BB54FC" w:rsidRDefault="00BB54FC" w14:paraId="2242C43D" w14:textId="6D0FCFEE">
          <w:pPr>
            <w:pStyle w:val="TOC3"/>
            <w:rPr>
              <w:rFonts w:asciiTheme="minorHAnsi" w:hAnsiTheme="minorHAnsi" w:eastAsiaTheme="minorEastAsia" w:cstheme="minorBidi"/>
              <w:i w:val="0"/>
              <w:lang w:eastAsia="en-GB"/>
            </w:rPr>
          </w:pPr>
          <w:hyperlink w:history="1" w:anchor="_Toc85541406">
            <w:r w:rsidRPr="00B72BC3">
              <w:rPr>
                <w:rStyle w:val="Hyperlink"/>
              </w:rPr>
              <w:t>(g)</w:t>
            </w:r>
            <w:r>
              <w:rPr>
                <w:rFonts w:asciiTheme="minorHAnsi" w:hAnsiTheme="minorHAnsi" w:eastAsiaTheme="minorEastAsia" w:cstheme="minorBidi"/>
                <w:i w:val="0"/>
                <w:lang w:eastAsia="en-GB"/>
              </w:rPr>
              <w:tab/>
            </w:r>
            <w:r w:rsidRPr="00B72BC3">
              <w:rPr>
                <w:rStyle w:val="Hyperlink"/>
              </w:rPr>
              <w:t>Other experiences</w:t>
            </w:r>
            <w:r>
              <w:rPr>
                <w:webHidden/>
              </w:rPr>
              <w:tab/>
            </w:r>
            <w:r>
              <w:rPr>
                <w:webHidden/>
              </w:rPr>
              <w:fldChar w:fldCharType="begin"/>
            </w:r>
            <w:r>
              <w:rPr>
                <w:webHidden/>
              </w:rPr>
              <w:instrText xml:space="preserve"> PAGEREF _Toc85541406 \h </w:instrText>
            </w:r>
            <w:r>
              <w:rPr>
                <w:webHidden/>
              </w:rPr>
            </w:r>
            <w:r>
              <w:rPr>
                <w:webHidden/>
              </w:rPr>
              <w:fldChar w:fldCharType="separate"/>
            </w:r>
            <w:r>
              <w:rPr>
                <w:webHidden/>
              </w:rPr>
              <w:t>59</w:t>
            </w:r>
            <w:r>
              <w:rPr>
                <w:webHidden/>
              </w:rPr>
              <w:fldChar w:fldCharType="end"/>
            </w:r>
          </w:hyperlink>
        </w:p>
        <w:p w:rsidR="00BB54FC" w:rsidRDefault="00BB54FC" w14:paraId="766F2050" w14:textId="3746F6B7">
          <w:pPr>
            <w:pStyle w:val="TOC2"/>
            <w:rPr>
              <w:rFonts w:asciiTheme="minorHAnsi" w:hAnsiTheme="minorHAnsi" w:eastAsiaTheme="minorEastAsia" w:cstheme="minorBidi"/>
              <w:b w:val="0"/>
              <w:i w:val="0"/>
              <w:lang w:eastAsia="en-GB"/>
            </w:rPr>
          </w:pPr>
          <w:hyperlink w:history="1" w:anchor="_Toc85541407">
            <w:r w:rsidRPr="00B72BC3">
              <w:rPr>
                <w:rStyle w:val="Hyperlink"/>
                <w:bCs/>
              </w:rPr>
              <w:t>3.3</w:t>
            </w:r>
            <w:r>
              <w:rPr>
                <w:rFonts w:asciiTheme="minorHAnsi" w:hAnsiTheme="minorHAnsi" w:eastAsiaTheme="minorEastAsia" w:cstheme="minorBidi"/>
                <w:b w:val="0"/>
                <w:i w:val="0"/>
                <w:lang w:eastAsia="en-GB"/>
              </w:rPr>
              <w:tab/>
            </w:r>
            <w:r w:rsidRPr="00B72BC3">
              <w:rPr>
                <w:rStyle w:val="Hyperlink"/>
              </w:rPr>
              <w:t>Experience of parents and legal guardians</w:t>
            </w:r>
            <w:r>
              <w:rPr>
                <w:webHidden/>
              </w:rPr>
              <w:tab/>
            </w:r>
            <w:r>
              <w:rPr>
                <w:webHidden/>
              </w:rPr>
              <w:fldChar w:fldCharType="begin"/>
            </w:r>
            <w:r>
              <w:rPr>
                <w:webHidden/>
              </w:rPr>
              <w:instrText xml:space="preserve"> PAGEREF _Toc85541407 \h </w:instrText>
            </w:r>
            <w:r>
              <w:rPr>
                <w:webHidden/>
              </w:rPr>
            </w:r>
            <w:r>
              <w:rPr>
                <w:webHidden/>
              </w:rPr>
              <w:fldChar w:fldCharType="separate"/>
            </w:r>
            <w:r>
              <w:rPr>
                <w:webHidden/>
              </w:rPr>
              <w:t>60</w:t>
            </w:r>
            <w:r>
              <w:rPr>
                <w:webHidden/>
              </w:rPr>
              <w:fldChar w:fldCharType="end"/>
            </w:r>
          </w:hyperlink>
        </w:p>
        <w:p w:rsidR="00BB54FC" w:rsidRDefault="00BB54FC" w14:paraId="20379A32" w14:textId="0AB71E26">
          <w:pPr>
            <w:pStyle w:val="TOC2"/>
            <w:rPr>
              <w:rFonts w:asciiTheme="minorHAnsi" w:hAnsiTheme="minorHAnsi" w:eastAsiaTheme="minorEastAsia" w:cstheme="minorBidi"/>
              <w:b w:val="0"/>
              <w:i w:val="0"/>
              <w:lang w:eastAsia="en-GB"/>
            </w:rPr>
          </w:pPr>
          <w:hyperlink w:history="1" w:anchor="_Toc85541408">
            <w:r w:rsidRPr="00B72BC3">
              <w:rPr>
                <w:rStyle w:val="Hyperlink"/>
              </w:rPr>
              <w:t>3.4</w:t>
            </w:r>
            <w:r>
              <w:rPr>
                <w:rFonts w:asciiTheme="minorHAnsi" w:hAnsiTheme="minorHAnsi" w:eastAsiaTheme="minorEastAsia" w:cstheme="minorBidi"/>
                <w:b w:val="0"/>
                <w:i w:val="0"/>
                <w:lang w:eastAsia="en-GB"/>
              </w:rPr>
              <w:tab/>
            </w:r>
            <w:r w:rsidRPr="00B72BC3">
              <w:rPr>
                <w:rStyle w:val="Hyperlink"/>
              </w:rPr>
              <w:t>Addressing stigma</w:t>
            </w:r>
            <w:r>
              <w:rPr>
                <w:webHidden/>
              </w:rPr>
              <w:tab/>
            </w:r>
            <w:r>
              <w:rPr>
                <w:webHidden/>
              </w:rPr>
              <w:fldChar w:fldCharType="begin"/>
            </w:r>
            <w:r>
              <w:rPr>
                <w:webHidden/>
              </w:rPr>
              <w:instrText xml:space="preserve"> PAGEREF _Toc85541408 \h </w:instrText>
            </w:r>
            <w:r>
              <w:rPr>
                <w:webHidden/>
              </w:rPr>
            </w:r>
            <w:r>
              <w:rPr>
                <w:webHidden/>
              </w:rPr>
              <w:fldChar w:fldCharType="separate"/>
            </w:r>
            <w:r>
              <w:rPr>
                <w:webHidden/>
              </w:rPr>
              <w:t>61</w:t>
            </w:r>
            <w:r>
              <w:rPr>
                <w:webHidden/>
              </w:rPr>
              <w:fldChar w:fldCharType="end"/>
            </w:r>
          </w:hyperlink>
        </w:p>
        <w:p w:rsidR="00BB54FC" w:rsidRDefault="00BB54FC" w14:paraId="102330D5" w14:textId="151CB4C0">
          <w:pPr>
            <w:pStyle w:val="TOC1"/>
            <w:rPr>
              <w:rFonts w:asciiTheme="minorHAnsi" w:hAnsiTheme="minorHAnsi" w:eastAsiaTheme="minorEastAsia" w:cstheme="minorBidi"/>
              <w:b w:val="0"/>
              <w:lang w:eastAsia="en-GB"/>
            </w:rPr>
          </w:pPr>
          <w:hyperlink w:history="1" w:anchor="_Toc85541409">
            <w:r w:rsidRPr="00B72BC3">
              <w:rPr>
                <w:rStyle w:val="Hyperlink"/>
              </w:rPr>
              <w:t>4</w:t>
            </w:r>
            <w:r>
              <w:rPr>
                <w:rFonts w:asciiTheme="minorHAnsi" w:hAnsiTheme="minorHAnsi" w:eastAsiaTheme="minorEastAsia" w:cstheme="minorBidi"/>
                <w:b w:val="0"/>
                <w:lang w:eastAsia="en-GB"/>
              </w:rPr>
              <w:tab/>
            </w:r>
            <w:r w:rsidRPr="00B72BC3">
              <w:rPr>
                <w:rStyle w:val="Hyperlink"/>
              </w:rPr>
              <w:t>Consent and decision making</w:t>
            </w:r>
            <w:r>
              <w:rPr>
                <w:webHidden/>
              </w:rPr>
              <w:tab/>
            </w:r>
            <w:r>
              <w:rPr>
                <w:webHidden/>
              </w:rPr>
              <w:fldChar w:fldCharType="begin"/>
            </w:r>
            <w:r>
              <w:rPr>
                <w:webHidden/>
              </w:rPr>
              <w:instrText xml:space="preserve"> PAGEREF _Toc85541409 \h </w:instrText>
            </w:r>
            <w:r>
              <w:rPr>
                <w:webHidden/>
              </w:rPr>
            </w:r>
            <w:r>
              <w:rPr>
                <w:webHidden/>
              </w:rPr>
              <w:fldChar w:fldCharType="separate"/>
            </w:r>
            <w:r>
              <w:rPr>
                <w:webHidden/>
              </w:rPr>
              <w:t>65</w:t>
            </w:r>
            <w:r>
              <w:rPr>
                <w:webHidden/>
              </w:rPr>
              <w:fldChar w:fldCharType="end"/>
            </w:r>
          </w:hyperlink>
        </w:p>
        <w:p w:rsidR="00BB54FC" w:rsidRDefault="00BB54FC" w14:paraId="3115057D" w14:textId="56A182D9">
          <w:pPr>
            <w:pStyle w:val="TOC2"/>
            <w:rPr>
              <w:rFonts w:asciiTheme="minorHAnsi" w:hAnsiTheme="minorHAnsi" w:eastAsiaTheme="minorEastAsia" w:cstheme="minorBidi"/>
              <w:b w:val="0"/>
              <w:i w:val="0"/>
              <w:lang w:eastAsia="en-GB"/>
            </w:rPr>
          </w:pPr>
          <w:hyperlink w:history="1" w:anchor="_Toc85541410">
            <w:r w:rsidRPr="00B72BC3">
              <w:rPr>
                <w:rStyle w:val="Hyperlink"/>
              </w:rPr>
              <w:t>4.1</w:t>
            </w:r>
            <w:r>
              <w:rPr>
                <w:rFonts w:asciiTheme="minorHAnsi" w:hAnsiTheme="minorHAnsi" w:eastAsiaTheme="minorEastAsia" w:cstheme="minorBidi"/>
                <w:b w:val="0"/>
                <w:i w:val="0"/>
                <w:lang w:eastAsia="en-GB"/>
              </w:rPr>
              <w:tab/>
            </w:r>
            <w:r w:rsidRPr="00B72BC3">
              <w:rPr>
                <w:rStyle w:val="Hyperlink"/>
              </w:rPr>
              <w:t>Consent and decision making – under Australian law</w:t>
            </w:r>
            <w:r>
              <w:rPr>
                <w:webHidden/>
              </w:rPr>
              <w:tab/>
            </w:r>
            <w:r>
              <w:rPr>
                <w:webHidden/>
              </w:rPr>
              <w:fldChar w:fldCharType="begin"/>
            </w:r>
            <w:r>
              <w:rPr>
                <w:webHidden/>
              </w:rPr>
              <w:instrText xml:space="preserve"> PAGEREF _Toc85541410 \h </w:instrText>
            </w:r>
            <w:r>
              <w:rPr>
                <w:webHidden/>
              </w:rPr>
            </w:r>
            <w:r>
              <w:rPr>
                <w:webHidden/>
              </w:rPr>
              <w:fldChar w:fldCharType="separate"/>
            </w:r>
            <w:r>
              <w:rPr>
                <w:webHidden/>
              </w:rPr>
              <w:t>66</w:t>
            </w:r>
            <w:r>
              <w:rPr>
                <w:webHidden/>
              </w:rPr>
              <w:fldChar w:fldCharType="end"/>
            </w:r>
          </w:hyperlink>
        </w:p>
        <w:p w:rsidR="00BB54FC" w:rsidRDefault="00BB54FC" w14:paraId="0E806966" w14:textId="67B08927">
          <w:pPr>
            <w:pStyle w:val="TOC3"/>
            <w:rPr>
              <w:rFonts w:asciiTheme="minorHAnsi" w:hAnsiTheme="minorHAnsi" w:eastAsiaTheme="minorEastAsia" w:cstheme="minorBidi"/>
              <w:i w:val="0"/>
              <w:lang w:eastAsia="en-GB"/>
            </w:rPr>
          </w:pPr>
          <w:hyperlink w:history="1" w:anchor="_Toc85541411">
            <w:r w:rsidRPr="00B72BC3">
              <w:rPr>
                <w:rStyle w:val="Hyperlink"/>
              </w:rPr>
              <w:t>(a)</w:t>
            </w:r>
            <w:r>
              <w:rPr>
                <w:rFonts w:asciiTheme="minorHAnsi" w:hAnsiTheme="minorHAnsi" w:eastAsiaTheme="minorEastAsia" w:cstheme="minorBidi"/>
                <w:i w:val="0"/>
                <w:lang w:eastAsia="en-GB"/>
              </w:rPr>
              <w:tab/>
            </w:r>
            <w:r w:rsidRPr="00B72BC3">
              <w:rPr>
                <w:rStyle w:val="Hyperlink"/>
              </w:rPr>
              <w:t>The current legal framework</w:t>
            </w:r>
            <w:r>
              <w:rPr>
                <w:webHidden/>
              </w:rPr>
              <w:tab/>
            </w:r>
            <w:r>
              <w:rPr>
                <w:webHidden/>
              </w:rPr>
              <w:fldChar w:fldCharType="begin"/>
            </w:r>
            <w:r>
              <w:rPr>
                <w:webHidden/>
              </w:rPr>
              <w:instrText xml:space="preserve"> PAGEREF _Toc85541411 \h </w:instrText>
            </w:r>
            <w:r>
              <w:rPr>
                <w:webHidden/>
              </w:rPr>
            </w:r>
            <w:r>
              <w:rPr>
                <w:webHidden/>
              </w:rPr>
              <w:fldChar w:fldCharType="separate"/>
            </w:r>
            <w:r>
              <w:rPr>
                <w:webHidden/>
              </w:rPr>
              <w:t>66</w:t>
            </w:r>
            <w:r>
              <w:rPr>
                <w:webHidden/>
              </w:rPr>
              <w:fldChar w:fldCharType="end"/>
            </w:r>
          </w:hyperlink>
        </w:p>
        <w:p w:rsidR="00BB54FC" w:rsidRDefault="00BB54FC" w14:paraId="6F58317D" w14:textId="0B7E563B">
          <w:pPr>
            <w:pStyle w:val="TOC3"/>
            <w:rPr>
              <w:rFonts w:asciiTheme="minorHAnsi" w:hAnsiTheme="minorHAnsi" w:eastAsiaTheme="minorEastAsia" w:cstheme="minorBidi"/>
              <w:i w:val="0"/>
              <w:lang w:eastAsia="en-GB"/>
            </w:rPr>
          </w:pPr>
          <w:hyperlink w:history="1" w:anchor="_Toc85541412">
            <w:r w:rsidRPr="00B72BC3">
              <w:rPr>
                <w:rStyle w:val="Hyperlink"/>
                <w:rFonts w:cs="Open Sans"/>
              </w:rPr>
              <w:t>(b)</w:t>
            </w:r>
            <w:r>
              <w:rPr>
                <w:rFonts w:asciiTheme="minorHAnsi" w:hAnsiTheme="minorHAnsi" w:eastAsiaTheme="minorEastAsia" w:cstheme="minorBidi"/>
                <w:i w:val="0"/>
                <w:lang w:eastAsia="en-GB"/>
              </w:rPr>
              <w:tab/>
            </w:r>
            <w:r w:rsidRPr="00B72BC3">
              <w:rPr>
                <w:rStyle w:val="Hyperlink"/>
                <w:rFonts w:cs="Open Sans"/>
              </w:rPr>
              <w:t>Children</w:t>
            </w:r>
            <w:r>
              <w:rPr>
                <w:webHidden/>
              </w:rPr>
              <w:tab/>
            </w:r>
            <w:r>
              <w:rPr>
                <w:webHidden/>
              </w:rPr>
              <w:fldChar w:fldCharType="begin"/>
            </w:r>
            <w:r>
              <w:rPr>
                <w:webHidden/>
              </w:rPr>
              <w:instrText xml:space="preserve"> PAGEREF _Toc85541412 \h </w:instrText>
            </w:r>
            <w:r>
              <w:rPr>
                <w:webHidden/>
              </w:rPr>
            </w:r>
            <w:r>
              <w:rPr>
                <w:webHidden/>
              </w:rPr>
              <w:fldChar w:fldCharType="separate"/>
            </w:r>
            <w:r>
              <w:rPr>
                <w:webHidden/>
              </w:rPr>
              <w:t>69</w:t>
            </w:r>
            <w:r>
              <w:rPr>
                <w:webHidden/>
              </w:rPr>
              <w:fldChar w:fldCharType="end"/>
            </w:r>
          </w:hyperlink>
        </w:p>
        <w:p w:rsidR="00BB54FC" w:rsidRDefault="00BB54FC" w14:paraId="256F7489" w14:textId="4378929E">
          <w:pPr>
            <w:pStyle w:val="TOC3"/>
            <w:rPr>
              <w:rFonts w:asciiTheme="minorHAnsi" w:hAnsiTheme="minorHAnsi" w:eastAsiaTheme="minorEastAsia" w:cstheme="minorBidi"/>
              <w:i w:val="0"/>
              <w:lang w:eastAsia="en-GB"/>
            </w:rPr>
          </w:pPr>
          <w:hyperlink w:history="1" w:anchor="_Toc85541413">
            <w:r w:rsidRPr="00B72BC3">
              <w:rPr>
                <w:rStyle w:val="Hyperlink"/>
              </w:rPr>
              <w:t>(c)</w:t>
            </w:r>
            <w:r>
              <w:rPr>
                <w:rFonts w:asciiTheme="minorHAnsi" w:hAnsiTheme="minorHAnsi" w:eastAsiaTheme="minorEastAsia" w:cstheme="minorBidi"/>
                <w:i w:val="0"/>
                <w:lang w:eastAsia="en-GB"/>
              </w:rPr>
              <w:tab/>
            </w:r>
            <w:r w:rsidRPr="00B72BC3">
              <w:rPr>
                <w:rStyle w:val="Hyperlink"/>
              </w:rPr>
              <w:t>Special medical procedures</w:t>
            </w:r>
            <w:r>
              <w:rPr>
                <w:webHidden/>
              </w:rPr>
              <w:tab/>
            </w:r>
            <w:r>
              <w:rPr>
                <w:webHidden/>
              </w:rPr>
              <w:fldChar w:fldCharType="begin"/>
            </w:r>
            <w:r>
              <w:rPr>
                <w:webHidden/>
              </w:rPr>
              <w:instrText xml:space="preserve"> PAGEREF _Toc85541413 \h </w:instrText>
            </w:r>
            <w:r>
              <w:rPr>
                <w:webHidden/>
              </w:rPr>
            </w:r>
            <w:r>
              <w:rPr>
                <w:webHidden/>
              </w:rPr>
              <w:fldChar w:fldCharType="separate"/>
            </w:r>
            <w:r>
              <w:rPr>
                <w:webHidden/>
              </w:rPr>
              <w:t>71</w:t>
            </w:r>
            <w:r>
              <w:rPr>
                <w:webHidden/>
              </w:rPr>
              <w:fldChar w:fldCharType="end"/>
            </w:r>
          </w:hyperlink>
        </w:p>
        <w:p w:rsidR="00BB54FC" w:rsidRDefault="00BB54FC" w14:paraId="3FD66371" w14:textId="191C6CBF">
          <w:pPr>
            <w:pStyle w:val="TOC2"/>
            <w:rPr>
              <w:rFonts w:asciiTheme="minorHAnsi" w:hAnsiTheme="minorHAnsi" w:eastAsiaTheme="minorEastAsia" w:cstheme="minorBidi"/>
              <w:b w:val="0"/>
              <w:i w:val="0"/>
              <w:lang w:eastAsia="en-GB"/>
            </w:rPr>
          </w:pPr>
          <w:hyperlink w:history="1" w:anchor="_Toc85541414">
            <w:r w:rsidRPr="00B72BC3">
              <w:rPr>
                <w:rStyle w:val="Hyperlink"/>
              </w:rPr>
              <w:t>4.2</w:t>
            </w:r>
            <w:r>
              <w:rPr>
                <w:rFonts w:asciiTheme="minorHAnsi" w:hAnsiTheme="minorHAnsi" w:eastAsiaTheme="minorEastAsia" w:cstheme="minorBidi"/>
                <w:b w:val="0"/>
                <w:i w:val="0"/>
                <w:lang w:eastAsia="en-GB"/>
              </w:rPr>
              <w:tab/>
            </w:r>
            <w:r w:rsidRPr="00B72BC3">
              <w:rPr>
                <w:rStyle w:val="Hyperlink"/>
              </w:rPr>
              <w:t>Informed consent under international human rights law</w:t>
            </w:r>
            <w:r>
              <w:rPr>
                <w:webHidden/>
              </w:rPr>
              <w:tab/>
            </w:r>
            <w:r>
              <w:rPr>
                <w:webHidden/>
              </w:rPr>
              <w:fldChar w:fldCharType="begin"/>
            </w:r>
            <w:r>
              <w:rPr>
                <w:webHidden/>
              </w:rPr>
              <w:instrText xml:space="preserve"> PAGEREF _Toc85541414 \h </w:instrText>
            </w:r>
            <w:r>
              <w:rPr>
                <w:webHidden/>
              </w:rPr>
            </w:r>
            <w:r>
              <w:rPr>
                <w:webHidden/>
              </w:rPr>
              <w:fldChar w:fldCharType="separate"/>
            </w:r>
            <w:r>
              <w:rPr>
                <w:webHidden/>
              </w:rPr>
              <w:t>74</w:t>
            </w:r>
            <w:r>
              <w:rPr>
                <w:webHidden/>
              </w:rPr>
              <w:fldChar w:fldCharType="end"/>
            </w:r>
          </w:hyperlink>
        </w:p>
        <w:p w:rsidR="00BB54FC" w:rsidRDefault="00BB54FC" w14:paraId="1EB1BE52" w14:textId="13C0C96A">
          <w:pPr>
            <w:pStyle w:val="TOC3"/>
            <w:rPr>
              <w:rFonts w:asciiTheme="minorHAnsi" w:hAnsiTheme="minorHAnsi" w:eastAsiaTheme="minorEastAsia" w:cstheme="minorBidi"/>
              <w:i w:val="0"/>
              <w:lang w:eastAsia="en-GB"/>
            </w:rPr>
          </w:pPr>
          <w:hyperlink w:history="1" w:anchor="_Toc85541415">
            <w:r w:rsidRPr="00B72BC3">
              <w:rPr>
                <w:rStyle w:val="Hyperlink"/>
              </w:rPr>
              <w:t>(a)</w:t>
            </w:r>
            <w:r>
              <w:rPr>
                <w:rFonts w:asciiTheme="minorHAnsi" w:hAnsiTheme="minorHAnsi" w:eastAsiaTheme="minorEastAsia" w:cstheme="minorBidi"/>
                <w:i w:val="0"/>
                <w:lang w:eastAsia="en-GB"/>
              </w:rPr>
              <w:tab/>
            </w:r>
            <w:r w:rsidRPr="00B72BC3">
              <w:rPr>
                <w:rStyle w:val="Hyperlink"/>
              </w:rPr>
              <w:t>Children’s right to participate in decision making</w:t>
            </w:r>
            <w:r>
              <w:rPr>
                <w:webHidden/>
              </w:rPr>
              <w:tab/>
            </w:r>
            <w:r>
              <w:rPr>
                <w:webHidden/>
              </w:rPr>
              <w:fldChar w:fldCharType="begin"/>
            </w:r>
            <w:r>
              <w:rPr>
                <w:webHidden/>
              </w:rPr>
              <w:instrText xml:space="preserve"> PAGEREF _Toc85541415 \h </w:instrText>
            </w:r>
            <w:r>
              <w:rPr>
                <w:webHidden/>
              </w:rPr>
            </w:r>
            <w:r>
              <w:rPr>
                <w:webHidden/>
              </w:rPr>
              <w:fldChar w:fldCharType="separate"/>
            </w:r>
            <w:r>
              <w:rPr>
                <w:webHidden/>
              </w:rPr>
              <w:t>75</w:t>
            </w:r>
            <w:r>
              <w:rPr>
                <w:webHidden/>
              </w:rPr>
              <w:fldChar w:fldCharType="end"/>
            </w:r>
          </w:hyperlink>
        </w:p>
        <w:p w:rsidR="00BB54FC" w:rsidRDefault="00BB54FC" w14:paraId="23DF0238" w14:textId="39EFE082">
          <w:pPr>
            <w:pStyle w:val="TOC2"/>
            <w:rPr>
              <w:rFonts w:asciiTheme="minorHAnsi" w:hAnsiTheme="minorHAnsi" w:eastAsiaTheme="minorEastAsia" w:cstheme="minorBidi"/>
              <w:b w:val="0"/>
              <w:i w:val="0"/>
              <w:lang w:eastAsia="en-GB"/>
            </w:rPr>
          </w:pPr>
          <w:hyperlink w:history="1" w:anchor="_Toc85541416">
            <w:r w:rsidRPr="00B72BC3">
              <w:rPr>
                <w:rStyle w:val="Hyperlink"/>
              </w:rPr>
              <w:t>4.3</w:t>
            </w:r>
            <w:r>
              <w:rPr>
                <w:rFonts w:asciiTheme="minorHAnsi" w:hAnsiTheme="minorHAnsi" w:eastAsiaTheme="minorEastAsia" w:cstheme="minorBidi"/>
                <w:b w:val="0"/>
                <w:i w:val="0"/>
                <w:lang w:eastAsia="en-GB"/>
              </w:rPr>
              <w:tab/>
            </w:r>
            <w:r w:rsidRPr="00B72BC3">
              <w:rPr>
                <w:rStyle w:val="Hyperlink"/>
              </w:rPr>
              <w:t>Clinical guidance on informed consent for people born with variations in sex characteristics</w:t>
            </w:r>
            <w:r>
              <w:rPr>
                <w:webHidden/>
              </w:rPr>
              <w:tab/>
            </w:r>
            <w:r>
              <w:rPr>
                <w:webHidden/>
              </w:rPr>
              <w:fldChar w:fldCharType="begin"/>
            </w:r>
            <w:r>
              <w:rPr>
                <w:webHidden/>
              </w:rPr>
              <w:instrText xml:space="preserve"> PAGEREF _Toc85541416 \h </w:instrText>
            </w:r>
            <w:r>
              <w:rPr>
                <w:webHidden/>
              </w:rPr>
            </w:r>
            <w:r>
              <w:rPr>
                <w:webHidden/>
              </w:rPr>
              <w:fldChar w:fldCharType="separate"/>
            </w:r>
            <w:r>
              <w:rPr>
                <w:webHidden/>
              </w:rPr>
              <w:t>76</w:t>
            </w:r>
            <w:r>
              <w:rPr>
                <w:webHidden/>
              </w:rPr>
              <w:fldChar w:fldCharType="end"/>
            </w:r>
          </w:hyperlink>
        </w:p>
        <w:p w:rsidR="00BB54FC" w:rsidRDefault="00BB54FC" w14:paraId="3D64DB30" w14:textId="17C5312B">
          <w:pPr>
            <w:pStyle w:val="TOC2"/>
            <w:rPr>
              <w:rFonts w:asciiTheme="minorHAnsi" w:hAnsiTheme="minorHAnsi" w:eastAsiaTheme="minorEastAsia" w:cstheme="minorBidi"/>
              <w:b w:val="0"/>
              <w:i w:val="0"/>
              <w:lang w:eastAsia="en-GB"/>
            </w:rPr>
          </w:pPr>
          <w:hyperlink w:history="1" w:anchor="_Toc85541417">
            <w:r w:rsidRPr="00B72BC3">
              <w:rPr>
                <w:rStyle w:val="Hyperlink"/>
                <w:rFonts w:ascii="Arial" w:hAnsi="Arial" w:cs="Arial"/>
              </w:rPr>
              <w:t>4.4</w:t>
            </w:r>
            <w:r>
              <w:rPr>
                <w:rFonts w:asciiTheme="minorHAnsi" w:hAnsiTheme="minorHAnsi" w:eastAsiaTheme="minorEastAsia" w:cstheme="minorBidi"/>
                <w:b w:val="0"/>
                <w:i w:val="0"/>
                <w:lang w:eastAsia="en-GB"/>
              </w:rPr>
              <w:tab/>
            </w:r>
            <w:r w:rsidRPr="00B72BC3">
              <w:rPr>
                <w:rStyle w:val="Hyperlink"/>
              </w:rPr>
              <w:t>Giving and obtaining consent</w:t>
            </w:r>
            <w:r w:rsidRPr="00B72BC3">
              <w:rPr>
                <w:rStyle w:val="Hyperlink"/>
                <w:rFonts w:cs="Open Sans"/>
              </w:rPr>
              <w:t>:</w:t>
            </w:r>
            <w:r w:rsidRPr="00B72BC3">
              <w:rPr>
                <w:rStyle w:val="Hyperlink"/>
              </w:rPr>
              <w:t xml:space="preserve"> past and current practice</w:t>
            </w:r>
            <w:r>
              <w:rPr>
                <w:webHidden/>
              </w:rPr>
              <w:tab/>
            </w:r>
            <w:r>
              <w:rPr>
                <w:webHidden/>
              </w:rPr>
              <w:fldChar w:fldCharType="begin"/>
            </w:r>
            <w:r>
              <w:rPr>
                <w:webHidden/>
              </w:rPr>
              <w:instrText xml:space="preserve"> PAGEREF _Toc85541417 \h </w:instrText>
            </w:r>
            <w:r>
              <w:rPr>
                <w:webHidden/>
              </w:rPr>
            </w:r>
            <w:r>
              <w:rPr>
                <w:webHidden/>
              </w:rPr>
              <w:fldChar w:fldCharType="separate"/>
            </w:r>
            <w:r>
              <w:rPr>
                <w:webHidden/>
              </w:rPr>
              <w:t>79</w:t>
            </w:r>
            <w:r>
              <w:rPr>
                <w:webHidden/>
              </w:rPr>
              <w:fldChar w:fldCharType="end"/>
            </w:r>
          </w:hyperlink>
        </w:p>
        <w:p w:rsidR="00BB54FC" w:rsidRDefault="00BB54FC" w14:paraId="613986CB" w14:textId="0C3DCDBF">
          <w:pPr>
            <w:pStyle w:val="TOC3"/>
            <w:rPr>
              <w:rFonts w:asciiTheme="minorHAnsi" w:hAnsiTheme="minorHAnsi" w:eastAsiaTheme="minorEastAsia" w:cstheme="minorBidi"/>
              <w:i w:val="0"/>
              <w:lang w:eastAsia="en-GB"/>
            </w:rPr>
          </w:pPr>
          <w:hyperlink w:history="1" w:anchor="_Toc85541418">
            <w:r w:rsidRPr="00B72BC3">
              <w:rPr>
                <w:rStyle w:val="Hyperlink"/>
              </w:rPr>
              <w:t>(a)</w:t>
            </w:r>
            <w:r>
              <w:rPr>
                <w:rFonts w:asciiTheme="minorHAnsi" w:hAnsiTheme="minorHAnsi" w:eastAsiaTheme="minorEastAsia" w:cstheme="minorBidi"/>
                <w:i w:val="0"/>
                <w:lang w:eastAsia="en-GB"/>
              </w:rPr>
              <w:tab/>
            </w:r>
            <w:r w:rsidRPr="00B72BC3">
              <w:rPr>
                <w:rStyle w:val="Hyperlink"/>
              </w:rPr>
              <w:t>Clinical stakeholders</w:t>
            </w:r>
            <w:r>
              <w:rPr>
                <w:webHidden/>
              </w:rPr>
              <w:tab/>
            </w:r>
            <w:r>
              <w:rPr>
                <w:webHidden/>
              </w:rPr>
              <w:fldChar w:fldCharType="begin"/>
            </w:r>
            <w:r>
              <w:rPr>
                <w:webHidden/>
              </w:rPr>
              <w:instrText xml:space="preserve"> PAGEREF _Toc85541418 \h </w:instrText>
            </w:r>
            <w:r>
              <w:rPr>
                <w:webHidden/>
              </w:rPr>
            </w:r>
            <w:r>
              <w:rPr>
                <w:webHidden/>
              </w:rPr>
              <w:fldChar w:fldCharType="separate"/>
            </w:r>
            <w:r>
              <w:rPr>
                <w:webHidden/>
              </w:rPr>
              <w:t>79</w:t>
            </w:r>
            <w:r>
              <w:rPr>
                <w:webHidden/>
              </w:rPr>
              <w:fldChar w:fldCharType="end"/>
            </w:r>
          </w:hyperlink>
        </w:p>
        <w:p w:rsidR="00BB54FC" w:rsidRDefault="00BB54FC" w14:paraId="76F50916" w14:textId="60467C41">
          <w:pPr>
            <w:pStyle w:val="TOC3"/>
            <w:rPr>
              <w:rFonts w:asciiTheme="minorHAnsi" w:hAnsiTheme="minorHAnsi" w:eastAsiaTheme="minorEastAsia" w:cstheme="minorBidi"/>
              <w:i w:val="0"/>
              <w:lang w:eastAsia="en-GB"/>
            </w:rPr>
          </w:pPr>
          <w:hyperlink w:history="1" w:anchor="_Toc85541419">
            <w:r w:rsidRPr="00B72BC3">
              <w:rPr>
                <w:rStyle w:val="Hyperlink"/>
              </w:rPr>
              <w:t>(b)</w:t>
            </w:r>
            <w:r>
              <w:rPr>
                <w:rFonts w:asciiTheme="minorHAnsi" w:hAnsiTheme="minorHAnsi" w:eastAsiaTheme="minorEastAsia" w:cstheme="minorBidi"/>
                <w:i w:val="0"/>
                <w:lang w:eastAsia="en-GB"/>
              </w:rPr>
              <w:tab/>
            </w:r>
            <w:r w:rsidRPr="00B72BC3">
              <w:rPr>
                <w:rStyle w:val="Hyperlink"/>
              </w:rPr>
              <w:t>Experience of people born with variations in sex characteristics</w:t>
            </w:r>
            <w:r>
              <w:rPr>
                <w:webHidden/>
              </w:rPr>
              <w:tab/>
            </w:r>
            <w:r>
              <w:rPr>
                <w:webHidden/>
              </w:rPr>
              <w:fldChar w:fldCharType="begin"/>
            </w:r>
            <w:r>
              <w:rPr>
                <w:webHidden/>
              </w:rPr>
              <w:instrText xml:space="preserve"> PAGEREF _Toc85541419 \h </w:instrText>
            </w:r>
            <w:r>
              <w:rPr>
                <w:webHidden/>
              </w:rPr>
            </w:r>
            <w:r>
              <w:rPr>
                <w:webHidden/>
              </w:rPr>
              <w:fldChar w:fldCharType="separate"/>
            </w:r>
            <w:r>
              <w:rPr>
                <w:webHidden/>
              </w:rPr>
              <w:t>83</w:t>
            </w:r>
            <w:r>
              <w:rPr>
                <w:webHidden/>
              </w:rPr>
              <w:fldChar w:fldCharType="end"/>
            </w:r>
          </w:hyperlink>
        </w:p>
        <w:p w:rsidR="00BB54FC" w:rsidRDefault="00BB54FC" w14:paraId="316A8E0C" w14:textId="45C59F04">
          <w:pPr>
            <w:pStyle w:val="TOC3"/>
            <w:rPr>
              <w:rFonts w:asciiTheme="minorHAnsi" w:hAnsiTheme="minorHAnsi" w:eastAsiaTheme="minorEastAsia" w:cstheme="minorBidi"/>
              <w:i w:val="0"/>
              <w:lang w:eastAsia="en-GB"/>
            </w:rPr>
          </w:pPr>
          <w:hyperlink w:history="1" w:anchor="_Toc85541420">
            <w:r w:rsidRPr="00B72BC3">
              <w:rPr>
                <w:rStyle w:val="Hyperlink"/>
              </w:rPr>
              <w:t>(c)</w:t>
            </w:r>
            <w:r>
              <w:rPr>
                <w:rFonts w:asciiTheme="minorHAnsi" w:hAnsiTheme="minorHAnsi" w:eastAsiaTheme="minorEastAsia" w:cstheme="minorBidi"/>
                <w:i w:val="0"/>
                <w:lang w:eastAsia="en-GB"/>
              </w:rPr>
              <w:tab/>
            </w:r>
            <w:r w:rsidRPr="00B72BC3">
              <w:rPr>
                <w:rStyle w:val="Hyperlink"/>
              </w:rPr>
              <w:t>Experience of parents and legal guardians</w:t>
            </w:r>
            <w:r>
              <w:rPr>
                <w:webHidden/>
              </w:rPr>
              <w:tab/>
            </w:r>
            <w:r>
              <w:rPr>
                <w:webHidden/>
              </w:rPr>
              <w:fldChar w:fldCharType="begin"/>
            </w:r>
            <w:r>
              <w:rPr>
                <w:webHidden/>
              </w:rPr>
              <w:instrText xml:space="preserve"> PAGEREF _Toc85541420 \h </w:instrText>
            </w:r>
            <w:r>
              <w:rPr>
                <w:webHidden/>
              </w:rPr>
            </w:r>
            <w:r>
              <w:rPr>
                <w:webHidden/>
              </w:rPr>
              <w:fldChar w:fldCharType="separate"/>
            </w:r>
            <w:r>
              <w:rPr>
                <w:webHidden/>
              </w:rPr>
              <w:t>88</w:t>
            </w:r>
            <w:r>
              <w:rPr>
                <w:webHidden/>
              </w:rPr>
              <w:fldChar w:fldCharType="end"/>
            </w:r>
          </w:hyperlink>
        </w:p>
        <w:p w:rsidR="00BB54FC" w:rsidRDefault="00BB54FC" w14:paraId="5FD84257" w14:textId="69951739">
          <w:pPr>
            <w:pStyle w:val="TOC3"/>
            <w:rPr>
              <w:rFonts w:asciiTheme="minorHAnsi" w:hAnsiTheme="minorHAnsi" w:eastAsiaTheme="minorEastAsia" w:cstheme="minorBidi"/>
              <w:i w:val="0"/>
              <w:lang w:eastAsia="en-GB"/>
            </w:rPr>
          </w:pPr>
          <w:hyperlink w:history="1" w:anchor="_Toc85541421">
            <w:r w:rsidRPr="00B72BC3">
              <w:rPr>
                <w:rStyle w:val="Hyperlink"/>
              </w:rPr>
              <w:t>(d)</w:t>
            </w:r>
            <w:r>
              <w:rPr>
                <w:rFonts w:asciiTheme="minorHAnsi" w:hAnsiTheme="minorHAnsi" w:eastAsiaTheme="minorEastAsia" w:cstheme="minorBidi"/>
                <w:i w:val="0"/>
                <w:lang w:eastAsia="en-GB"/>
              </w:rPr>
              <w:tab/>
            </w:r>
            <w:r w:rsidRPr="00B72BC3">
              <w:rPr>
                <w:rStyle w:val="Hyperlink"/>
              </w:rPr>
              <w:t>Providing adequate information to ensure informed consent</w:t>
            </w:r>
            <w:r>
              <w:rPr>
                <w:webHidden/>
              </w:rPr>
              <w:tab/>
            </w:r>
            <w:r>
              <w:rPr>
                <w:webHidden/>
              </w:rPr>
              <w:fldChar w:fldCharType="begin"/>
            </w:r>
            <w:r>
              <w:rPr>
                <w:webHidden/>
              </w:rPr>
              <w:instrText xml:space="preserve"> PAGEREF _Toc85541421 \h </w:instrText>
            </w:r>
            <w:r>
              <w:rPr>
                <w:webHidden/>
              </w:rPr>
            </w:r>
            <w:r>
              <w:rPr>
                <w:webHidden/>
              </w:rPr>
              <w:fldChar w:fldCharType="separate"/>
            </w:r>
            <w:r>
              <w:rPr>
                <w:webHidden/>
              </w:rPr>
              <w:t>90</w:t>
            </w:r>
            <w:r>
              <w:rPr>
                <w:webHidden/>
              </w:rPr>
              <w:fldChar w:fldCharType="end"/>
            </w:r>
          </w:hyperlink>
        </w:p>
        <w:p w:rsidR="00BB54FC" w:rsidRDefault="00BB54FC" w14:paraId="0675F799" w14:textId="60C4AFFA">
          <w:pPr>
            <w:pStyle w:val="TOC2"/>
            <w:rPr>
              <w:rFonts w:asciiTheme="minorHAnsi" w:hAnsiTheme="minorHAnsi" w:eastAsiaTheme="minorEastAsia" w:cstheme="minorBidi"/>
              <w:b w:val="0"/>
              <w:i w:val="0"/>
              <w:lang w:eastAsia="en-GB"/>
            </w:rPr>
          </w:pPr>
          <w:hyperlink w:history="1" w:anchor="_Toc85541422">
            <w:r w:rsidRPr="00B72BC3">
              <w:rPr>
                <w:rStyle w:val="Hyperlink"/>
              </w:rPr>
              <w:t>4.5</w:t>
            </w:r>
            <w:r>
              <w:rPr>
                <w:rFonts w:asciiTheme="minorHAnsi" w:hAnsiTheme="minorHAnsi" w:eastAsiaTheme="minorEastAsia" w:cstheme="minorBidi"/>
                <w:b w:val="0"/>
                <w:i w:val="0"/>
                <w:lang w:eastAsia="en-GB"/>
              </w:rPr>
              <w:tab/>
            </w:r>
            <w:r w:rsidRPr="00B72BC3">
              <w:rPr>
                <w:rStyle w:val="Hyperlink"/>
              </w:rPr>
              <w:t>Emerging themes</w:t>
            </w:r>
            <w:r>
              <w:rPr>
                <w:webHidden/>
              </w:rPr>
              <w:tab/>
            </w:r>
            <w:r>
              <w:rPr>
                <w:webHidden/>
              </w:rPr>
              <w:fldChar w:fldCharType="begin"/>
            </w:r>
            <w:r>
              <w:rPr>
                <w:webHidden/>
              </w:rPr>
              <w:instrText xml:space="preserve"> PAGEREF _Toc85541422 \h </w:instrText>
            </w:r>
            <w:r>
              <w:rPr>
                <w:webHidden/>
              </w:rPr>
            </w:r>
            <w:r>
              <w:rPr>
                <w:webHidden/>
              </w:rPr>
              <w:fldChar w:fldCharType="separate"/>
            </w:r>
            <w:r>
              <w:rPr>
                <w:webHidden/>
              </w:rPr>
              <w:t>91</w:t>
            </w:r>
            <w:r>
              <w:rPr>
                <w:webHidden/>
              </w:rPr>
              <w:fldChar w:fldCharType="end"/>
            </w:r>
          </w:hyperlink>
        </w:p>
        <w:p w:rsidR="00BB54FC" w:rsidRDefault="00BB54FC" w14:paraId="76A862F3" w14:textId="7C05C5A9">
          <w:pPr>
            <w:pStyle w:val="TOC3"/>
            <w:rPr>
              <w:rFonts w:asciiTheme="minorHAnsi" w:hAnsiTheme="minorHAnsi" w:eastAsiaTheme="minorEastAsia" w:cstheme="minorBidi"/>
              <w:i w:val="0"/>
              <w:lang w:eastAsia="en-GB"/>
            </w:rPr>
          </w:pPr>
          <w:hyperlink w:history="1" w:anchor="_Toc85541423">
            <w:r w:rsidRPr="00B72BC3">
              <w:rPr>
                <w:rStyle w:val="Hyperlink"/>
              </w:rPr>
              <w:t>(a)</w:t>
            </w:r>
            <w:r>
              <w:rPr>
                <w:rFonts w:asciiTheme="minorHAnsi" w:hAnsiTheme="minorHAnsi" w:eastAsiaTheme="minorEastAsia" w:cstheme="minorBidi"/>
                <w:i w:val="0"/>
                <w:lang w:eastAsia="en-GB"/>
              </w:rPr>
              <w:tab/>
            </w:r>
            <w:r w:rsidRPr="00B72BC3">
              <w:rPr>
                <w:rStyle w:val="Hyperlink"/>
              </w:rPr>
              <w:t>What is required for informed consent</w:t>
            </w:r>
            <w:r>
              <w:rPr>
                <w:webHidden/>
              </w:rPr>
              <w:tab/>
            </w:r>
            <w:r>
              <w:rPr>
                <w:webHidden/>
              </w:rPr>
              <w:fldChar w:fldCharType="begin"/>
            </w:r>
            <w:r>
              <w:rPr>
                <w:webHidden/>
              </w:rPr>
              <w:instrText xml:space="preserve"> PAGEREF _Toc85541423 \h </w:instrText>
            </w:r>
            <w:r>
              <w:rPr>
                <w:webHidden/>
              </w:rPr>
            </w:r>
            <w:r>
              <w:rPr>
                <w:webHidden/>
              </w:rPr>
              <w:fldChar w:fldCharType="separate"/>
            </w:r>
            <w:r>
              <w:rPr>
                <w:webHidden/>
              </w:rPr>
              <w:t>92</w:t>
            </w:r>
            <w:r>
              <w:rPr>
                <w:webHidden/>
              </w:rPr>
              <w:fldChar w:fldCharType="end"/>
            </w:r>
          </w:hyperlink>
        </w:p>
        <w:p w:rsidR="00BB54FC" w:rsidRDefault="00BB54FC" w14:paraId="34E8F139" w14:textId="38BAA0F6">
          <w:pPr>
            <w:pStyle w:val="TOC3"/>
            <w:rPr>
              <w:rFonts w:asciiTheme="minorHAnsi" w:hAnsiTheme="minorHAnsi" w:eastAsiaTheme="minorEastAsia" w:cstheme="minorBidi"/>
              <w:i w:val="0"/>
              <w:lang w:eastAsia="en-GB"/>
            </w:rPr>
          </w:pPr>
          <w:hyperlink w:history="1" w:anchor="_Toc85541424">
            <w:r w:rsidRPr="00B72BC3">
              <w:rPr>
                <w:rStyle w:val="Hyperlink"/>
              </w:rPr>
              <w:t>(b)</w:t>
            </w:r>
            <w:r>
              <w:rPr>
                <w:rFonts w:asciiTheme="minorHAnsi" w:hAnsiTheme="minorHAnsi" w:eastAsiaTheme="minorEastAsia" w:cstheme="minorBidi"/>
                <w:i w:val="0"/>
                <w:lang w:eastAsia="en-GB"/>
              </w:rPr>
              <w:tab/>
            </w:r>
            <w:r w:rsidRPr="00B72BC3">
              <w:rPr>
                <w:rStyle w:val="Hyperlink"/>
              </w:rPr>
              <w:t>Barriers to informed consent</w:t>
            </w:r>
            <w:r>
              <w:rPr>
                <w:webHidden/>
              </w:rPr>
              <w:tab/>
            </w:r>
            <w:r>
              <w:rPr>
                <w:webHidden/>
              </w:rPr>
              <w:fldChar w:fldCharType="begin"/>
            </w:r>
            <w:r>
              <w:rPr>
                <w:webHidden/>
              </w:rPr>
              <w:instrText xml:space="preserve"> PAGEREF _Toc85541424 \h </w:instrText>
            </w:r>
            <w:r>
              <w:rPr>
                <w:webHidden/>
              </w:rPr>
            </w:r>
            <w:r>
              <w:rPr>
                <w:webHidden/>
              </w:rPr>
              <w:fldChar w:fldCharType="separate"/>
            </w:r>
            <w:r>
              <w:rPr>
                <w:webHidden/>
              </w:rPr>
              <w:t>93</w:t>
            </w:r>
            <w:r>
              <w:rPr>
                <w:webHidden/>
              </w:rPr>
              <w:fldChar w:fldCharType="end"/>
            </w:r>
          </w:hyperlink>
        </w:p>
        <w:p w:rsidR="00BB54FC" w:rsidRDefault="00BB54FC" w14:paraId="677AF5BD" w14:textId="18141A65">
          <w:pPr>
            <w:pStyle w:val="TOC2"/>
            <w:rPr>
              <w:rFonts w:asciiTheme="minorHAnsi" w:hAnsiTheme="minorHAnsi" w:eastAsiaTheme="minorEastAsia" w:cstheme="minorBidi"/>
              <w:b w:val="0"/>
              <w:i w:val="0"/>
              <w:lang w:eastAsia="en-GB"/>
            </w:rPr>
          </w:pPr>
          <w:hyperlink w:history="1" w:anchor="_Toc85541425">
            <w:r w:rsidRPr="00B72BC3">
              <w:rPr>
                <w:rStyle w:val="Hyperlink"/>
              </w:rPr>
              <w:t>4.6</w:t>
            </w:r>
            <w:r>
              <w:rPr>
                <w:rFonts w:asciiTheme="minorHAnsi" w:hAnsiTheme="minorHAnsi" w:eastAsiaTheme="minorEastAsia" w:cstheme="minorBidi"/>
                <w:b w:val="0"/>
                <w:i w:val="0"/>
                <w:lang w:eastAsia="en-GB"/>
              </w:rPr>
              <w:tab/>
            </w:r>
            <w:r w:rsidRPr="00B72BC3">
              <w:rPr>
                <w:rStyle w:val="Hyperlink"/>
              </w:rPr>
              <w:t>Ensuring consent is informed</w:t>
            </w:r>
            <w:r>
              <w:rPr>
                <w:webHidden/>
              </w:rPr>
              <w:tab/>
            </w:r>
            <w:r>
              <w:rPr>
                <w:webHidden/>
              </w:rPr>
              <w:fldChar w:fldCharType="begin"/>
            </w:r>
            <w:r>
              <w:rPr>
                <w:webHidden/>
              </w:rPr>
              <w:instrText xml:space="preserve"> PAGEREF _Toc85541425 \h </w:instrText>
            </w:r>
            <w:r>
              <w:rPr>
                <w:webHidden/>
              </w:rPr>
            </w:r>
            <w:r>
              <w:rPr>
                <w:webHidden/>
              </w:rPr>
              <w:fldChar w:fldCharType="separate"/>
            </w:r>
            <w:r>
              <w:rPr>
                <w:webHidden/>
              </w:rPr>
              <w:t>96</w:t>
            </w:r>
            <w:r>
              <w:rPr>
                <w:webHidden/>
              </w:rPr>
              <w:fldChar w:fldCharType="end"/>
            </w:r>
          </w:hyperlink>
        </w:p>
        <w:p w:rsidR="00BB54FC" w:rsidRDefault="00BB54FC" w14:paraId="73325249" w14:textId="755E1A5B">
          <w:pPr>
            <w:pStyle w:val="TOC1"/>
            <w:rPr>
              <w:rFonts w:asciiTheme="minorHAnsi" w:hAnsiTheme="minorHAnsi" w:eastAsiaTheme="minorEastAsia" w:cstheme="minorBidi"/>
              <w:b w:val="0"/>
              <w:lang w:eastAsia="en-GB"/>
            </w:rPr>
          </w:pPr>
          <w:hyperlink w:history="1" w:anchor="_Toc85541426">
            <w:r w:rsidRPr="00B72BC3">
              <w:rPr>
                <w:rStyle w:val="Hyperlink"/>
              </w:rPr>
              <w:t>5</w:t>
            </w:r>
            <w:r>
              <w:rPr>
                <w:rFonts w:asciiTheme="minorHAnsi" w:hAnsiTheme="minorHAnsi" w:eastAsiaTheme="minorEastAsia" w:cstheme="minorBidi"/>
                <w:b w:val="0"/>
                <w:lang w:eastAsia="en-GB"/>
              </w:rPr>
              <w:tab/>
            </w:r>
            <w:r w:rsidRPr="00B72BC3">
              <w:rPr>
                <w:rStyle w:val="Hyperlink"/>
              </w:rPr>
              <w:t>Medical necessity of interventions</w:t>
            </w:r>
            <w:r>
              <w:rPr>
                <w:webHidden/>
              </w:rPr>
              <w:tab/>
            </w:r>
            <w:r>
              <w:rPr>
                <w:webHidden/>
              </w:rPr>
              <w:fldChar w:fldCharType="begin"/>
            </w:r>
            <w:r>
              <w:rPr>
                <w:webHidden/>
              </w:rPr>
              <w:instrText xml:space="preserve"> PAGEREF _Toc85541426 \h </w:instrText>
            </w:r>
            <w:r>
              <w:rPr>
                <w:webHidden/>
              </w:rPr>
            </w:r>
            <w:r>
              <w:rPr>
                <w:webHidden/>
              </w:rPr>
              <w:fldChar w:fldCharType="separate"/>
            </w:r>
            <w:r>
              <w:rPr>
                <w:webHidden/>
              </w:rPr>
              <w:t>99</w:t>
            </w:r>
            <w:r>
              <w:rPr>
                <w:webHidden/>
              </w:rPr>
              <w:fldChar w:fldCharType="end"/>
            </w:r>
          </w:hyperlink>
        </w:p>
        <w:p w:rsidR="00BB54FC" w:rsidRDefault="00BB54FC" w14:paraId="6C8BB9AC" w14:textId="26B243DB">
          <w:pPr>
            <w:pStyle w:val="TOC2"/>
            <w:rPr>
              <w:rFonts w:asciiTheme="minorHAnsi" w:hAnsiTheme="minorHAnsi" w:eastAsiaTheme="minorEastAsia" w:cstheme="minorBidi"/>
              <w:b w:val="0"/>
              <w:i w:val="0"/>
              <w:lang w:eastAsia="en-GB"/>
            </w:rPr>
          </w:pPr>
          <w:hyperlink w:history="1" w:anchor="_Toc85541427">
            <w:r w:rsidRPr="00B72BC3">
              <w:rPr>
                <w:rStyle w:val="Hyperlink"/>
              </w:rPr>
              <w:t>5.1</w:t>
            </w:r>
            <w:r>
              <w:rPr>
                <w:rFonts w:asciiTheme="minorHAnsi" w:hAnsiTheme="minorHAnsi" w:eastAsiaTheme="minorEastAsia" w:cstheme="minorBidi"/>
                <w:b w:val="0"/>
                <w:i w:val="0"/>
                <w:lang w:eastAsia="en-GB"/>
              </w:rPr>
              <w:tab/>
            </w:r>
            <w:r w:rsidRPr="00B72BC3">
              <w:rPr>
                <w:rStyle w:val="Hyperlink"/>
              </w:rPr>
              <w:t>Justifying medical intervention</w:t>
            </w:r>
            <w:r>
              <w:rPr>
                <w:webHidden/>
              </w:rPr>
              <w:tab/>
            </w:r>
            <w:r>
              <w:rPr>
                <w:webHidden/>
              </w:rPr>
              <w:fldChar w:fldCharType="begin"/>
            </w:r>
            <w:r>
              <w:rPr>
                <w:webHidden/>
              </w:rPr>
              <w:instrText xml:space="preserve"> PAGEREF _Toc85541427 \h </w:instrText>
            </w:r>
            <w:r>
              <w:rPr>
                <w:webHidden/>
              </w:rPr>
            </w:r>
            <w:r>
              <w:rPr>
                <w:webHidden/>
              </w:rPr>
              <w:fldChar w:fldCharType="separate"/>
            </w:r>
            <w:r>
              <w:rPr>
                <w:webHidden/>
              </w:rPr>
              <w:t>99</w:t>
            </w:r>
            <w:r>
              <w:rPr>
                <w:webHidden/>
              </w:rPr>
              <w:fldChar w:fldCharType="end"/>
            </w:r>
          </w:hyperlink>
        </w:p>
        <w:p w:rsidR="00BB54FC" w:rsidRDefault="00BB54FC" w14:paraId="475EDEC4" w14:textId="113670A4">
          <w:pPr>
            <w:pStyle w:val="TOC2"/>
            <w:rPr>
              <w:rFonts w:asciiTheme="minorHAnsi" w:hAnsiTheme="minorHAnsi" w:eastAsiaTheme="minorEastAsia" w:cstheme="minorBidi"/>
              <w:b w:val="0"/>
              <w:i w:val="0"/>
              <w:lang w:eastAsia="en-GB"/>
            </w:rPr>
          </w:pPr>
          <w:hyperlink w:history="1" w:anchor="_Toc85541428">
            <w:r w:rsidRPr="00B72BC3">
              <w:rPr>
                <w:rStyle w:val="Hyperlink"/>
              </w:rPr>
              <w:t>5.2</w:t>
            </w:r>
            <w:r>
              <w:rPr>
                <w:rFonts w:asciiTheme="minorHAnsi" w:hAnsiTheme="minorHAnsi" w:eastAsiaTheme="minorEastAsia" w:cstheme="minorBidi"/>
                <w:b w:val="0"/>
                <w:i w:val="0"/>
                <w:lang w:eastAsia="en-GB"/>
              </w:rPr>
              <w:tab/>
            </w:r>
            <w:r w:rsidRPr="00B72BC3">
              <w:rPr>
                <w:rStyle w:val="Hyperlink"/>
              </w:rPr>
              <w:t>Consent and medical necessity</w:t>
            </w:r>
            <w:r>
              <w:rPr>
                <w:webHidden/>
              </w:rPr>
              <w:tab/>
            </w:r>
            <w:r>
              <w:rPr>
                <w:webHidden/>
              </w:rPr>
              <w:fldChar w:fldCharType="begin"/>
            </w:r>
            <w:r>
              <w:rPr>
                <w:webHidden/>
              </w:rPr>
              <w:instrText xml:space="preserve"> PAGEREF _Toc85541428 \h </w:instrText>
            </w:r>
            <w:r>
              <w:rPr>
                <w:webHidden/>
              </w:rPr>
            </w:r>
            <w:r>
              <w:rPr>
                <w:webHidden/>
              </w:rPr>
              <w:fldChar w:fldCharType="separate"/>
            </w:r>
            <w:r>
              <w:rPr>
                <w:webHidden/>
              </w:rPr>
              <w:t>100</w:t>
            </w:r>
            <w:r>
              <w:rPr>
                <w:webHidden/>
              </w:rPr>
              <w:fldChar w:fldCharType="end"/>
            </w:r>
          </w:hyperlink>
        </w:p>
        <w:p w:rsidR="00BB54FC" w:rsidRDefault="00BB54FC" w14:paraId="1D94D29B" w14:textId="68C84B52">
          <w:pPr>
            <w:pStyle w:val="TOC2"/>
            <w:rPr>
              <w:rFonts w:asciiTheme="minorHAnsi" w:hAnsiTheme="minorHAnsi" w:eastAsiaTheme="minorEastAsia" w:cstheme="minorBidi"/>
              <w:b w:val="0"/>
              <w:i w:val="0"/>
              <w:lang w:eastAsia="en-GB"/>
            </w:rPr>
          </w:pPr>
          <w:hyperlink w:history="1" w:anchor="_Toc85541429">
            <w:r w:rsidRPr="00B72BC3">
              <w:rPr>
                <w:rStyle w:val="Hyperlink"/>
              </w:rPr>
              <w:t>5.3</w:t>
            </w:r>
            <w:r>
              <w:rPr>
                <w:rFonts w:asciiTheme="minorHAnsi" w:hAnsiTheme="minorHAnsi" w:eastAsiaTheme="minorEastAsia" w:cstheme="minorBidi"/>
                <w:b w:val="0"/>
                <w:i w:val="0"/>
                <w:lang w:eastAsia="en-GB"/>
              </w:rPr>
              <w:tab/>
            </w:r>
            <w:r w:rsidRPr="00B72BC3">
              <w:rPr>
                <w:rStyle w:val="Hyperlink"/>
              </w:rPr>
              <w:t>Rationales and circumstances claimed to justify medical interventions</w:t>
            </w:r>
            <w:r>
              <w:rPr>
                <w:webHidden/>
              </w:rPr>
              <w:tab/>
            </w:r>
            <w:r>
              <w:rPr>
                <w:webHidden/>
              </w:rPr>
              <w:fldChar w:fldCharType="begin"/>
            </w:r>
            <w:r>
              <w:rPr>
                <w:webHidden/>
              </w:rPr>
              <w:instrText xml:space="preserve"> PAGEREF _Toc85541429 \h </w:instrText>
            </w:r>
            <w:r>
              <w:rPr>
                <w:webHidden/>
              </w:rPr>
            </w:r>
            <w:r>
              <w:rPr>
                <w:webHidden/>
              </w:rPr>
              <w:fldChar w:fldCharType="separate"/>
            </w:r>
            <w:r>
              <w:rPr>
                <w:webHidden/>
              </w:rPr>
              <w:t>102</w:t>
            </w:r>
            <w:r>
              <w:rPr>
                <w:webHidden/>
              </w:rPr>
              <w:fldChar w:fldCharType="end"/>
            </w:r>
          </w:hyperlink>
        </w:p>
        <w:p w:rsidR="00BB54FC" w:rsidRDefault="00BB54FC" w14:paraId="71605022" w14:textId="61868386">
          <w:pPr>
            <w:pStyle w:val="TOC3"/>
            <w:rPr>
              <w:rFonts w:asciiTheme="minorHAnsi" w:hAnsiTheme="minorHAnsi" w:eastAsiaTheme="minorEastAsia" w:cstheme="minorBidi"/>
              <w:i w:val="0"/>
              <w:lang w:eastAsia="en-GB"/>
            </w:rPr>
          </w:pPr>
          <w:hyperlink w:history="1" w:anchor="_Toc85541430">
            <w:r w:rsidRPr="00B72BC3">
              <w:rPr>
                <w:rStyle w:val="Hyperlink"/>
                <w:rFonts w:cs="Open Sans"/>
                <w:lang w:eastAsia="en-US"/>
              </w:rPr>
              <w:t>(a)</w:t>
            </w:r>
            <w:r>
              <w:rPr>
                <w:rFonts w:asciiTheme="minorHAnsi" w:hAnsiTheme="minorHAnsi" w:eastAsiaTheme="minorEastAsia" w:cstheme="minorBidi"/>
                <w:i w:val="0"/>
                <w:lang w:eastAsia="en-GB"/>
              </w:rPr>
              <w:tab/>
            </w:r>
            <w:r w:rsidRPr="00B72BC3">
              <w:rPr>
                <w:rStyle w:val="Hyperlink"/>
              </w:rPr>
              <w:t>Situations where urgent treatment is required</w:t>
            </w:r>
            <w:r>
              <w:rPr>
                <w:webHidden/>
              </w:rPr>
              <w:tab/>
            </w:r>
            <w:r>
              <w:rPr>
                <w:webHidden/>
              </w:rPr>
              <w:fldChar w:fldCharType="begin"/>
            </w:r>
            <w:r>
              <w:rPr>
                <w:webHidden/>
              </w:rPr>
              <w:instrText xml:space="preserve"> PAGEREF _Toc85541430 \h </w:instrText>
            </w:r>
            <w:r>
              <w:rPr>
                <w:webHidden/>
              </w:rPr>
            </w:r>
            <w:r>
              <w:rPr>
                <w:webHidden/>
              </w:rPr>
              <w:fldChar w:fldCharType="separate"/>
            </w:r>
            <w:r>
              <w:rPr>
                <w:webHidden/>
              </w:rPr>
              <w:t>102</w:t>
            </w:r>
            <w:r>
              <w:rPr>
                <w:webHidden/>
              </w:rPr>
              <w:fldChar w:fldCharType="end"/>
            </w:r>
          </w:hyperlink>
        </w:p>
        <w:p w:rsidR="00BB54FC" w:rsidRDefault="00BB54FC" w14:paraId="16EF21AA" w14:textId="26A8646E">
          <w:pPr>
            <w:pStyle w:val="TOC3"/>
            <w:rPr>
              <w:rFonts w:asciiTheme="minorHAnsi" w:hAnsiTheme="minorHAnsi" w:eastAsiaTheme="minorEastAsia" w:cstheme="minorBidi"/>
              <w:i w:val="0"/>
              <w:lang w:eastAsia="en-GB"/>
            </w:rPr>
          </w:pPr>
          <w:hyperlink w:history="1" w:anchor="_Toc85541431">
            <w:r w:rsidRPr="00B72BC3">
              <w:rPr>
                <w:rStyle w:val="Hyperlink"/>
              </w:rPr>
              <w:t>(b)</w:t>
            </w:r>
            <w:r>
              <w:rPr>
                <w:rFonts w:asciiTheme="minorHAnsi" w:hAnsiTheme="minorHAnsi" w:eastAsiaTheme="minorEastAsia" w:cstheme="minorBidi"/>
                <w:i w:val="0"/>
                <w:lang w:eastAsia="en-GB"/>
              </w:rPr>
              <w:tab/>
            </w:r>
            <w:r w:rsidRPr="00B72BC3">
              <w:rPr>
                <w:rStyle w:val="Hyperlink"/>
              </w:rPr>
              <w:t>Protecting physical health</w:t>
            </w:r>
            <w:r>
              <w:rPr>
                <w:webHidden/>
              </w:rPr>
              <w:tab/>
            </w:r>
            <w:r>
              <w:rPr>
                <w:webHidden/>
              </w:rPr>
              <w:fldChar w:fldCharType="begin"/>
            </w:r>
            <w:r>
              <w:rPr>
                <w:webHidden/>
              </w:rPr>
              <w:instrText xml:space="preserve"> PAGEREF _Toc85541431 \h </w:instrText>
            </w:r>
            <w:r>
              <w:rPr>
                <w:webHidden/>
              </w:rPr>
            </w:r>
            <w:r>
              <w:rPr>
                <w:webHidden/>
              </w:rPr>
              <w:fldChar w:fldCharType="separate"/>
            </w:r>
            <w:r>
              <w:rPr>
                <w:webHidden/>
              </w:rPr>
              <w:t>104</w:t>
            </w:r>
            <w:r>
              <w:rPr>
                <w:webHidden/>
              </w:rPr>
              <w:fldChar w:fldCharType="end"/>
            </w:r>
          </w:hyperlink>
        </w:p>
        <w:p w:rsidR="00BB54FC" w:rsidRDefault="00BB54FC" w14:paraId="6EEB2D3A" w14:textId="3719482D">
          <w:pPr>
            <w:pStyle w:val="TOC3"/>
            <w:rPr>
              <w:rFonts w:asciiTheme="minorHAnsi" w:hAnsiTheme="minorHAnsi" w:eastAsiaTheme="minorEastAsia" w:cstheme="minorBidi"/>
              <w:i w:val="0"/>
              <w:lang w:eastAsia="en-GB"/>
            </w:rPr>
          </w:pPr>
          <w:hyperlink w:history="1" w:anchor="_Toc85541432">
            <w:r w:rsidRPr="00B72BC3">
              <w:rPr>
                <w:rStyle w:val="Hyperlink"/>
              </w:rPr>
              <w:t>(c)</w:t>
            </w:r>
            <w:r>
              <w:rPr>
                <w:rFonts w:asciiTheme="minorHAnsi" w:hAnsiTheme="minorHAnsi" w:eastAsiaTheme="minorEastAsia" w:cstheme="minorBidi"/>
                <w:i w:val="0"/>
                <w:lang w:eastAsia="en-GB"/>
              </w:rPr>
              <w:tab/>
            </w:r>
            <w:r w:rsidRPr="00B72BC3">
              <w:rPr>
                <w:rStyle w:val="Hyperlink"/>
              </w:rPr>
              <w:t>Risk of cancer</w:t>
            </w:r>
            <w:r>
              <w:rPr>
                <w:webHidden/>
              </w:rPr>
              <w:tab/>
            </w:r>
            <w:r>
              <w:rPr>
                <w:webHidden/>
              </w:rPr>
              <w:fldChar w:fldCharType="begin"/>
            </w:r>
            <w:r>
              <w:rPr>
                <w:webHidden/>
              </w:rPr>
              <w:instrText xml:space="preserve"> PAGEREF _Toc85541432 \h </w:instrText>
            </w:r>
            <w:r>
              <w:rPr>
                <w:webHidden/>
              </w:rPr>
            </w:r>
            <w:r>
              <w:rPr>
                <w:webHidden/>
              </w:rPr>
              <w:fldChar w:fldCharType="separate"/>
            </w:r>
            <w:r>
              <w:rPr>
                <w:webHidden/>
              </w:rPr>
              <w:t>107</w:t>
            </w:r>
            <w:r>
              <w:rPr>
                <w:webHidden/>
              </w:rPr>
              <w:fldChar w:fldCharType="end"/>
            </w:r>
          </w:hyperlink>
        </w:p>
        <w:p w:rsidR="00BB54FC" w:rsidRDefault="00BB54FC" w14:paraId="4F330C4C" w14:textId="48B5CE6E">
          <w:pPr>
            <w:pStyle w:val="TOC3"/>
            <w:rPr>
              <w:rFonts w:asciiTheme="minorHAnsi" w:hAnsiTheme="minorHAnsi" w:eastAsiaTheme="minorEastAsia" w:cstheme="minorBidi"/>
              <w:i w:val="0"/>
              <w:lang w:eastAsia="en-GB"/>
            </w:rPr>
          </w:pPr>
          <w:hyperlink w:history="1" w:anchor="_Toc85541433">
            <w:r w:rsidRPr="00B72BC3">
              <w:rPr>
                <w:rStyle w:val="Hyperlink"/>
              </w:rPr>
              <w:t>(d)</w:t>
            </w:r>
            <w:r>
              <w:rPr>
                <w:rFonts w:asciiTheme="minorHAnsi" w:hAnsiTheme="minorHAnsi" w:eastAsiaTheme="minorEastAsia" w:cstheme="minorBidi"/>
                <w:i w:val="0"/>
                <w:lang w:eastAsia="en-GB"/>
              </w:rPr>
              <w:tab/>
            </w:r>
            <w:r w:rsidRPr="00B72BC3">
              <w:rPr>
                <w:rStyle w:val="Hyperlink"/>
              </w:rPr>
              <w:t>Interventions to ‘normalise’ genitalia and other psychosocial rationales</w:t>
            </w:r>
            <w:r>
              <w:rPr>
                <w:webHidden/>
              </w:rPr>
              <w:tab/>
            </w:r>
            <w:r>
              <w:rPr>
                <w:webHidden/>
              </w:rPr>
              <w:fldChar w:fldCharType="begin"/>
            </w:r>
            <w:r>
              <w:rPr>
                <w:webHidden/>
              </w:rPr>
              <w:instrText xml:space="preserve"> PAGEREF _Toc85541433 \h </w:instrText>
            </w:r>
            <w:r>
              <w:rPr>
                <w:webHidden/>
              </w:rPr>
            </w:r>
            <w:r>
              <w:rPr>
                <w:webHidden/>
              </w:rPr>
              <w:fldChar w:fldCharType="separate"/>
            </w:r>
            <w:r>
              <w:rPr>
                <w:webHidden/>
              </w:rPr>
              <w:t>115</w:t>
            </w:r>
            <w:r>
              <w:rPr>
                <w:webHidden/>
              </w:rPr>
              <w:fldChar w:fldCharType="end"/>
            </w:r>
          </w:hyperlink>
        </w:p>
        <w:p w:rsidR="00BB54FC" w:rsidRDefault="00BB54FC" w14:paraId="746B8DC2" w14:textId="54E7EFAC">
          <w:pPr>
            <w:pStyle w:val="TOC2"/>
            <w:rPr>
              <w:rFonts w:asciiTheme="minorHAnsi" w:hAnsiTheme="minorHAnsi" w:eastAsiaTheme="minorEastAsia" w:cstheme="minorBidi"/>
              <w:b w:val="0"/>
              <w:i w:val="0"/>
              <w:lang w:eastAsia="en-GB"/>
            </w:rPr>
          </w:pPr>
          <w:hyperlink w:history="1" w:anchor="_Toc85541434">
            <w:r w:rsidRPr="00B72BC3">
              <w:rPr>
                <w:rStyle w:val="Hyperlink"/>
              </w:rPr>
              <w:t>5.4</w:t>
            </w:r>
            <w:r>
              <w:rPr>
                <w:rFonts w:asciiTheme="minorHAnsi" w:hAnsiTheme="minorHAnsi" w:eastAsiaTheme="minorEastAsia" w:cstheme="minorBidi"/>
                <w:b w:val="0"/>
                <w:i w:val="0"/>
                <w:lang w:eastAsia="en-GB"/>
              </w:rPr>
              <w:tab/>
            </w:r>
            <w:r w:rsidRPr="00B72BC3">
              <w:rPr>
                <w:rStyle w:val="Hyperlink"/>
              </w:rPr>
              <w:t>At what point of time is an intervention necessary?</w:t>
            </w:r>
            <w:r>
              <w:rPr>
                <w:webHidden/>
              </w:rPr>
              <w:tab/>
            </w:r>
            <w:r>
              <w:rPr>
                <w:webHidden/>
              </w:rPr>
              <w:fldChar w:fldCharType="begin"/>
            </w:r>
            <w:r>
              <w:rPr>
                <w:webHidden/>
              </w:rPr>
              <w:instrText xml:space="preserve"> PAGEREF _Toc85541434 \h </w:instrText>
            </w:r>
            <w:r>
              <w:rPr>
                <w:webHidden/>
              </w:rPr>
            </w:r>
            <w:r>
              <w:rPr>
                <w:webHidden/>
              </w:rPr>
              <w:fldChar w:fldCharType="separate"/>
            </w:r>
            <w:r>
              <w:rPr>
                <w:webHidden/>
              </w:rPr>
              <w:t>127</w:t>
            </w:r>
            <w:r>
              <w:rPr>
                <w:webHidden/>
              </w:rPr>
              <w:fldChar w:fldCharType="end"/>
            </w:r>
          </w:hyperlink>
        </w:p>
        <w:p w:rsidR="00BB54FC" w:rsidRDefault="00BB54FC" w14:paraId="5D2A369F" w14:textId="293DAA73">
          <w:pPr>
            <w:pStyle w:val="TOC3"/>
            <w:rPr>
              <w:rFonts w:asciiTheme="minorHAnsi" w:hAnsiTheme="minorHAnsi" w:eastAsiaTheme="minorEastAsia" w:cstheme="minorBidi"/>
              <w:i w:val="0"/>
              <w:lang w:eastAsia="en-GB"/>
            </w:rPr>
          </w:pPr>
          <w:hyperlink w:history="1" w:anchor="_Toc85541435">
            <w:r w:rsidRPr="00B72BC3">
              <w:rPr>
                <w:rStyle w:val="Hyperlink"/>
              </w:rPr>
              <w:t>(a)</w:t>
            </w:r>
            <w:r>
              <w:rPr>
                <w:rFonts w:asciiTheme="minorHAnsi" w:hAnsiTheme="minorHAnsi" w:eastAsiaTheme="minorEastAsia" w:cstheme="minorBidi"/>
                <w:i w:val="0"/>
                <w:lang w:eastAsia="en-GB"/>
              </w:rPr>
              <w:tab/>
            </w:r>
            <w:r w:rsidRPr="00B72BC3">
              <w:rPr>
                <w:rStyle w:val="Hyperlink"/>
              </w:rPr>
              <w:t>Support for early interventions</w:t>
            </w:r>
            <w:r>
              <w:rPr>
                <w:webHidden/>
              </w:rPr>
              <w:tab/>
            </w:r>
            <w:r>
              <w:rPr>
                <w:webHidden/>
              </w:rPr>
              <w:fldChar w:fldCharType="begin"/>
            </w:r>
            <w:r>
              <w:rPr>
                <w:webHidden/>
              </w:rPr>
              <w:instrText xml:space="preserve"> PAGEREF _Toc85541435 \h </w:instrText>
            </w:r>
            <w:r>
              <w:rPr>
                <w:webHidden/>
              </w:rPr>
            </w:r>
            <w:r>
              <w:rPr>
                <w:webHidden/>
              </w:rPr>
              <w:fldChar w:fldCharType="separate"/>
            </w:r>
            <w:r>
              <w:rPr>
                <w:webHidden/>
              </w:rPr>
              <w:t>127</w:t>
            </w:r>
            <w:r>
              <w:rPr>
                <w:webHidden/>
              </w:rPr>
              <w:fldChar w:fldCharType="end"/>
            </w:r>
          </w:hyperlink>
        </w:p>
        <w:p w:rsidR="00BB54FC" w:rsidRDefault="00BB54FC" w14:paraId="377E6860" w14:textId="47B6A378">
          <w:pPr>
            <w:pStyle w:val="TOC3"/>
            <w:rPr>
              <w:rFonts w:asciiTheme="minorHAnsi" w:hAnsiTheme="minorHAnsi" w:eastAsiaTheme="minorEastAsia" w:cstheme="minorBidi"/>
              <w:i w:val="0"/>
              <w:lang w:eastAsia="en-GB"/>
            </w:rPr>
          </w:pPr>
          <w:hyperlink w:history="1" w:anchor="_Toc85541436">
            <w:r w:rsidRPr="00B72BC3">
              <w:rPr>
                <w:rStyle w:val="Hyperlink"/>
              </w:rPr>
              <w:t>(b)</w:t>
            </w:r>
            <w:r>
              <w:rPr>
                <w:rFonts w:asciiTheme="minorHAnsi" w:hAnsiTheme="minorHAnsi" w:eastAsiaTheme="minorEastAsia" w:cstheme="minorBidi"/>
                <w:i w:val="0"/>
                <w:lang w:eastAsia="en-GB"/>
              </w:rPr>
              <w:tab/>
            </w:r>
            <w:r w:rsidRPr="00B72BC3">
              <w:rPr>
                <w:rStyle w:val="Hyperlink"/>
              </w:rPr>
              <w:t>Opposition to early interventions</w:t>
            </w:r>
            <w:r>
              <w:rPr>
                <w:webHidden/>
              </w:rPr>
              <w:tab/>
            </w:r>
            <w:r>
              <w:rPr>
                <w:webHidden/>
              </w:rPr>
              <w:fldChar w:fldCharType="begin"/>
            </w:r>
            <w:r>
              <w:rPr>
                <w:webHidden/>
              </w:rPr>
              <w:instrText xml:space="preserve"> PAGEREF _Toc85541436 \h </w:instrText>
            </w:r>
            <w:r>
              <w:rPr>
                <w:webHidden/>
              </w:rPr>
            </w:r>
            <w:r>
              <w:rPr>
                <w:webHidden/>
              </w:rPr>
              <w:fldChar w:fldCharType="separate"/>
            </w:r>
            <w:r>
              <w:rPr>
                <w:webHidden/>
              </w:rPr>
              <w:t>128</w:t>
            </w:r>
            <w:r>
              <w:rPr>
                <w:webHidden/>
              </w:rPr>
              <w:fldChar w:fldCharType="end"/>
            </w:r>
          </w:hyperlink>
        </w:p>
        <w:p w:rsidR="00BB54FC" w:rsidRDefault="00BB54FC" w14:paraId="0776F2F6" w14:textId="11C4C1A9">
          <w:pPr>
            <w:pStyle w:val="TOC3"/>
            <w:rPr>
              <w:rFonts w:asciiTheme="minorHAnsi" w:hAnsiTheme="minorHAnsi" w:eastAsiaTheme="minorEastAsia" w:cstheme="minorBidi"/>
              <w:i w:val="0"/>
              <w:lang w:eastAsia="en-GB"/>
            </w:rPr>
          </w:pPr>
          <w:hyperlink w:history="1" w:anchor="_Toc85541437">
            <w:r w:rsidRPr="00B72BC3">
              <w:rPr>
                <w:rStyle w:val="Hyperlink"/>
              </w:rPr>
              <w:t>(c)</w:t>
            </w:r>
            <w:r>
              <w:rPr>
                <w:rFonts w:asciiTheme="minorHAnsi" w:hAnsiTheme="minorHAnsi" w:eastAsiaTheme="minorEastAsia" w:cstheme="minorBidi"/>
                <w:i w:val="0"/>
                <w:lang w:eastAsia="en-GB"/>
              </w:rPr>
              <w:tab/>
            </w:r>
            <w:r w:rsidRPr="00B72BC3">
              <w:rPr>
                <w:rStyle w:val="Hyperlink"/>
              </w:rPr>
              <w:t>Timing of interventions</w:t>
            </w:r>
            <w:r>
              <w:rPr>
                <w:webHidden/>
              </w:rPr>
              <w:tab/>
            </w:r>
            <w:r>
              <w:rPr>
                <w:webHidden/>
              </w:rPr>
              <w:fldChar w:fldCharType="begin"/>
            </w:r>
            <w:r>
              <w:rPr>
                <w:webHidden/>
              </w:rPr>
              <w:instrText xml:space="preserve"> PAGEREF _Toc85541437 \h </w:instrText>
            </w:r>
            <w:r>
              <w:rPr>
                <w:webHidden/>
              </w:rPr>
            </w:r>
            <w:r>
              <w:rPr>
                <w:webHidden/>
              </w:rPr>
              <w:fldChar w:fldCharType="separate"/>
            </w:r>
            <w:r>
              <w:rPr>
                <w:webHidden/>
              </w:rPr>
              <w:t>128</w:t>
            </w:r>
            <w:r>
              <w:rPr>
                <w:webHidden/>
              </w:rPr>
              <w:fldChar w:fldCharType="end"/>
            </w:r>
          </w:hyperlink>
        </w:p>
        <w:p w:rsidR="00BB54FC" w:rsidRDefault="00BB54FC" w14:paraId="795370CD" w14:textId="71CA55BB">
          <w:pPr>
            <w:pStyle w:val="TOC2"/>
            <w:rPr>
              <w:rFonts w:asciiTheme="minorHAnsi" w:hAnsiTheme="minorHAnsi" w:eastAsiaTheme="minorEastAsia" w:cstheme="minorBidi"/>
              <w:b w:val="0"/>
              <w:i w:val="0"/>
              <w:lang w:eastAsia="en-GB"/>
            </w:rPr>
          </w:pPr>
          <w:hyperlink w:history="1" w:anchor="_Toc85541438">
            <w:r w:rsidRPr="00B72BC3">
              <w:rPr>
                <w:rStyle w:val="Hyperlink"/>
              </w:rPr>
              <w:t>5.5</w:t>
            </w:r>
            <w:r>
              <w:rPr>
                <w:rFonts w:asciiTheme="minorHAnsi" w:hAnsiTheme="minorHAnsi" w:eastAsiaTheme="minorEastAsia" w:cstheme="minorBidi"/>
                <w:b w:val="0"/>
                <w:i w:val="0"/>
                <w:lang w:eastAsia="en-GB"/>
              </w:rPr>
              <w:tab/>
            </w:r>
            <w:r w:rsidRPr="00B72BC3">
              <w:rPr>
                <w:rStyle w:val="Hyperlink"/>
              </w:rPr>
              <w:t>Human rights approach</w:t>
            </w:r>
            <w:r>
              <w:rPr>
                <w:webHidden/>
              </w:rPr>
              <w:tab/>
            </w:r>
            <w:r>
              <w:rPr>
                <w:webHidden/>
              </w:rPr>
              <w:fldChar w:fldCharType="begin"/>
            </w:r>
            <w:r>
              <w:rPr>
                <w:webHidden/>
              </w:rPr>
              <w:instrText xml:space="preserve"> PAGEREF _Toc85541438 \h </w:instrText>
            </w:r>
            <w:r>
              <w:rPr>
                <w:webHidden/>
              </w:rPr>
            </w:r>
            <w:r>
              <w:rPr>
                <w:webHidden/>
              </w:rPr>
              <w:fldChar w:fldCharType="separate"/>
            </w:r>
            <w:r>
              <w:rPr>
                <w:webHidden/>
              </w:rPr>
              <w:t>130</w:t>
            </w:r>
            <w:r>
              <w:rPr>
                <w:webHidden/>
              </w:rPr>
              <w:fldChar w:fldCharType="end"/>
            </w:r>
          </w:hyperlink>
        </w:p>
        <w:p w:rsidR="00BB54FC" w:rsidRDefault="00BB54FC" w14:paraId="111B5379" w14:textId="571F156D">
          <w:pPr>
            <w:pStyle w:val="TOC1"/>
            <w:rPr>
              <w:rFonts w:asciiTheme="minorHAnsi" w:hAnsiTheme="minorHAnsi" w:eastAsiaTheme="minorEastAsia" w:cstheme="minorBidi"/>
              <w:b w:val="0"/>
              <w:lang w:eastAsia="en-GB"/>
            </w:rPr>
          </w:pPr>
          <w:hyperlink w:history="1" w:anchor="_Toc85541439">
            <w:r w:rsidRPr="00B72BC3">
              <w:rPr>
                <w:rStyle w:val="Hyperlink"/>
                <w:rFonts w:eastAsia="Open Sans" w:cs="Open Sans"/>
              </w:rPr>
              <w:t>6</w:t>
            </w:r>
            <w:r>
              <w:rPr>
                <w:rFonts w:asciiTheme="minorHAnsi" w:hAnsiTheme="minorHAnsi" w:eastAsiaTheme="minorEastAsia" w:cstheme="minorBidi"/>
                <w:b w:val="0"/>
                <w:lang w:eastAsia="en-GB"/>
              </w:rPr>
              <w:tab/>
            </w:r>
            <w:r w:rsidRPr="00B72BC3">
              <w:rPr>
                <w:rStyle w:val="Hyperlink"/>
              </w:rPr>
              <w:t>Clinical practice and new National Guidelines</w:t>
            </w:r>
            <w:r>
              <w:rPr>
                <w:webHidden/>
              </w:rPr>
              <w:tab/>
            </w:r>
            <w:r>
              <w:rPr>
                <w:webHidden/>
              </w:rPr>
              <w:fldChar w:fldCharType="begin"/>
            </w:r>
            <w:r>
              <w:rPr>
                <w:webHidden/>
              </w:rPr>
              <w:instrText xml:space="preserve"> PAGEREF _Toc85541439 \h </w:instrText>
            </w:r>
            <w:r>
              <w:rPr>
                <w:webHidden/>
              </w:rPr>
            </w:r>
            <w:r>
              <w:rPr>
                <w:webHidden/>
              </w:rPr>
              <w:fldChar w:fldCharType="separate"/>
            </w:r>
            <w:r>
              <w:rPr>
                <w:webHidden/>
              </w:rPr>
              <w:t>132</w:t>
            </w:r>
            <w:r>
              <w:rPr>
                <w:webHidden/>
              </w:rPr>
              <w:fldChar w:fldCharType="end"/>
            </w:r>
          </w:hyperlink>
        </w:p>
        <w:p w:rsidR="00BB54FC" w:rsidRDefault="00BB54FC" w14:paraId="605E0B1E" w14:textId="2068DFE2">
          <w:pPr>
            <w:pStyle w:val="TOC2"/>
            <w:rPr>
              <w:rFonts w:asciiTheme="minorHAnsi" w:hAnsiTheme="minorHAnsi" w:eastAsiaTheme="minorEastAsia" w:cstheme="minorBidi"/>
              <w:b w:val="0"/>
              <w:i w:val="0"/>
              <w:lang w:eastAsia="en-GB"/>
            </w:rPr>
          </w:pPr>
          <w:hyperlink w:history="1" w:anchor="_Toc85541440">
            <w:r w:rsidRPr="00B72BC3">
              <w:rPr>
                <w:rStyle w:val="Hyperlink"/>
                <w:bCs/>
              </w:rPr>
              <w:t>6.1</w:t>
            </w:r>
            <w:r>
              <w:rPr>
                <w:rFonts w:asciiTheme="minorHAnsi" w:hAnsiTheme="minorHAnsi" w:eastAsiaTheme="minorEastAsia" w:cstheme="minorBidi"/>
                <w:b w:val="0"/>
                <w:i w:val="0"/>
                <w:lang w:eastAsia="en-GB"/>
              </w:rPr>
              <w:tab/>
            </w:r>
            <w:r w:rsidRPr="00B72BC3">
              <w:rPr>
                <w:rStyle w:val="Hyperlink"/>
              </w:rPr>
              <w:t>Clinical practice</w:t>
            </w:r>
            <w:r>
              <w:rPr>
                <w:webHidden/>
              </w:rPr>
              <w:tab/>
            </w:r>
            <w:r>
              <w:rPr>
                <w:webHidden/>
              </w:rPr>
              <w:fldChar w:fldCharType="begin"/>
            </w:r>
            <w:r>
              <w:rPr>
                <w:webHidden/>
              </w:rPr>
              <w:instrText xml:space="preserve"> PAGEREF _Toc85541440 \h </w:instrText>
            </w:r>
            <w:r>
              <w:rPr>
                <w:webHidden/>
              </w:rPr>
            </w:r>
            <w:r>
              <w:rPr>
                <w:webHidden/>
              </w:rPr>
              <w:fldChar w:fldCharType="separate"/>
            </w:r>
            <w:r>
              <w:rPr>
                <w:webHidden/>
              </w:rPr>
              <w:t>133</w:t>
            </w:r>
            <w:r>
              <w:rPr>
                <w:webHidden/>
              </w:rPr>
              <w:fldChar w:fldCharType="end"/>
            </w:r>
          </w:hyperlink>
        </w:p>
        <w:p w:rsidR="00BB54FC" w:rsidRDefault="00BB54FC" w14:paraId="12DD66A7" w14:textId="13BB4D11">
          <w:pPr>
            <w:pStyle w:val="TOC3"/>
            <w:rPr>
              <w:rFonts w:asciiTheme="minorHAnsi" w:hAnsiTheme="minorHAnsi" w:eastAsiaTheme="minorEastAsia" w:cstheme="minorBidi"/>
              <w:i w:val="0"/>
              <w:lang w:eastAsia="en-GB"/>
            </w:rPr>
          </w:pPr>
          <w:hyperlink w:history="1" w:anchor="_Toc85541441">
            <w:r w:rsidRPr="00B72BC3">
              <w:rPr>
                <w:rStyle w:val="Hyperlink"/>
              </w:rPr>
              <w:t>(a)</w:t>
            </w:r>
            <w:r>
              <w:rPr>
                <w:rFonts w:asciiTheme="minorHAnsi" w:hAnsiTheme="minorHAnsi" w:eastAsiaTheme="minorEastAsia" w:cstheme="minorBidi"/>
                <w:i w:val="0"/>
                <w:lang w:eastAsia="en-GB"/>
              </w:rPr>
              <w:tab/>
            </w:r>
            <w:r w:rsidRPr="00B72BC3">
              <w:rPr>
                <w:rStyle w:val="Hyperlink"/>
              </w:rPr>
              <w:t>Multidisciplinary treatment teams</w:t>
            </w:r>
            <w:r>
              <w:rPr>
                <w:webHidden/>
              </w:rPr>
              <w:tab/>
            </w:r>
            <w:r>
              <w:rPr>
                <w:webHidden/>
              </w:rPr>
              <w:fldChar w:fldCharType="begin"/>
            </w:r>
            <w:r>
              <w:rPr>
                <w:webHidden/>
              </w:rPr>
              <w:instrText xml:space="preserve"> PAGEREF _Toc85541441 \h </w:instrText>
            </w:r>
            <w:r>
              <w:rPr>
                <w:webHidden/>
              </w:rPr>
            </w:r>
            <w:r>
              <w:rPr>
                <w:webHidden/>
              </w:rPr>
              <w:fldChar w:fldCharType="separate"/>
            </w:r>
            <w:r>
              <w:rPr>
                <w:webHidden/>
              </w:rPr>
              <w:t>133</w:t>
            </w:r>
            <w:r>
              <w:rPr>
                <w:webHidden/>
              </w:rPr>
              <w:fldChar w:fldCharType="end"/>
            </w:r>
          </w:hyperlink>
        </w:p>
        <w:p w:rsidR="00BB54FC" w:rsidRDefault="00BB54FC" w14:paraId="52B7C598" w14:textId="31F3E57B">
          <w:pPr>
            <w:pStyle w:val="TOC3"/>
            <w:rPr>
              <w:rFonts w:asciiTheme="minorHAnsi" w:hAnsiTheme="minorHAnsi" w:eastAsiaTheme="minorEastAsia" w:cstheme="minorBidi"/>
              <w:i w:val="0"/>
              <w:lang w:eastAsia="en-GB"/>
            </w:rPr>
          </w:pPr>
          <w:hyperlink w:history="1" w:anchor="_Toc85541442">
            <w:r w:rsidRPr="00B72BC3">
              <w:rPr>
                <w:rStyle w:val="Hyperlink"/>
              </w:rPr>
              <w:t>(b)</w:t>
            </w:r>
            <w:r>
              <w:rPr>
                <w:rFonts w:asciiTheme="minorHAnsi" w:hAnsiTheme="minorHAnsi" w:eastAsiaTheme="minorEastAsia" w:cstheme="minorBidi"/>
                <w:i w:val="0"/>
                <w:lang w:eastAsia="en-GB"/>
              </w:rPr>
              <w:tab/>
            </w:r>
            <w:r w:rsidRPr="00B72BC3">
              <w:rPr>
                <w:rStyle w:val="Hyperlink"/>
              </w:rPr>
              <w:t>Problems with MDT management and care</w:t>
            </w:r>
            <w:r>
              <w:rPr>
                <w:webHidden/>
              </w:rPr>
              <w:tab/>
            </w:r>
            <w:r>
              <w:rPr>
                <w:webHidden/>
              </w:rPr>
              <w:fldChar w:fldCharType="begin"/>
            </w:r>
            <w:r>
              <w:rPr>
                <w:webHidden/>
              </w:rPr>
              <w:instrText xml:space="preserve"> PAGEREF _Toc85541442 \h </w:instrText>
            </w:r>
            <w:r>
              <w:rPr>
                <w:webHidden/>
              </w:rPr>
            </w:r>
            <w:r>
              <w:rPr>
                <w:webHidden/>
              </w:rPr>
              <w:fldChar w:fldCharType="separate"/>
            </w:r>
            <w:r>
              <w:rPr>
                <w:webHidden/>
              </w:rPr>
              <w:t>138</w:t>
            </w:r>
            <w:r>
              <w:rPr>
                <w:webHidden/>
              </w:rPr>
              <w:fldChar w:fldCharType="end"/>
            </w:r>
          </w:hyperlink>
        </w:p>
        <w:p w:rsidR="00BB54FC" w:rsidRDefault="00BB54FC" w14:paraId="6F244982" w14:textId="3AC1D051">
          <w:pPr>
            <w:pStyle w:val="TOC3"/>
            <w:rPr>
              <w:rFonts w:asciiTheme="minorHAnsi" w:hAnsiTheme="minorHAnsi" w:eastAsiaTheme="minorEastAsia" w:cstheme="minorBidi"/>
              <w:i w:val="0"/>
              <w:lang w:eastAsia="en-GB"/>
            </w:rPr>
          </w:pPr>
          <w:hyperlink w:history="1" w:anchor="_Toc85541443">
            <w:r w:rsidRPr="00B72BC3">
              <w:rPr>
                <w:rStyle w:val="Hyperlink"/>
              </w:rPr>
              <w:t>(c)</w:t>
            </w:r>
            <w:r>
              <w:rPr>
                <w:rFonts w:asciiTheme="minorHAnsi" w:hAnsiTheme="minorHAnsi" w:eastAsiaTheme="minorEastAsia" w:cstheme="minorBidi"/>
                <w:i w:val="0"/>
                <w:lang w:eastAsia="en-GB"/>
              </w:rPr>
              <w:tab/>
            </w:r>
            <w:r w:rsidRPr="00B72BC3">
              <w:rPr>
                <w:rStyle w:val="Hyperlink"/>
              </w:rPr>
              <w:t>Other problems with management and care</w:t>
            </w:r>
            <w:r>
              <w:rPr>
                <w:webHidden/>
              </w:rPr>
              <w:tab/>
            </w:r>
            <w:r>
              <w:rPr>
                <w:webHidden/>
              </w:rPr>
              <w:fldChar w:fldCharType="begin"/>
            </w:r>
            <w:r>
              <w:rPr>
                <w:webHidden/>
              </w:rPr>
              <w:instrText xml:space="preserve"> PAGEREF _Toc85541443 \h </w:instrText>
            </w:r>
            <w:r>
              <w:rPr>
                <w:webHidden/>
              </w:rPr>
            </w:r>
            <w:r>
              <w:rPr>
                <w:webHidden/>
              </w:rPr>
              <w:fldChar w:fldCharType="separate"/>
            </w:r>
            <w:r>
              <w:rPr>
                <w:webHidden/>
              </w:rPr>
              <w:t>139</w:t>
            </w:r>
            <w:r>
              <w:rPr>
                <w:webHidden/>
              </w:rPr>
              <w:fldChar w:fldCharType="end"/>
            </w:r>
          </w:hyperlink>
        </w:p>
        <w:p w:rsidR="00BB54FC" w:rsidRDefault="00BB54FC" w14:paraId="5E24F2A4" w14:textId="6225EE06">
          <w:pPr>
            <w:pStyle w:val="TOC2"/>
            <w:rPr>
              <w:rFonts w:asciiTheme="minorHAnsi" w:hAnsiTheme="minorHAnsi" w:eastAsiaTheme="minorEastAsia" w:cstheme="minorBidi"/>
              <w:b w:val="0"/>
              <w:i w:val="0"/>
              <w:lang w:eastAsia="en-GB"/>
            </w:rPr>
          </w:pPr>
          <w:hyperlink w:history="1" w:anchor="_Toc85541444">
            <w:r w:rsidRPr="00B72BC3">
              <w:rPr>
                <w:rStyle w:val="Hyperlink"/>
              </w:rPr>
              <w:t>6.2</w:t>
            </w:r>
            <w:r>
              <w:rPr>
                <w:rFonts w:asciiTheme="minorHAnsi" w:hAnsiTheme="minorHAnsi" w:eastAsiaTheme="minorEastAsia" w:cstheme="minorBidi"/>
                <w:b w:val="0"/>
                <w:i w:val="0"/>
                <w:lang w:eastAsia="en-GB"/>
              </w:rPr>
              <w:tab/>
            </w:r>
            <w:r w:rsidRPr="00B72BC3">
              <w:rPr>
                <w:rStyle w:val="Hyperlink"/>
              </w:rPr>
              <w:t>Principles that inform clinical practice</w:t>
            </w:r>
            <w:r>
              <w:rPr>
                <w:webHidden/>
              </w:rPr>
              <w:tab/>
            </w:r>
            <w:r>
              <w:rPr>
                <w:webHidden/>
              </w:rPr>
              <w:fldChar w:fldCharType="begin"/>
            </w:r>
            <w:r>
              <w:rPr>
                <w:webHidden/>
              </w:rPr>
              <w:instrText xml:space="preserve"> PAGEREF _Toc85541444 \h </w:instrText>
            </w:r>
            <w:r>
              <w:rPr>
                <w:webHidden/>
              </w:rPr>
            </w:r>
            <w:r>
              <w:rPr>
                <w:webHidden/>
              </w:rPr>
              <w:fldChar w:fldCharType="separate"/>
            </w:r>
            <w:r>
              <w:rPr>
                <w:webHidden/>
              </w:rPr>
              <w:t>142</w:t>
            </w:r>
            <w:r>
              <w:rPr>
                <w:webHidden/>
              </w:rPr>
              <w:fldChar w:fldCharType="end"/>
            </w:r>
          </w:hyperlink>
        </w:p>
        <w:p w:rsidR="00BB54FC" w:rsidRDefault="00BB54FC" w14:paraId="4A7D6581" w14:textId="5058C941">
          <w:pPr>
            <w:pStyle w:val="TOC3"/>
            <w:rPr>
              <w:rFonts w:asciiTheme="minorHAnsi" w:hAnsiTheme="minorHAnsi" w:eastAsiaTheme="minorEastAsia" w:cstheme="minorBidi"/>
              <w:i w:val="0"/>
              <w:lang w:eastAsia="en-GB"/>
            </w:rPr>
          </w:pPr>
          <w:hyperlink w:history="1" w:anchor="_Toc85541445">
            <w:r w:rsidRPr="00B72BC3">
              <w:rPr>
                <w:rStyle w:val="Hyperlink"/>
              </w:rPr>
              <w:t>(a)</w:t>
            </w:r>
            <w:r>
              <w:rPr>
                <w:rFonts w:asciiTheme="minorHAnsi" w:hAnsiTheme="minorHAnsi" w:eastAsiaTheme="minorEastAsia" w:cstheme="minorBidi"/>
                <w:i w:val="0"/>
                <w:lang w:eastAsia="en-GB"/>
              </w:rPr>
              <w:tab/>
            </w:r>
            <w:r w:rsidRPr="00B72BC3">
              <w:rPr>
                <w:rStyle w:val="Hyperlink"/>
              </w:rPr>
              <w:t>Best practice approaches to clinical management and care</w:t>
            </w:r>
            <w:r>
              <w:rPr>
                <w:webHidden/>
              </w:rPr>
              <w:tab/>
            </w:r>
            <w:r>
              <w:rPr>
                <w:webHidden/>
              </w:rPr>
              <w:fldChar w:fldCharType="begin"/>
            </w:r>
            <w:r>
              <w:rPr>
                <w:webHidden/>
              </w:rPr>
              <w:instrText xml:space="preserve"> PAGEREF _Toc85541445 \h </w:instrText>
            </w:r>
            <w:r>
              <w:rPr>
                <w:webHidden/>
              </w:rPr>
            </w:r>
            <w:r>
              <w:rPr>
                <w:webHidden/>
              </w:rPr>
              <w:fldChar w:fldCharType="separate"/>
            </w:r>
            <w:r>
              <w:rPr>
                <w:webHidden/>
              </w:rPr>
              <w:t>143</w:t>
            </w:r>
            <w:r>
              <w:rPr>
                <w:webHidden/>
              </w:rPr>
              <w:fldChar w:fldCharType="end"/>
            </w:r>
          </w:hyperlink>
        </w:p>
        <w:p w:rsidR="00BB54FC" w:rsidRDefault="00BB54FC" w14:paraId="47ABDD3B" w14:textId="7EFD48E8">
          <w:pPr>
            <w:pStyle w:val="TOC2"/>
            <w:rPr>
              <w:rFonts w:asciiTheme="minorHAnsi" w:hAnsiTheme="minorHAnsi" w:eastAsiaTheme="minorEastAsia" w:cstheme="minorBidi"/>
              <w:b w:val="0"/>
              <w:i w:val="0"/>
              <w:lang w:eastAsia="en-GB"/>
            </w:rPr>
          </w:pPr>
          <w:hyperlink w:history="1" w:anchor="_Toc85541446">
            <w:r w:rsidRPr="00B72BC3">
              <w:rPr>
                <w:rStyle w:val="Hyperlink"/>
              </w:rPr>
              <w:t>6.3</w:t>
            </w:r>
            <w:r>
              <w:rPr>
                <w:rFonts w:asciiTheme="minorHAnsi" w:hAnsiTheme="minorHAnsi" w:eastAsiaTheme="minorEastAsia" w:cstheme="minorBidi"/>
                <w:b w:val="0"/>
                <w:i w:val="0"/>
                <w:lang w:eastAsia="en-GB"/>
              </w:rPr>
              <w:tab/>
            </w:r>
            <w:r w:rsidRPr="00B72BC3">
              <w:rPr>
                <w:rStyle w:val="Hyperlink"/>
              </w:rPr>
              <w:t>Better access to multidisciplinary care</w:t>
            </w:r>
            <w:r>
              <w:rPr>
                <w:webHidden/>
              </w:rPr>
              <w:tab/>
            </w:r>
            <w:r>
              <w:rPr>
                <w:webHidden/>
              </w:rPr>
              <w:fldChar w:fldCharType="begin"/>
            </w:r>
            <w:r>
              <w:rPr>
                <w:webHidden/>
              </w:rPr>
              <w:instrText xml:space="preserve"> PAGEREF _Toc85541446 \h </w:instrText>
            </w:r>
            <w:r>
              <w:rPr>
                <w:webHidden/>
              </w:rPr>
            </w:r>
            <w:r>
              <w:rPr>
                <w:webHidden/>
              </w:rPr>
              <w:fldChar w:fldCharType="separate"/>
            </w:r>
            <w:r>
              <w:rPr>
                <w:webHidden/>
              </w:rPr>
              <w:t>147</w:t>
            </w:r>
            <w:r>
              <w:rPr>
                <w:webHidden/>
              </w:rPr>
              <w:fldChar w:fldCharType="end"/>
            </w:r>
          </w:hyperlink>
        </w:p>
        <w:p w:rsidR="00BB54FC" w:rsidRDefault="00BB54FC" w14:paraId="2752F255" w14:textId="4FC8A8F4">
          <w:pPr>
            <w:pStyle w:val="TOC2"/>
            <w:rPr>
              <w:rFonts w:asciiTheme="minorHAnsi" w:hAnsiTheme="minorHAnsi" w:eastAsiaTheme="minorEastAsia" w:cstheme="minorBidi"/>
              <w:b w:val="0"/>
              <w:i w:val="0"/>
              <w:lang w:eastAsia="en-GB"/>
            </w:rPr>
          </w:pPr>
          <w:hyperlink w:history="1" w:anchor="_Toc85541447">
            <w:r w:rsidRPr="00B72BC3">
              <w:rPr>
                <w:rStyle w:val="Hyperlink"/>
              </w:rPr>
              <w:t>6.4</w:t>
            </w:r>
            <w:r>
              <w:rPr>
                <w:rFonts w:asciiTheme="minorHAnsi" w:hAnsiTheme="minorHAnsi" w:eastAsiaTheme="minorEastAsia" w:cstheme="minorBidi"/>
                <w:b w:val="0"/>
                <w:i w:val="0"/>
                <w:lang w:eastAsia="en-GB"/>
              </w:rPr>
              <w:tab/>
            </w:r>
            <w:r w:rsidRPr="00B72BC3">
              <w:rPr>
                <w:rStyle w:val="Hyperlink"/>
              </w:rPr>
              <w:t>Current clinical guidance</w:t>
            </w:r>
            <w:r>
              <w:rPr>
                <w:webHidden/>
              </w:rPr>
              <w:tab/>
            </w:r>
            <w:r>
              <w:rPr>
                <w:webHidden/>
              </w:rPr>
              <w:fldChar w:fldCharType="begin"/>
            </w:r>
            <w:r>
              <w:rPr>
                <w:webHidden/>
              </w:rPr>
              <w:instrText xml:space="preserve"> PAGEREF _Toc85541447 \h </w:instrText>
            </w:r>
            <w:r>
              <w:rPr>
                <w:webHidden/>
              </w:rPr>
            </w:r>
            <w:r>
              <w:rPr>
                <w:webHidden/>
              </w:rPr>
              <w:fldChar w:fldCharType="separate"/>
            </w:r>
            <w:r>
              <w:rPr>
                <w:webHidden/>
              </w:rPr>
              <w:t>148</w:t>
            </w:r>
            <w:r>
              <w:rPr>
                <w:webHidden/>
              </w:rPr>
              <w:fldChar w:fldCharType="end"/>
            </w:r>
          </w:hyperlink>
        </w:p>
        <w:p w:rsidR="00BB54FC" w:rsidRDefault="00BB54FC" w14:paraId="34276ED0" w14:textId="0F76FE61">
          <w:pPr>
            <w:pStyle w:val="TOC3"/>
            <w:rPr>
              <w:rFonts w:asciiTheme="minorHAnsi" w:hAnsiTheme="minorHAnsi" w:eastAsiaTheme="minorEastAsia" w:cstheme="minorBidi"/>
              <w:i w:val="0"/>
              <w:lang w:eastAsia="en-GB"/>
            </w:rPr>
          </w:pPr>
          <w:hyperlink w:history="1" w:anchor="_Toc85541448">
            <w:r w:rsidRPr="00B72BC3">
              <w:rPr>
                <w:rStyle w:val="Hyperlink"/>
              </w:rPr>
              <w:t>(a)</w:t>
            </w:r>
            <w:r>
              <w:rPr>
                <w:rFonts w:asciiTheme="minorHAnsi" w:hAnsiTheme="minorHAnsi" w:eastAsiaTheme="minorEastAsia" w:cstheme="minorBidi"/>
                <w:i w:val="0"/>
                <w:lang w:eastAsia="en-GB"/>
              </w:rPr>
              <w:tab/>
            </w:r>
            <w:r w:rsidRPr="00B72BC3">
              <w:rPr>
                <w:rStyle w:val="Hyperlink"/>
              </w:rPr>
              <w:t>The 2006 Consensus Statement and 2016 Update</w:t>
            </w:r>
            <w:r>
              <w:rPr>
                <w:webHidden/>
              </w:rPr>
              <w:tab/>
            </w:r>
            <w:r>
              <w:rPr>
                <w:webHidden/>
              </w:rPr>
              <w:fldChar w:fldCharType="begin"/>
            </w:r>
            <w:r>
              <w:rPr>
                <w:webHidden/>
              </w:rPr>
              <w:instrText xml:space="preserve"> PAGEREF _Toc85541448 \h </w:instrText>
            </w:r>
            <w:r>
              <w:rPr>
                <w:webHidden/>
              </w:rPr>
            </w:r>
            <w:r>
              <w:rPr>
                <w:webHidden/>
              </w:rPr>
              <w:fldChar w:fldCharType="separate"/>
            </w:r>
            <w:r>
              <w:rPr>
                <w:webHidden/>
              </w:rPr>
              <w:t>148</w:t>
            </w:r>
            <w:r>
              <w:rPr>
                <w:webHidden/>
              </w:rPr>
              <w:fldChar w:fldCharType="end"/>
            </w:r>
          </w:hyperlink>
        </w:p>
        <w:p w:rsidR="00BB54FC" w:rsidRDefault="00BB54FC" w14:paraId="67D2E36C" w14:textId="167F8EAA">
          <w:pPr>
            <w:pStyle w:val="TOC3"/>
            <w:rPr>
              <w:rFonts w:asciiTheme="minorHAnsi" w:hAnsiTheme="minorHAnsi" w:eastAsiaTheme="minorEastAsia" w:cstheme="minorBidi"/>
              <w:i w:val="0"/>
              <w:lang w:eastAsia="en-GB"/>
            </w:rPr>
          </w:pPr>
          <w:hyperlink w:history="1" w:anchor="_Toc85541449">
            <w:r w:rsidRPr="00B72BC3">
              <w:rPr>
                <w:rStyle w:val="Hyperlink"/>
              </w:rPr>
              <w:t>(b)</w:t>
            </w:r>
            <w:r>
              <w:rPr>
                <w:rFonts w:asciiTheme="minorHAnsi" w:hAnsiTheme="minorHAnsi" w:eastAsiaTheme="minorEastAsia" w:cstheme="minorBidi"/>
                <w:i w:val="0"/>
                <w:lang w:eastAsia="en-GB"/>
              </w:rPr>
              <w:tab/>
            </w:r>
            <w:r w:rsidRPr="00B72BC3">
              <w:rPr>
                <w:rStyle w:val="Hyperlink"/>
              </w:rPr>
              <w:t>The 2013 Victorian Decision-Making Principles</w:t>
            </w:r>
            <w:r>
              <w:rPr>
                <w:webHidden/>
              </w:rPr>
              <w:tab/>
            </w:r>
            <w:r>
              <w:rPr>
                <w:webHidden/>
              </w:rPr>
              <w:fldChar w:fldCharType="begin"/>
            </w:r>
            <w:r>
              <w:rPr>
                <w:webHidden/>
              </w:rPr>
              <w:instrText xml:space="preserve"> PAGEREF _Toc85541449 \h </w:instrText>
            </w:r>
            <w:r>
              <w:rPr>
                <w:webHidden/>
              </w:rPr>
            </w:r>
            <w:r>
              <w:rPr>
                <w:webHidden/>
              </w:rPr>
              <w:fldChar w:fldCharType="separate"/>
            </w:r>
            <w:r>
              <w:rPr>
                <w:webHidden/>
              </w:rPr>
              <w:t>151</w:t>
            </w:r>
            <w:r>
              <w:rPr>
                <w:webHidden/>
              </w:rPr>
              <w:fldChar w:fldCharType="end"/>
            </w:r>
          </w:hyperlink>
        </w:p>
        <w:p w:rsidR="00BB54FC" w:rsidRDefault="00BB54FC" w14:paraId="206B997A" w14:textId="4E6C6203">
          <w:pPr>
            <w:pStyle w:val="TOC3"/>
            <w:rPr>
              <w:rFonts w:asciiTheme="minorHAnsi" w:hAnsiTheme="minorHAnsi" w:eastAsiaTheme="minorEastAsia" w:cstheme="minorBidi"/>
              <w:i w:val="0"/>
              <w:lang w:eastAsia="en-GB"/>
            </w:rPr>
          </w:pPr>
          <w:hyperlink w:history="1" w:anchor="_Toc85541450">
            <w:r w:rsidRPr="00B72BC3">
              <w:rPr>
                <w:rStyle w:val="Hyperlink"/>
              </w:rPr>
              <w:t>(c)</w:t>
            </w:r>
            <w:r>
              <w:rPr>
                <w:rFonts w:asciiTheme="minorHAnsi" w:hAnsiTheme="minorHAnsi" w:eastAsiaTheme="minorEastAsia" w:cstheme="minorBidi"/>
                <w:i w:val="0"/>
                <w:lang w:eastAsia="en-GB"/>
              </w:rPr>
              <w:tab/>
            </w:r>
            <w:r w:rsidRPr="00B72BC3">
              <w:rPr>
                <w:rStyle w:val="Hyperlink"/>
              </w:rPr>
              <w:t>Non-binding nature of existing guidelines</w:t>
            </w:r>
            <w:r>
              <w:rPr>
                <w:webHidden/>
              </w:rPr>
              <w:tab/>
            </w:r>
            <w:r>
              <w:rPr>
                <w:webHidden/>
              </w:rPr>
              <w:fldChar w:fldCharType="begin"/>
            </w:r>
            <w:r>
              <w:rPr>
                <w:webHidden/>
              </w:rPr>
              <w:instrText xml:space="preserve"> PAGEREF _Toc85541450 \h </w:instrText>
            </w:r>
            <w:r>
              <w:rPr>
                <w:webHidden/>
              </w:rPr>
            </w:r>
            <w:r>
              <w:rPr>
                <w:webHidden/>
              </w:rPr>
              <w:fldChar w:fldCharType="separate"/>
            </w:r>
            <w:r>
              <w:rPr>
                <w:webHidden/>
              </w:rPr>
              <w:t>154</w:t>
            </w:r>
            <w:r>
              <w:rPr>
                <w:webHidden/>
              </w:rPr>
              <w:fldChar w:fldCharType="end"/>
            </w:r>
          </w:hyperlink>
        </w:p>
        <w:p w:rsidR="00BB54FC" w:rsidRDefault="00BB54FC" w14:paraId="5AEB9EBB" w14:textId="55051B1F">
          <w:pPr>
            <w:pStyle w:val="TOC2"/>
            <w:rPr>
              <w:rFonts w:asciiTheme="minorHAnsi" w:hAnsiTheme="minorHAnsi" w:eastAsiaTheme="minorEastAsia" w:cstheme="minorBidi"/>
              <w:b w:val="0"/>
              <w:i w:val="0"/>
              <w:lang w:eastAsia="en-GB"/>
            </w:rPr>
          </w:pPr>
          <w:hyperlink w:history="1" w:anchor="_Toc85541451">
            <w:r w:rsidRPr="00B72BC3">
              <w:rPr>
                <w:rStyle w:val="Hyperlink"/>
              </w:rPr>
              <w:t>6.5</w:t>
            </w:r>
            <w:r>
              <w:rPr>
                <w:rFonts w:asciiTheme="minorHAnsi" w:hAnsiTheme="minorHAnsi" w:eastAsiaTheme="minorEastAsia" w:cstheme="minorBidi"/>
                <w:b w:val="0"/>
                <w:i w:val="0"/>
                <w:lang w:eastAsia="en-GB"/>
              </w:rPr>
              <w:tab/>
            </w:r>
            <w:r w:rsidRPr="00B72BC3">
              <w:rPr>
                <w:rStyle w:val="Hyperlink"/>
              </w:rPr>
              <w:t>Need for clinical guidance</w:t>
            </w:r>
            <w:r>
              <w:rPr>
                <w:webHidden/>
              </w:rPr>
              <w:tab/>
            </w:r>
            <w:r>
              <w:rPr>
                <w:webHidden/>
              </w:rPr>
              <w:fldChar w:fldCharType="begin"/>
            </w:r>
            <w:r>
              <w:rPr>
                <w:webHidden/>
              </w:rPr>
              <w:instrText xml:space="preserve"> PAGEREF _Toc85541451 \h </w:instrText>
            </w:r>
            <w:r>
              <w:rPr>
                <w:webHidden/>
              </w:rPr>
            </w:r>
            <w:r>
              <w:rPr>
                <w:webHidden/>
              </w:rPr>
              <w:fldChar w:fldCharType="separate"/>
            </w:r>
            <w:r>
              <w:rPr>
                <w:webHidden/>
              </w:rPr>
              <w:t>154</w:t>
            </w:r>
            <w:r>
              <w:rPr>
                <w:webHidden/>
              </w:rPr>
              <w:fldChar w:fldCharType="end"/>
            </w:r>
          </w:hyperlink>
        </w:p>
        <w:p w:rsidR="00BB54FC" w:rsidRDefault="00BB54FC" w14:paraId="1C355BBB" w14:textId="1F02D0DE">
          <w:pPr>
            <w:pStyle w:val="TOC3"/>
            <w:rPr>
              <w:rFonts w:asciiTheme="minorHAnsi" w:hAnsiTheme="minorHAnsi" w:eastAsiaTheme="minorEastAsia" w:cstheme="minorBidi"/>
              <w:i w:val="0"/>
              <w:lang w:eastAsia="en-GB"/>
            </w:rPr>
          </w:pPr>
          <w:hyperlink w:history="1" w:anchor="_Toc85541452">
            <w:r w:rsidRPr="00B72BC3">
              <w:rPr>
                <w:rStyle w:val="Hyperlink"/>
              </w:rPr>
              <w:t>(a)</w:t>
            </w:r>
            <w:r>
              <w:rPr>
                <w:rFonts w:asciiTheme="minorHAnsi" w:hAnsiTheme="minorHAnsi" w:eastAsiaTheme="minorEastAsia" w:cstheme="minorBidi"/>
                <w:i w:val="0"/>
                <w:lang w:eastAsia="en-GB"/>
              </w:rPr>
              <w:tab/>
            </w:r>
            <w:r w:rsidRPr="00B72BC3">
              <w:rPr>
                <w:rStyle w:val="Hyperlink"/>
              </w:rPr>
              <w:t>Stakeholder views on new guidance</w:t>
            </w:r>
            <w:r>
              <w:rPr>
                <w:webHidden/>
              </w:rPr>
              <w:tab/>
            </w:r>
            <w:r>
              <w:rPr>
                <w:webHidden/>
              </w:rPr>
              <w:fldChar w:fldCharType="begin"/>
            </w:r>
            <w:r>
              <w:rPr>
                <w:webHidden/>
              </w:rPr>
              <w:instrText xml:space="preserve"> PAGEREF _Toc85541452 \h </w:instrText>
            </w:r>
            <w:r>
              <w:rPr>
                <w:webHidden/>
              </w:rPr>
            </w:r>
            <w:r>
              <w:rPr>
                <w:webHidden/>
              </w:rPr>
              <w:fldChar w:fldCharType="separate"/>
            </w:r>
            <w:r>
              <w:rPr>
                <w:webHidden/>
              </w:rPr>
              <w:t>154</w:t>
            </w:r>
            <w:r>
              <w:rPr>
                <w:webHidden/>
              </w:rPr>
              <w:fldChar w:fldCharType="end"/>
            </w:r>
          </w:hyperlink>
        </w:p>
        <w:p w:rsidR="00BB54FC" w:rsidRDefault="00BB54FC" w14:paraId="460CC8B6" w14:textId="11FE8A7A">
          <w:pPr>
            <w:pStyle w:val="TOC3"/>
            <w:rPr>
              <w:rFonts w:asciiTheme="minorHAnsi" w:hAnsiTheme="minorHAnsi" w:eastAsiaTheme="minorEastAsia" w:cstheme="minorBidi"/>
              <w:i w:val="0"/>
              <w:lang w:eastAsia="en-GB"/>
            </w:rPr>
          </w:pPr>
          <w:hyperlink w:history="1" w:anchor="_Toc85541453">
            <w:r w:rsidRPr="00B72BC3">
              <w:rPr>
                <w:rStyle w:val="Hyperlink"/>
              </w:rPr>
              <w:t>(b)</w:t>
            </w:r>
            <w:r>
              <w:rPr>
                <w:rFonts w:asciiTheme="minorHAnsi" w:hAnsiTheme="minorHAnsi" w:eastAsiaTheme="minorEastAsia" w:cstheme="minorBidi"/>
                <w:i w:val="0"/>
                <w:lang w:eastAsia="en-GB"/>
              </w:rPr>
              <w:tab/>
            </w:r>
            <w:r w:rsidRPr="00B72BC3">
              <w:rPr>
                <w:rStyle w:val="Hyperlink"/>
              </w:rPr>
              <w:t>Possible content of new guidelines</w:t>
            </w:r>
            <w:r>
              <w:rPr>
                <w:webHidden/>
              </w:rPr>
              <w:tab/>
            </w:r>
            <w:r>
              <w:rPr>
                <w:webHidden/>
              </w:rPr>
              <w:fldChar w:fldCharType="begin"/>
            </w:r>
            <w:r>
              <w:rPr>
                <w:webHidden/>
              </w:rPr>
              <w:instrText xml:space="preserve"> PAGEREF _Toc85541453 \h </w:instrText>
            </w:r>
            <w:r>
              <w:rPr>
                <w:webHidden/>
              </w:rPr>
            </w:r>
            <w:r>
              <w:rPr>
                <w:webHidden/>
              </w:rPr>
              <w:fldChar w:fldCharType="separate"/>
            </w:r>
            <w:r>
              <w:rPr>
                <w:webHidden/>
              </w:rPr>
              <w:t>155</w:t>
            </w:r>
            <w:r>
              <w:rPr>
                <w:webHidden/>
              </w:rPr>
              <w:fldChar w:fldCharType="end"/>
            </w:r>
          </w:hyperlink>
        </w:p>
        <w:p w:rsidR="00BB54FC" w:rsidRDefault="00BB54FC" w14:paraId="737CB54C" w14:textId="32AF818E">
          <w:pPr>
            <w:pStyle w:val="TOC2"/>
            <w:rPr>
              <w:rFonts w:asciiTheme="minorHAnsi" w:hAnsiTheme="minorHAnsi" w:eastAsiaTheme="minorEastAsia" w:cstheme="minorBidi"/>
              <w:b w:val="0"/>
              <w:i w:val="0"/>
              <w:lang w:eastAsia="en-GB"/>
            </w:rPr>
          </w:pPr>
          <w:hyperlink w:history="1" w:anchor="_Toc85541454">
            <w:r w:rsidRPr="00B72BC3">
              <w:rPr>
                <w:rStyle w:val="Hyperlink"/>
                <w:rFonts w:eastAsia="Open Sans"/>
              </w:rPr>
              <w:t>6.6</w:t>
            </w:r>
            <w:r>
              <w:rPr>
                <w:rFonts w:asciiTheme="minorHAnsi" w:hAnsiTheme="minorHAnsi" w:eastAsiaTheme="minorEastAsia" w:cstheme="minorBidi"/>
                <w:b w:val="0"/>
                <w:i w:val="0"/>
                <w:lang w:eastAsia="en-GB"/>
              </w:rPr>
              <w:tab/>
            </w:r>
            <w:r w:rsidRPr="00B72BC3">
              <w:rPr>
                <w:rStyle w:val="Hyperlink"/>
              </w:rPr>
              <w:t>New National Guidelines</w:t>
            </w:r>
            <w:r>
              <w:rPr>
                <w:webHidden/>
              </w:rPr>
              <w:tab/>
            </w:r>
            <w:r>
              <w:rPr>
                <w:webHidden/>
              </w:rPr>
              <w:fldChar w:fldCharType="begin"/>
            </w:r>
            <w:r>
              <w:rPr>
                <w:webHidden/>
              </w:rPr>
              <w:instrText xml:space="preserve"> PAGEREF _Toc85541454 \h </w:instrText>
            </w:r>
            <w:r>
              <w:rPr>
                <w:webHidden/>
              </w:rPr>
            </w:r>
            <w:r>
              <w:rPr>
                <w:webHidden/>
              </w:rPr>
              <w:fldChar w:fldCharType="separate"/>
            </w:r>
            <w:r>
              <w:rPr>
                <w:webHidden/>
              </w:rPr>
              <w:t>158</w:t>
            </w:r>
            <w:r>
              <w:rPr>
                <w:webHidden/>
              </w:rPr>
              <w:fldChar w:fldCharType="end"/>
            </w:r>
          </w:hyperlink>
        </w:p>
        <w:p w:rsidR="00BB54FC" w:rsidRDefault="00BB54FC" w14:paraId="124413E2" w14:textId="197A114C">
          <w:pPr>
            <w:pStyle w:val="TOC3"/>
            <w:rPr>
              <w:rFonts w:asciiTheme="minorHAnsi" w:hAnsiTheme="minorHAnsi" w:eastAsiaTheme="minorEastAsia" w:cstheme="minorBidi"/>
              <w:i w:val="0"/>
              <w:lang w:eastAsia="en-GB"/>
            </w:rPr>
          </w:pPr>
          <w:hyperlink w:history="1" w:anchor="_Toc85541455">
            <w:r w:rsidRPr="00B72BC3">
              <w:rPr>
                <w:rStyle w:val="Hyperlink"/>
              </w:rPr>
              <w:t>(a)</w:t>
            </w:r>
            <w:r>
              <w:rPr>
                <w:rFonts w:asciiTheme="minorHAnsi" w:hAnsiTheme="minorHAnsi" w:eastAsiaTheme="minorEastAsia" w:cstheme="minorBidi"/>
                <w:i w:val="0"/>
                <w:lang w:eastAsia="en-GB"/>
              </w:rPr>
              <w:tab/>
            </w:r>
            <w:r w:rsidRPr="00B72BC3">
              <w:rPr>
                <w:rStyle w:val="Hyperlink"/>
              </w:rPr>
              <w:t>Best practice and treatment protocols</w:t>
            </w:r>
            <w:r>
              <w:rPr>
                <w:webHidden/>
              </w:rPr>
              <w:tab/>
            </w:r>
            <w:r>
              <w:rPr>
                <w:webHidden/>
              </w:rPr>
              <w:fldChar w:fldCharType="begin"/>
            </w:r>
            <w:r>
              <w:rPr>
                <w:webHidden/>
              </w:rPr>
              <w:instrText xml:space="preserve"> PAGEREF _Toc85541455 \h </w:instrText>
            </w:r>
            <w:r>
              <w:rPr>
                <w:webHidden/>
              </w:rPr>
            </w:r>
            <w:r>
              <w:rPr>
                <w:webHidden/>
              </w:rPr>
              <w:fldChar w:fldCharType="separate"/>
            </w:r>
            <w:r>
              <w:rPr>
                <w:webHidden/>
              </w:rPr>
              <w:t>160</w:t>
            </w:r>
            <w:r>
              <w:rPr>
                <w:webHidden/>
              </w:rPr>
              <w:fldChar w:fldCharType="end"/>
            </w:r>
          </w:hyperlink>
        </w:p>
        <w:p w:rsidR="00BB54FC" w:rsidRDefault="00BB54FC" w14:paraId="58BB6E89" w14:textId="578FF523">
          <w:pPr>
            <w:pStyle w:val="TOC2"/>
            <w:rPr>
              <w:rFonts w:asciiTheme="minorHAnsi" w:hAnsiTheme="minorHAnsi" w:eastAsiaTheme="minorEastAsia" w:cstheme="minorBidi"/>
              <w:b w:val="0"/>
              <w:i w:val="0"/>
              <w:lang w:eastAsia="en-GB"/>
            </w:rPr>
          </w:pPr>
          <w:hyperlink w:history="1" w:anchor="_Toc85541456">
            <w:r w:rsidRPr="00B72BC3">
              <w:rPr>
                <w:rStyle w:val="Hyperlink"/>
              </w:rPr>
              <w:t>6.7</w:t>
            </w:r>
            <w:r>
              <w:rPr>
                <w:rFonts w:asciiTheme="minorHAnsi" w:hAnsiTheme="minorHAnsi" w:eastAsiaTheme="minorEastAsia" w:cstheme="minorBidi"/>
                <w:b w:val="0"/>
                <w:i w:val="0"/>
                <w:lang w:eastAsia="en-GB"/>
              </w:rPr>
              <w:tab/>
            </w:r>
            <w:r w:rsidRPr="00B72BC3">
              <w:rPr>
                <w:rStyle w:val="Hyperlink"/>
              </w:rPr>
              <w:t>Should the National Guidelines be binding?</w:t>
            </w:r>
            <w:r>
              <w:rPr>
                <w:webHidden/>
              </w:rPr>
              <w:tab/>
            </w:r>
            <w:r>
              <w:rPr>
                <w:webHidden/>
              </w:rPr>
              <w:fldChar w:fldCharType="begin"/>
            </w:r>
            <w:r>
              <w:rPr>
                <w:webHidden/>
              </w:rPr>
              <w:instrText xml:space="preserve"> PAGEREF _Toc85541456 \h </w:instrText>
            </w:r>
            <w:r>
              <w:rPr>
                <w:webHidden/>
              </w:rPr>
            </w:r>
            <w:r>
              <w:rPr>
                <w:webHidden/>
              </w:rPr>
              <w:fldChar w:fldCharType="separate"/>
            </w:r>
            <w:r>
              <w:rPr>
                <w:webHidden/>
              </w:rPr>
              <w:t>160</w:t>
            </w:r>
            <w:r>
              <w:rPr>
                <w:webHidden/>
              </w:rPr>
              <w:fldChar w:fldCharType="end"/>
            </w:r>
          </w:hyperlink>
        </w:p>
        <w:p w:rsidR="00BB54FC" w:rsidRDefault="00BB54FC" w14:paraId="298C68C5" w14:textId="6FF55BA0">
          <w:pPr>
            <w:pStyle w:val="TOC3"/>
            <w:rPr>
              <w:rFonts w:asciiTheme="minorHAnsi" w:hAnsiTheme="minorHAnsi" w:eastAsiaTheme="minorEastAsia" w:cstheme="minorBidi"/>
              <w:i w:val="0"/>
              <w:lang w:eastAsia="en-GB"/>
            </w:rPr>
          </w:pPr>
          <w:hyperlink w:history="1" w:anchor="_Toc85541457">
            <w:r w:rsidRPr="00B72BC3">
              <w:rPr>
                <w:rStyle w:val="Hyperlink"/>
              </w:rPr>
              <w:t>(a)</w:t>
            </w:r>
            <w:r>
              <w:rPr>
                <w:rFonts w:asciiTheme="minorHAnsi" w:hAnsiTheme="minorHAnsi" w:eastAsiaTheme="minorEastAsia" w:cstheme="minorBidi"/>
                <w:i w:val="0"/>
                <w:lang w:eastAsia="en-GB"/>
              </w:rPr>
              <w:tab/>
            </w:r>
            <w:r w:rsidRPr="00B72BC3">
              <w:rPr>
                <w:rStyle w:val="Hyperlink"/>
              </w:rPr>
              <w:t>Status of guidelines</w:t>
            </w:r>
            <w:r>
              <w:rPr>
                <w:webHidden/>
              </w:rPr>
              <w:tab/>
            </w:r>
            <w:r>
              <w:rPr>
                <w:webHidden/>
              </w:rPr>
              <w:fldChar w:fldCharType="begin"/>
            </w:r>
            <w:r>
              <w:rPr>
                <w:webHidden/>
              </w:rPr>
              <w:instrText xml:space="preserve"> PAGEREF _Toc85541457 \h </w:instrText>
            </w:r>
            <w:r>
              <w:rPr>
                <w:webHidden/>
              </w:rPr>
            </w:r>
            <w:r>
              <w:rPr>
                <w:webHidden/>
              </w:rPr>
              <w:fldChar w:fldCharType="separate"/>
            </w:r>
            <w:r>
              <w:rPr>
                <w:webHidden/>
              </w:rPr>
              <w:t>160</w:t>
            </w:r>
            <w:r>
              <w:rPr>
                <w:webHidden/>
              </w:rPr>
              <w:fldChar w:fldCharType="end"/>
            </w:r>
          </w:hyperlink>
        </w:p>
        <w:p w:rsidR="00BB54FC" w:rsidRDefault="00BB54FC" w14:paraId="0A9C0FBB" w14:textId="6A28CB68">
          <w:pPr>
            <w:pStyle w:val="TOC3"/>
            <w:rPr>
              <w:rFonts w:asciiTheme="minorHAnsi" w:hAnsiTheme="minorHAnsi" w:eastAsiaTheme="minorEastAsia" w:cstheme="minorBidi"/>
              <w:i w:val="0"/>
              <w:lang w:eastAsia="en-GB"/>
            </w:rPr>
          </w:pPr>
          <w:hyperlink w:history="1" w:anchor="_Toc85541458">
            <w:r w:rsidRPr="00B72BC3">
              <w:rPr>
                <w:rStyle w:val="Hyperlink"/>
              </w:rPr>
              <w:t>(b)</w:t>
            </w:r>
            <w:r>
              <w:rPr>
                <w:rFonts w:asciiTheme="minorHAnsi" w:hAnsiTheme="minorHAnsi" w:eastAsiaTheme="minorEastAsia" w:cstheme="minorBidi"/>
                <w:i w:val="0"/>
                <w:lang w:eastAsia="en-GB"/>
              </w:rPr>
              <w:tab/>
            </w:r>
            <w:r w:rsidRPr="00B72BC3">
              <w:rPr>
                <w:rStyle w:val="Hyperlink"/>
              </w:rPr>
              <w:t>Stakeholder views on binding guidelines</w:t>
            </w:r>
            <w:r>
              <w:rPr>
                <w:webHidden/>
              </w:rPr>
              <w:tab/>
            </w:r>
            <w:r>
              <w:rPr>
                <w:webHidden/>
              </w:rPr>
              <w:fldChar w:fldCharType="begin"/>
            </w:r>
            <w:r>
              <w:rPr>
                <w:webHidden/>
              </w:rPr>
              <w:instrText xml:space="preserve"> PAGEREF _Toc85541458 \h </w:instrText>
            </w:r>
            <w:r>
              <w:rPr>
                <w:webHidden/>
              </w:rPr>
            </w:r>
            <w:r>
              <w:rPr>
                <w:webHidden/>
              </w:rPr>
              <w:fldChar w:fldCharType="separate"/>
            </w:r>
            <w:r>
              <w:rPr>
                <w:webHidden/>
              </w:rPr>
              <w:t>162</w:t>
            </w:r>
            <w:r>
              <w:rPr>
                <w:webHidden/>
              </w:rPr>
              <w:fldChar w:fldCharType="end"/>
            </w:r>
          </w:hyperlink>
        </w:p>
        <w:p w:rsidR="00BB54FC" w:rsidRDefault="00BB54FC" w14:paraId="20143B53" w14:textId="5608B23A">
          <w:pPr>
            <w:pStyle w:val="TOC3"/>
            <w:rPr>
              <w:rFonts w:asciiTheme="minorHAnsi" w:hAnsiTheme="minorHAnsi" w:eastAsiaTheme="minorEastAsia" w:cstheme="minorBidi"/>
              <w:i w:val="0"/>
              <w:lang w:eastAsia="en-GB"/>
            </w:rPr>
          </w:pPr>
          <w:hyperlink w:history="1" w:anchor="_Toc85541459">
            <w:r w:rsidRPr="00B72BC3">
              <w:rPr>
                <w:rStyle w:val="Hyperlink"/>
              </w:rPr>
              <w:t>(c)</w:t>
            </w:r>
            <w:r>
              <w:rPr>
                <w:rFonts w:asciiTheme="minorHAnsi" w:hAnsiTheme="minorHAnsi" w:eastAsiaTheme="minorEastAsia" w:cstheme="minorBidi"/>
                <w:i w:val="0"/>
                <w:lang w:eastAsia="en-GB"/>
              </w:rPr>
              <w:tab/>
            </w:r>
            <w:r w:rsidRPr="00B72BC3">
              <w:rPr>
                <w:rStyle w:val="Hyperlink"/>
              </w:rPr>
              <w:t>The binding nature of the National Guidelines</w:t>
            </w:r>
            <w:r>
              <w:rPr>
                <w:webHidden/>
              </w:rPr>
              <w:tab/>
            </w:r>
            <w:r>
              <w:rPr>
                <w:webHidden/>
              </w:rPr>
              <w:fldChar w:fldCharType="begin"/>
            </w:r>
            <w:r>
              <w:rPr>
                <w:webHidden/>
              </w:rPr>
              <w:instrText xml:space="preserve"> PAGEREF _Toc85541459 \h </w:instrText>
            </w:r>
            <w:r>
              <w:rPr>
                <w:webHidden/>
              </w:rPr>
            </w:r>
            <w:r>
              <w:rPr>
                <w:webHidden/>
              </w:rPr>
              <w:fldChar w:fldCharType="separate"/>
            </w:r>
            <w:r>
              <w:rPr>
                <w:webHidden/>
              </w:rPr>
              <w:t>163</w:t>
            </w:r>
            <w:r>
              <w:rPr>
                <w:webHidden/>
              </w:rPr>
              <w:fldChar w:fldCharType="end"/>
            </w:r>
          </w:hyperlink>
        </w:p>
        <w:p w:rsidR="00BB54FC" w:rsidRDefault="00BB54FC" w14:paraId="43349015" w14:textId="5B0238D1">
          <w:pPr>
            <w:pStyle w:val="TOC2"/>
            <w:rPr>
              <w:rFonts w:asciiTheme="minorHAnsi" w:hAnsiTheme="minorHAnsi" w:eastAsiaTheme="minorEastAsia" w:cstheme="minorBidi"/>
              <w:b w:val="0"/>
              <w:i w:val="0"/>
              <w:lang w:eastAsia="en-GB"/>
            </w:rPr>
          </w:pPr>
          <w:hyperlink w:history="1" w:anchor="_Toc85541460">
            <w:r w:rsidRPr="00B72BC3">
              <w:rPr>
                <w:rStyle w:val="Hyperlink"/>
                <w:rFonts w:eastAsia="Open Sans"/>
                <w:bCs/>
              </w:rPr>
              <w:t>6.8</w:t>
            </w:r>
            <w:r>
              <w:rPr>
                <w:rFonts w:asciiTheme="minorHAnsi" w:hAnsiTheme="minorHAnsi" w:eastAsiaTheme="minorEastAsia" w:cstheme="minorBidi"/>
                <w:b w:val="0"/>
                <w:i w:val="0"/>
                <w:lang w:eastAsia="en-GB"/>
              </w:rPr>
              <w:tab/>
            </w:r>
            <w:r w:rsidRPr="00B72BC3">
              <w:rPr>
                <w:rStyle w:val="Hyperlink"/>
              </w:rPr>
              <w:t>Development, funding, and review of the new National Guidelines</w:t>
            </w:r>
            <w:r>
              <w:rPr>
                <w:webHidden/>
              </w:rPr>
              <w:tab/>
            </w:r>
            <w:r>
              <w:rPr>
                <w:webHidden/>
              </w:rPr>
              <w:fldChar w:fldCharType="begin"/>
            </w:r>
            <w:r>
              <w:rPr>
                <w:webHidden/>
              </w:rPr>
              <w:instrText xml:space="preserve"> PAGEREF _Toc85541460 \h </w:instrText>
            </w:r>
            <w:r>
              <w:rPr>
                <w:webHidden/>
              </w:rPr>
            </w:r>
            <w:r>
              <w:rPr>
                <w:webHidden/>
              </w:rPr>
              <w:fldChar w:fldCharType="separate"/>
            </w:r>
            <w:r>
              <w:rPr>
                <w:webHidden/>
              </w:rPr>
              <w:t>164</w:t>
            </w:r>
            <w:r>
              <w:rPr>
                <w:webHidden/>
              </w:rPr>
              <w:fldChar w:fldCharType="end"/>
            </w:r>
          </w:hyperlink>
        </w:p>
        <w:p w:rsidR="00BB54FC" w:rsidRDefault="00BB54FC" w14:paraId="5288408E" w14:textId="7E4FD2D8">
          <w:pPr>
            <w:pStyle w:val="TOC3"/>
            <w:rPr>
              <w:rFonts w:asciiTheme="minorHAnsi" w:hAnsiTheme="minorHAnsi" w:eastAsiaTheme="minorEastAsia" w:cstheme="minorBidi"/>
              <w:i w:val="0"/>
              <w:lang w:eastAsia="en-GB"/>
            </w:rPr>
          </w:pPr>
          <w:hyperlink w:history="1" w:anchor="_Toc85541461">
            <w:r w:rsidRPr="00B72BC3">
              <w:rPr>
                <w:rStyle w:val="Hyperlink"/>
              </w:rPr>
              <w:t>(a)</w:t>
            </w:r>
            <w:r>
              <w:rPr>
                <w:rFonts w:asciiTheme="minorHAnsi" w:hAnsiTheme="minorHAnsi" w:eastAsiaTheme="minorEastAsia" w:cstheme="minorBidi"/>
                <w:i w:val="0"/>
                <w:lang w:eastAsia="en-GB"/>
              </w:rPr>
              <w:tab/>
            </w:r>
            <w:r w:rsidRPr="00B72BC3">
              <w:rPr>
                <w:rStyle w:val="Hyperlink"/>
              </w:rPr>
              <w:t>Stakeholder views on the development of guidelines</w:t>
            </w:r>
            <w:r>
              <w:rPr>
                <w:webHidden/>
              </w:rPr>
              <w:tab/>
            </w:r>
            <w:r>
              <w:rPr>
                <w:webHidden/>
              </w:rPr>
              <w:fldChar w:fldCharType="begin"/>
            </w:r>
            <w:r>
              <w:rPr>
                <w:webHidden/>
              </w:rPr>
              <w:instrText xml:space="preserve"> PAGEREF _Toc85541461 \h </w:instrText>
            </w:r>
            <w:r>
              <w:rPr>
                <w:webHidden/>
              </w:rPr>
            </w:r>
            <w:r>
              <w:rPr>
                <w:webHidden/>
              </w:rPr>
              <w:fldChar w:fldCharType="separate"/>
            </w:r>
            <w:r>
              <w:rPr>
                <w:webHidden/>
              </w:rPr>
              <w:t>164</w:t>
            </w:r>
            <w:r>
              <w:rPr>
                <w:webHidden/>
              </w:rPr>
              <w:fldChar w:fldCharType="end"/>
            </w:r>
          </w:hyperlink>
        </w:p>
        <w:p w:rsidR="00BB54FC" w:rsidRDefault="00BB54FC" w14:paraId="50217A00" w14:textId="1D0D8269">
          <w:pPr>
            <w:pStyle w:val="TOC3"/>
            <w:rPr>
              <w:rFonts w:asciiTheme="minorHAnsi" w:hAnsiTheme="minorHAnsi" w:eastAsiaTheme="minorEastAsia" w:cstheme="minorBidi"/>
              <w:i w:val="0"/>
              <w:lang w:eastAsia="en-GB"/>
            </w:rPr>
          </w:pPr>
          <w:hyperlink w:history="1" w:anchor="_Toc85541462">
            <w:r w:rsidRPr="00B72BC3">
              <w:rPr>
                <w:rStyle w:val="Hyperlink"/>
                <w:rFonts w:eastAsia="Open Sans"/>
              </w:rPr>
              <w:t>(b)</w:t>
            </w:r>
            <w:r>
              <w:rPr>
                <w:rFonts w:asciiTheme="minorHAnsi" w:hAnsiTheme="minorHAnsi" w:eastAsiaTheme="minorEastAsia" w:cstheme="minorBidi"/>
                <w:i w:val="0"/>
                <w:lang w:eastAsia="en-GB"/>
              </w:rPr>
              <w:tab/>
            </w:r>
            <w:r w:rsidRPr="00B72BC3">
              <w:rPr>
                <w:rStyle w:val="Hyperlink"/>
              </w:rPr>
              <w:t>Developing the National Guidelines</w:t>
            </w:r>
            <w:r>
              <w:rPr>
                <w:webHidden/>
              </w:rPr>
              <w:tab/>
            </w:r>
            <w:r>
              <w:rPr>
                <w:webHidden/>
              </w:rPr>
              <w:fldChar w:fldCharType="begin"/>
            </w:r>
            <w:r>
              <w:rPr>
                <w:webHidden/>
              </w:rPr>
              <w:instrText xml:space="preserve"> PAGEREF _Toc85541462 \h </w:instrText>
            </w:r>
            <w:r>
              <w:rPr>
                <w:webHidden/>
              </w:rPr>
            </w:r>
            <w:r>
              <w:rPr>
                <w:webHidden/>
              </w:rPr>
              <w:fldChar w:fldCharType="separate"/>
            </w:r>
            <w:r>
              <w:rPr>
                <w:webHidden/>
              </w:rPr>
              <w:t>165</w:t>
            </w:r>
            <w:r>
              <w:rPr>
                <w:webHidden/>
              </w:rPr>
              <w:fldChar w:fldCharType="end"/>
            </w:r>
          </w:hyperlink>
        </w:p>
        <w:p w:rsidR="00BB54FC" w:rsidRDefault="00BB54FC" w14:paraId="2F5239DA" w14:textId="766FF8D4">
          <w:pPr>
            <w:pStyle w:val="TOC3"/>
            <w:rPr>
              <w:rFonts w:asciiTheme="minorHAnsi" w:hAnsiTheme="minorHAnsi" w:eastAsiaTheme="minorEastAsia" w:cstheme="minorBidi"/>
              <w:i w:val="0"/>
              <w:lang w:eastAsia="en-GB"/>
            </w:rPr>
          </w:pPr>
          <w:hyperlink w:history="1" w:anchor="_Toc85541463">
            <w:r w:rsidRPr="00B72BC3">
              <w:rPr>
                <w:rStyle w:val="Hyperlink"/>
              </w:rPr>
              <w:t>(c)</w:t>
            </w:r>
            <w:r>
              <w:rPr>
                <w:rFonts w:asciiTheme="minorHAnsi" w:hAnsiTheme="minorHAnsi" w:eastAsiaTheme="minorEastAsia" w:cstheme="minorBidi"/>
                <w:i w:val="0"/>
                <w:lang w:eastAsia="en-GB"/>
              </w:rPr>
              <w:tab/>
            </w:r>
            <w:r w:rsidRPr="00B72BC3">
              <w:rPr>
                <w:rStyle w:val="Hyperlink"/>
              </w:rPr>
              <w:t>Review of the National Guidelines</w:t>
            </w:r>
            <w:r>
              <w:rPr>
                <w:webHidden/>
              </w:rPr>
              <w:tab/>
            </w:r>
            <w:r>
              <w:rPr>
                <w:webHidden/>
              </w:rPr>
              <w:fldChar w:fldCharType="begin"/>
            </w:r>
            <w:r>
              <w:rPr>
                <w:webHidden/>
              </w:rPr>
              <w:instrText xml:space="preserve"> PAGEREF _Toc85541463 \h </w:instrText>
            </w:r>
            <w:r>
              <w:rPr>
                <w:webHidden/>
              </w:rPr>
            </w:r>
            <w:r>
              <w:rPr>
                <w:webHidden/>
              </w:rPr>
              <w:fldChar w:fldCharType="separate"/>
            </w:r>
            <w:r>
              <w:rPr>
                <w:webHidden/>
              </w:rPr>
              <w:t>167</w:t>
            </w:r>
            <w:r>
              <w:rPr>
                <w:webHidden/>
              </w:rPr>
              <w:fldChar w:fldCharType="end"/>
            </w:r>
          </w:hyperlink>
        </w:p>
        <w:p w:rsidR="00BB54FC" w:rsidRDefault="00BB54FC" w14:paraId="00823099" w14:textId="4D6FC999">
          <w:pPr>
            <w:pStyle w:val="TOC1"/>
            <w:rPr>
              <w:rFonts w:asciiTheme="minorHAnsi" w:hAnsiTheme="minorHAnsi" w:eastAsiaTheme="minorEastAsia" w:cstheme="minorBidi"/>
              <w:b w:val="0"/>
              <w:lang w:eastAsia="en-GB"/>
            </w:rPr>
          </w:pPr>
          <w:hyperlink w:history="1" w:anchor="_Toc85541464">
            <w:r w:rsidRPr="00B72BC3">
              <w:rPr>
                <w:rStyle w:val="Hyperlink"/>
              </w:rPr>
              <w:t>7</w:t>
            </w:r>
            <w:r>
              <w:rPr>
                <w:rFonts w:asciiTheme="minorHAnsi" w:hAnsiTheme="minorHAnsi" w:eastAsiaTheme="minorEastAsia" w:cstheme="minorBidi"/>
                <w:b w:val="0"/>
                <w:lang w:eastAsia="en-GB"/>
              </w:rPr>
              <w:tab/>
            </w:r>
            <w:r w:rsidRPr="00B72BC3">
              <w:rPr>
                <w:rStyle w:val="Hyperlink"/>
              </w:rPr>
              <w:t>Oversight of medical interventions</w:t>
            </w:r>
            <w:r>
              <w:rPr>
                <w:webHidden/>
              </w:rPr>
              <w:tab/>
            </w:r>
            <w:r>
              <w:rPr>
                <w:webHidden/>
              </w:rPr>
              <w:fldChar w:fldCharType="begin"/>
            </w:r>
            <w:r>
              <w:rPr>
                <w:webHidden/>
              </w:rPr>
              <w:instrText xml:space="preserve"> PAGEREF _Toc85541464 \h </w:instrText>
            </w:r>
            <w:r>
              <w:rPr>
                <w:webHidden/>
              </w:rPr>
            </w:r>
            <w:r>
              <w:rPr>
                <w:webHidden/>
              </w:rPr>
              <w:fldChar w:fldCharType="separate"/>
            </w:r>
            <w:r>
              <w:rPr>
                <w:webHidden/>
              </w:rPr>
              <w:t>167</w:t>
            </w:r>
            <w:r>
              <w:rPr>
                <w:webHidden/>
              </w:rPr>
              <w:fldChar w:fldCharType="end"/>
            </w:r>
          </w:hyperlink>
        </w:p>
        <w:p w:rsidR="00BB54FC" w:rsidRDefault="00BB54FC" w14:paraId="1D8F0D3D" w14:textId="458D24E7">
          <w:pPr>
            <w:pStyle w:val="TOC2"/>
            <w:rPr>
              <w:rFonts w:asciiTheme="minorHAnsi" w:hAnsiTheme="minorHAnsi" w:eastAsiaTheme="minorEastAsia" w:cstheme="minorBidi"/>
              <w:b w:val="0"/>
              <w:i w:val="0"/>
              <w:lang w:eastAsia="en-GB"/>
            </w:rPr>
          </w:pPr>
          <w:hyperlink w:history="1" w:anchor="_Toc85541465">
            <w:r w:rsidRPr="00B72BC3">
              <w:rPr>
                <w:rStyle w:val="Hyperlink"/>
              </w:rPr>
              <w:t>7.1</w:t>
            </w:r>
            <w:r>
              <w:rPr>
                <w:rFonts w:asciiTheme="minorHAnsi" w:hAnsiTheme="minorHAnsi" w:eastAsiaTheme="minorEastAsia" w:cstheme="minorBidi"/>
                <w:b w:val="0"/>
                <w:i w:val="0"/>
                <w:lang w:eastAsia="en-GB"/>
              </w:rPr>
              <w:tab/>
            </w:r>
            <w:r w:rsidRPr="00B72BC3">
              <w:rPr>
                <w:rStyle w:val="Hyperlink"/>
              </w:rPr>
              <w:t>Current oversight mechanisms</w:t>
            </w:r>
            <w:r>
              <w:rPr>
                <w:webHidden/>
              </w:rPr>
              <w:tab/>
            </w:r>
            <w:r>
              <w:rPr>
                <w:webHidden/>
              </w:rPr>
              <w:fldChar w:fldCharType="begin"/>
            </w:r>
            <w:r>
              <w:rPr>
                <w:webHidden/>
              </w:rPr>
              <w:instrText xml:space="preserve"> PAGEREF _Toc85541465 \h </w:instrText>
            </w:r>
            <w:r>
              <w:rPr>
                <w:webHidden/>
              </w:rPr>
            </w:r>
            <w:r>
              <w:rPr>
                <w:webHidden/>
              </w:rPr>
              <w:fldChar w:fldCharType="separate"/>
            </w:r>
            <w:r>
              <w:rPr>
                <w:webHidden/>
              </w:rPr>
              <w:t>168</w:t>
            </w:r>
            <w:r>
              <w:rPr>
                <w:webHidden/>
              </w:rPr>
              <w:fldChar w:fldCharType="end"/>
            </w:r>
          </w:hyperlink>
        </w:p>
        <w:p w:rsidR="00BB54FC" w:rsidRDefault="00BB54FC" w14:paraId="13FBA4B9" w14:textId="0E3038C4">
          <w:pPr>
            <w:pStyle w:val="TOC3"/>
            <w:rPr>
              <w:rFonts w:asciiTheme="minorHAnsi" w:hAnsiTheme="minorHAnsi" w:eastAsiaTheme="minorEastAsia" w:cstheme="minorBidi"/>
              <w:i w:val="0"/>
              <w:lang w:eastAsia="en-GB"/>
            </w:rPr>
          </w:pPr>
          <w:hyperlink w:history="1" w:anchor="_Toc85541466">
            <w:r w:rsidRPr="00B72BC3">
              <w:rPr>
                <w:rStyle w:val="Hyperlink"/>
              </w:rPr>
              <w:t>(a)</w:t>
            </w:r>
            <w:r>
              <w:rPr>
                <w:rFonts w:asciiTheme="minorHAnsi" w:hAnsiTheme="minorHAnsi" w:eastAsiaTheme="minorEastAsia" w:cstheme="minorBidi"/>
                <w:i w:val="0"/>
                <w:lang w:eastAsia="en-GB"/>
              </w:rPr>
              <w:tab/>
            </w:r>
            <w:r w:rsidRPr="00B72BC3">
              <w:rPr>
                <w:rStyle w:val="Hyperlink"/>
              </w:rPr>
              <w:t>Review of Family Court cases</w:t>
            </w:r>
            <w:r>
              <w:rPr>
                <w:webHidden/>
              </w:rPr>
              <w:tab/>
            </w:r>
            <w:r>
              <w:rPr>
                <w:webHidden/>
              </w:rPr>
              <w:fldChar w:fldCharType="begin"/>
            </w:r>
            <w:r>
              <w:rPr>
                <w:webHidden/>
              </w:rPr>
              <w:instrText xml:space="preserve"> PAGEREF _Toc85541466 \h </w:instrText>
            </w:r>
            <w:r>
              <w:rPr>
                <w:webHidden/>
              </w:rPr>
            </w:r>
            <w:r>
              <w:rPr>
                <w:webHidden/>
              </w:rPr>
              <w:fldChar w:fldCharType="separate"/>
            </w:r>
            <w:r>
              <w:rPr>
                <w:webHidden/>
              </w:rPr>
              <w:t>169</w:t>
            </w:r>
            <w:r>
              <w:rPr>
                <w:webHidden/>
              </w:rPr>
              <w:fldChar w:fldCharType="end"/>
            </w:r>
          </w:hyperlink>
        </w:p>
        <w:p w:rsidR="00BB54FC" w:rsidRDefault="00BB54FC" w14:paraId="37EAF7BB" w14:textId="25737A31">
          <w:pPr>
            <w:pStyle w:val="TOC3"/>
            <w:rPr>
              <w:rFonts w:asciiTheme="minorHAnsi" w:hAnsiTheme="minorHAnsi" w:eastAsiaTheme="minorEastAsia" w:cstheme="minorBidi"/>
              <w:i w:val="0"/>
              <w:lang w:eastAsia="en-GB"/>
            </w:rPr>
          </w:pPr>
          <w:hyperlink w:history="1" w:anchor="_Toc85541467">
            <w:r w:rsidRPr="00B72BC3">
              <w:rPr>
                <w:rStyle w:val="Hyperlink"/>
              </w:rPr>
              <w:t>(b)</w:t>
            </w:r>
            <w:r>
              <w:rPr>
                <w:rFonts w:asciiTheme="minorHAnsi" w:hAnsiTheme="minorHAnsi" w:eastAsiaTheme="minorEastAsia" w:cstheme="minorBidi"/>
                <w:i w:val="0"/>
                <w:lang w:eastAsia="en-GB"/>
              </w:rPr>
              <w:tab/>
            </w:r>
            <w:r w:rsidRPr="00B72BC3">
              <w:rPr>
                <w:rStyle w:val="Hyperlink"/>
              </w:rPr>
              <w:t>Observations on Family Court oversight</w:t>
            </w:r>
            <w:r>
              <w:rPr>
                <w:webHidden/>
              </w:rPr>
              <w:tab/>
            </w:r>
            <w:r>
              <w:rPr>
                <w:webHidden/>
              </w:rPr>
              <w:fldChar w:fldCharType="begin"/>
            </w:r>
            <w:r>
              <w:rPr>
                <w:webHidden/>
              </w:rPr>
              <w:instrText xml:space="preserve"> PAGEREF _Toc85541467 \h </w:instrText>
            </w:r>
            <w:r>
              <w:rPr>
                <w:webHidden/>
              </w:rPr>
            </w:r>
            <w:r>
              <w:rPr>
                <w:webHidden/>
              </w:rPr>
              <w:fldChar w:fldCharType="separate"/>
            </w:r>
            <w:r>
              <w:rPr>
                <w:webHidden/>
              </w:rPr>
              <w:t>175</w:t>
            </w:r>
            <w:r>
              <w:rPr>
                <w:webHidden/>
              </w:rPr>
              <w:fldChar w:fldCharType="end"/>
            </w:r>
          </w:hyperlink>
        </w:p>
        <w:p w:rsidR="00BB54FC" w:rsidRDefault="00BB54FC" w14:paraId="4C2E8AB3" w14:textId="1EF4F337">
          <w:pPr>
            <w:pStyle w:val="TOC2"/>
            <w:rPr>
              <w:rFonts w:asciiTheme="minorHAnsi" w:hAnsiTheme="minorHAnsi" w:eastAsiaTheme="minorEastAsia" w:cstheme="minorBidi"/>
              <w:b w:val="0"/>
              <w:i w:val="0"/>
              <w:lang w:eastAsia="en-GB"/>
            </w:rPr>
          </w:pPr>
          <w:hyperlink w:history="1" w:anchor="_Toc85541468">
            <w:r w:rsidRPr="00B72BC3">
              <w:rPr>
                <w:rStyle w:val="Hyperlink"/>
              </w:rPr>
              <w:t>7.2</w:t>
            </w:r>
            <w:r>
              <w:rPr>
                <w:rFonts w:asciiTheme="minorHAnsi" w:hAnsiTheme="minorHAnsi" w:eastAsiaTheme="minorEastAsia" w:cstheme="minorBidi"/>
                <w:b w:val="0"/>
                <w:i w:val="0"/>
                <w:lang w:eastAsia="en-GB"/>
              </w:rPr>
              <w:tab/>
            </w:r>
            <w:r w:rsidRPr="00B72BC3">
              <w:rPr>
                <w:rStyle w:val="Hyperlink"/>
              </w:rPr>
              <w:t>Concerns about current o</w:t>
            </w:r>
            <w:r w:rsidRPr="00B72BC3">
              <w:rPr>
                <w:rStyle w:val="Hyperlink"/>
                <w:rFonts w:cs="Open Sans"/>
              </w:rPr>
              <w:t>versight mechanisms</w:t>
            </w:r>
            <w:r>
              <w:rPr>
                <w:webHidden/>
              </w:rPr>
              <w:tab/>
            </w:r>
            <w:r>
              <w:rPr>
                <w:webHidden/>
              </w:rPr>
              <w:fldChar w:fldCharType="begin"/>
            </w:r>
            <w:r>
              <w:rPr>
                <w:webHidden/>
              </w:rPr>
              <w:instrText xml:space="preserve"> PAGEREF _Toc85541468 \h </w:instrText>
            </w:r>
            <w:r>
              <w:rPr>
                <w:webHidden/>
              </w:rPr>
            </w:r>
            <w:r>
              <w:rPr>
                <w:webHidden/>
              </w:rPr>
              <w:fldChar w:fldCharType="separate"/>
            </w:r>
            <w:r>
              <w:rPr>
                <w:webHidden/>
              </w:rPr>
              <w:t>179</w:t>
            </w:r>
            <w:r>
              <w:rPr>
                <w:webHidden/>
              </w:rPr>
              <w:fldChar w:fldCharType="end"/>
            </w:r>
          </w:hyperlink>
        </w:p>
        <w:p w:rsidR="00BB54FC" w:rsidRDefault="00BB54FC" w14:paraId="308BDB61" w14:textId="6BD46D5A">
          <w:pPr>
            <w:pStyle w:val="TOC3"/>
            <w:rPr>
              <w:rFonts w:asciiTheme="minorHAnsi" w:hAnsiTheme="minorHAnsi" w:eastAsiaTheme="minorEastAsia" w:cstheme="minorBidi"/>
              <w:i w:val="0"/>
              <w:lang w:eastAsia="en-GB"/>
            </w:rPr>
          </w:pPr>
          <w:hyperlink w:history="1" w:anchor="_Toc85541469">
            <w:r w:rsidRPr="00B72BC3">
              <w:rPr>
                <w:rStyle w:val="Hyperlink"/>
              </w:rPr>
              <w:t>(a)</w:t>
            </w:r>
            <w:r>
              <w:rPr>
                <w:rFonts w:asciiTheme="minorHAnsi" w:hAnsiTheme="minorHAnsi" w:eastAsiaTheme="minorEastAsia" w:cstheme="minorBidi"/>
                <w:i w:val="0"/>
                <w:lang w:eastAsia="en-GB"/>
              </w:rPr>
              <w:tab/>
            </w:r>
            <w:r w:rsidRPr="00B72BC3">
              <w:rPr>
                <w:rStyle w:val="Hyperlink"/>
              </w:rPr>
              <w:t>Stakeholder perspectives about Family Court oversight</w:t>
            </w:r>
            <w:r>
              <w:rPr>
                <w:webHidden/>
              </w:rPr>
              <w:tab/>
            </w:r>
            <w:r>
              <w:rPr>
                <w:webHidden/>
              </w:rPr>
              <w:fldChar w:fldCharType="begin"/>
            </w:r>
            <w:r>
              <w:rPr>
                <w:webHidden/>
              </w:rPr>
              <w:instrText xml:space="preserve"> PAGEREF _Toc85541469 \h </w:instrText>
            </w:r>
            <w:r>
              <w:rPr>
                <w:webHidden/>
              </w:rPr>
            </w:r>
            <w:r>
              <w:rPr>
                <w:webHidden/>
              </w:rPr>
              <w:fldChar w:fldCharType="separate"/>
            </w:r>
            <w:r>
              <w:rPr>
                <w:webHidden/>
              </w:rPr>
              <w:t>180</w:t>
            </w:r>
            <w:r>
              <w:rPr>
                <w:webHidden/>
              </w:rPr>
              <w:fldChar w:fldCharType="end"/>
            </w:r>
          </w:hyperlink>
        </w:p>
        <w:p w:rsidR="00BB54FC" w:rsidRDefault="00BB54FC" w14:paraId="006BF6BA" w14:textId="209ED1A8">
          <w:pPr>
            <w:pStyle w:val="TOC3"/>
            <w:rPr>
              <w:rFonts w:asciiTheme="minorHAnsi" w:hAnsiTheme="minorHAnsi" w:eastAsiaTheme="minorEastAsia" w:cstheme="minorBidi"/>
              <w:i w:val="0"/>
              <w:lang w:eastAsia="en-GB"/>
            </w:rPr>
          </w:pPr>
          <w:hyperlink w:history="1" w:anchor="_Toc85541470">
            <w:r w:rsidRPr="00B72BC3">
              <w:rPr>
                <w:rStyle w:val="Hyperlink"/>
              </w:rPr>
              <w:t>(b)</w:t>
            </w:r>
            <w:r>
              <w:rPr>
                <w:rFonts w:asciiTheme="minorHAnsi" w:hAnsiTheme="minorHAnsi" w:eastAsiaTheme="minorEastAsia" w:cstheme="minorBidi"/>
                <w:i w:val="0"/>
                <w:lang w:eastAsia="en-GB"/>
              </w:rPr>
              <w:tab/>
            </w:r>
            <w:r w:rsidRPr="00B72BC3">
              <w:rPr>
                <w:rStyle w:val="Hyperlink"/>
              </w:rPr>
              <w:t>A need for alternative oversight</w:t>
            </w:r>
            <w:r>
              <w:rPr>
                <w:webHidden/>
              </w:rPr>
              <w:tab/>
            </w:r>
            <w:r>
              <w:rPr>
                <w:webHidden/>
              </w:rPr>
              <w:fldChar w:fldCharType="begin"/>
            </w:r>
            <w:r>
              <w:rPr>
                <w:webHidden/>
              </w:rPr>
              <w:instrText xml:space="preserve"> PAGEREF _Toc85541470 \h </w:instrText>
            </w:r>
            <w:r>
              <w:rPr>
                <w:webHidden/>
              </w:rPr>
            </w:r>
            <w:r>
              <w:rPr>
                <w:webHidden/>
              </w:rPr>
              <w:fldChar w:fldCharType="separate"/>
            </w:r>
            <w:r>
              <w:rPr>
                <w:webHidden/>
              </w:rPr>
              <w:t>182</w:t>
            </w:r>
            <w:r>
              <w:rPr>
                <w:webHidden/>
              </w:rPr>
              <w:fldChar w:fldCharType="end"/>
            </w:r>
          </w:hyperlink>
        </w:p>
        <w:p w:rsidR="00BB54FC" w:rsidRDefault="00BB54FC" w14:paraId="48E4F2EB" w14:textId="5565D9BC">
          <w:pPr>
            <w:pStyle w:val="TOC2"/>
            <w:rPr>
              <w:rFonts w:asciiTheme="minorHAnsi" w:hAnsiTheme="minorHAnsi" w:eastAsiaTheme="minorEastAsia" w:cstheme="minorBidi"/>
              <w:b w:val="0"/>
              <w:i w:val="0"/>
              <w:lang w:eastAsia="en-GB"/>
            </w:rPr>
          </w:pPr>
          <w:hyperlink w:history="1" w:anchor="_Toc85541471">
            <w:r w:rsidRPr="00B72BC3">
              <w:rPr>
                <w:rStyle w:val="Hyperlink"/>
              </w:rPr>
              <w:t>7.3</w:t>
            </w:r>
            <w:r>
              <w:rPr>
                <w:rFonts w:asciiTheme="minorHAnsi" w:hAnsiTheme="minorHAnsi" w:eastAsiaTheme="minorEastAsia" w:cstheme="minorBidi"/>
                <w:b w:val="0"/>
                <w:i w:val="0"/>
                <w:lang w:eastAsia="en-GB"/>
              </w:rPr>
              <w:tab/>
            </w:r>
            <w:r w:rsidRPr="00B72BC3">
              <w:rPr>
                <w:rStyle w:val="Hyperlink"/>
              </w:rPr>
              <w:t>Options for independent oversight</w:t>
            </w:r>
            <w:r>
              <w:rPr>
                <w:webHidden/>
              </w:rPr>
              <w:tab/>
            </w:r>
            <w:r>
              <w:rPr>
                <w:webHidden/>
              </w:rPr>
              <w:fldChar w:fldCharType="begin"/>
            </w:r>
            <w:r>
              <w:rPr>
                <w:webHidden/>
              </w:rPr>
              <w:instrText xml:space="preserve"> PAGEREF _Toc85541471 \h </w:instrText>
            </w:r>
            <w:r>
              <w:rPr>
                <w:webHidden/>
              </w:rPr>
            </w:r>
            <w:r>
              <w:rPr>
                <w:webHidden/>
              </w:rPr>
              <w:fldChar w:fldCharType="separate"/>
            </w:r>
            <w:r>
              <w:rPr>
                <w:webHidden/>
              </w:rPr>
              <w:t>184</w:t>
            </w:r>
            <w:r>
              <w:rPr>
                <w:webHidden/>
              </w:rPr>
              <w:fldChar w:fldCharType="end"/>
            </w:r>
          </w:hyperlink>
        </w:p>
        <w:p w:rsidR="00BB54FC" w:rsidRDefault="00BB54FC" w14:paraId="124807CD" w14:textId="63E47C20">
          <w:pPr>
            <w:pStyle w:val="TOC3"/>
            <w:rPr>
              <w:rFonts w:asciiTheme="minorHAnsi" w:hAnsiTheme="minorHAnsi" w:eastAsiaTheme="minorEastAsia" w:cstheme="minorBidi"/>
              <w:i w:val="0"/>
              <w:lang w:eastAsia="en-GB"/>
            </w:rPr>
          </w:pPr>
          <w:hyperlink w:history="1" w:anchor="_Toc85541472">
            <w:r w:rsidRPr="00B72BC3">
              <w:rPr>
                <w:rStyle w:val="Hyperlink"/>
              </w:rPr>
              <w:t>(a)</w:t>
            </w:r>
            <w:r>
              <w:rPr>
                <w:rFonts w:asciiTheme="minorHAnsi" w:hAnsiTheme="minorHAnsi" w:eastAsiaTheme="minorEastAsia" w:cstheme="minorBidi"/>
                <w:i w:val="0"/>
                <w:lang w:eastAsia="en-GB"/>
              </w:rPr>
              <w:tab/>
            </w:r>
            <w:r w:rsidRPr="00B72BC3">
              <w:rPr>
                <w:rStyle w:val="Hyperlink"/>
              </w:rPr>
              <w:t>Stakeholder views on new expert panels and tribunals</w:t>
            </w:r>
            <w:r>
              <w:rPr>
                <w:webHidden/>
              </w:rPr>
              <w:tab/>
            </w:r>
            <w:r>
              <w:rPr>
                <w:webHidden/>
              </w:rPr>
              <w:fldChar w:fldCharType="begin"/>
            </w:r>
            <w:r>
              <w:rPr>
                <w:webHidden/>
              </w:rPr>
              <w:instrText xml:space="preserve"> PAGEREF _Toc85541472 \h </w:instrText>
            </w:r>
            <w:r>
              <w:rPr>
                <w:webHidden/>
              </w:rPr>
            </w:r>
            <w:r>
              <w:rPr>
                <w:webHidden/>
              </w:rPr>
              <w:fldChar w:fldCharType="separate"/>
            </w:r>
            <w:r>
              <w:rPr>
                <w:webHidden/>
              </w:rPr>
              <w:t>185</w:t>
            </w:r>
            <w:r>
              <w:rPr>
                <w:webHidden/>
              </w:rPr>
              <w:fldChar w:fldCharType="end"/>
            </w:r>
          </w:hyperlink>
        </w:p>
        <w:p w:rsidR="00BB54FC" w:rsidRDefault="00BB54FC" w14:paraId="70600E06" w14:textId="5DE8482D">
          <w:pPr>
            <w:pStyle w:val="TOC2"/>
            <w:rPr>
              <w:rFonts w:asciiTheme="minorHAnsi" w:hAnsiTheme="minorHAnsi" w:eastAsiaTheme="minorEastAsia" w:cstheme="minorBidi"/>
              <w:b w:val="0"/>
              <w:i w:val="0"/>
              <w:lang w:eastAsia="en-GB"/>
            </w:rPr>
          </w:pPr>
          <w:hyperlink w:history="1" w:anchor="_Toc85541473">
            <w:r w:rsidRPr="00B72BC3">
              <w:rPr>
                <w:rStyle w:val="Hyperlink"/>
              </w:rPr>
              <w:t>7.4</w:t>
            </w:r>
            <w:r>
              <w:rPr>
                <w:rFonts w:asciiTheme="minorHAnsi" w:hAnsiTheme="minorHAnsi" w:eastAsiaTheme="minorEastAsia" w:cstheme="minorBidi"/>
                <w:b w:val="0"/>
                <w:i w:val="0"/>
                <w:lang w:eastAsia="en-GB"/>
              </w:rPr>
              <w:tab/>
            </w:r>
            <w:r w:rsidRPr="00B72BC3">
              <w:rPr>
                <w:rStyle w:val="Hyperlink"/>
              </w:rPr>
              <w:t>Authorisation by Independent Panels</w:t>
            </w:r>
            <w:r>
              <w:rPr>
                <w:webHidden/>
              </w:rPr>
              <w:tab/>
            </w:r>
            <w:r>
              <w:rPr>
                <w:webHidden/>
              </w:rPr>
              <w:fldChar w:fldCharType="begin"/>
            </w:r>
            <w:r>
              <w:rPr>
                <w:webHidden/>
              </w:rPr>
              <w:instrText xml:space="preserve"> PAGEREF _Toc85541473 \h </w:instrText>
            </w:r>
            <w:r>
              <w:rPr>
                <w:webHidden/>
              </w:rPr>
            </w:r>
            <w:r>
              <w:rPr>
                <w:webHidden/>
              </w:rPr>
              <w:fldChar w:fldCharType="separate"/>
            </w:r>
            <w:r>
              <w:rPr>
                <w:webHidden/>
              </w:rPr>
              <w:t>188</w:t>
            </w:r>
            <w:r>
              <w:rPr>
                <w:webHidden/>
              </w:rPr>
              <w:fldChar w:fldCharType="end"/>
            </w:r>
          </w:hyperlink>
        </w:p>
        <w:p w:rsidR="00BB54FC" w:rsidRDefault="00BB54FC" w14:paraId="3006F21E" w14:textId="34998DDD">
          <w:pPr>
            <w:pStyle w:val="TOC3"/>
            <w:rPr>
              <w:rFonts w:asciiTheme="minorHAnsi" w:hAnsiTheme="minorHAnsi" w:eastAsiaTheme="minorEastAsia" w:cstheme="minorBidi"/>
              <w:i w:val="0"/>
              <w:lang w:eastAsia="en-GB"/>
            </w:rPr>
          </w:pPr>
          <w:hyperlink w:history="1" w:anchor="_Toc85541474">
            <w:r w:rsidRPr="00B72BC3">
              <w:rPr>
                <w:rStyle w:val="Hyperlink"/>
              </w:rPr>
              <w:t>(a)</w:t>
            </w:r>
            <w:r>
              <w:rPr>
                <w:rFonts w:asciiTheme="minorHAnsi" w:hAnsiTheme="minorHAnsi" w:eastAsiaTheme="minorEastAsia" w:cstheme="minorBidi"/>
                <w:i w:val="0"/>
                <w:lang w:eastAsia="en-GB"/>
              </w:rPr>
              <w:tab/>
            </w:r>
            <w:r w:rsidRPr="00B72BC3">
              <w:rPr>
                <w:rStyle w:val="Hyperlink"/>
              </w:rPr>
              <w:t>The obligation to seek authorisation</w:t>
            </w:r>
            <w:r>
              <w:rPr>
                <w:webHidden/>
              </w:rPr>
              <w:tab/>
            </w:r>
            <w:r>
              <w:rPr>
                <w:webHidden/>
              </w:rPr>
              <w:fldChar w:fldCharType="begin"/>
            </w:r>
            <w:r>
              <w:rPr>
                <w:webHidden/>
              </w:rPr>
              <w:instrText xml:space="preserve"> PAGEREF _Toc85541474 \h </w:instrText>
            </w:r>
            <w:r>
              <w:rPr>
                <w:webHidden/>
              </w:rPr>
            </w:r>
            <w:r>
              <w:rPr>
                <w:webHidden/>
              </w:rPr>
              <w:fldChar w:fldCharType="separate"/>
            </w:r>
            <w:r>
              <w:rPr>
                <w:webHidden/>
              </w:rPr>
              <w:t>189</w:t>
            </w:r>
            <w:r>
              <w:rPr>
                <w:webHidden/>
              </w:rPr>
              <w:fldChar w:fldCharType="end"/>
            </w:r>
          </w:hyperlink>
        </w:p>
        <w:p w:rsidR="00BB54FC" w:rsidRDefault="00BB54FC" w14:paraId="15833F25" w14:textId="5F2CA1B6">
          <w:pPr>
            <w:pStyle w:val="TOC3"/>
            <w:rPr>
              <w:rFonts w:asciiTheme="minorHAnsi" w:hAnsiTheme="minorHAnsi" w:eastAsiaTheme="minorEastAsia" w:cstheme="minorBidi"/>
              <w:i w:val="0"/>
              <w:lang w:eastAsia="en-GB"/>
            </w:rPr>
          </w:pPr>
          <w:hyperlink w:history="1" w:anchor="_Toc85541475">
            <w:r w:rsidRPr="00B72BC3">
              <w:rPr>
                <w:rStyle w:val="Hyperlink"/>
              </w:rPr>
              <w:t>(b)</w:t>
            </w:r>
            <w:r>
              <w:rPr>
                <w:rFonts w:asciiTheme="minorHAnsi" w:hAnsiTheme="minorHAnsi" w:eastAsiaTheme="minorEastAsia" w:cstheme="minorBidi"/>
                <w:i w:val="0"/>
                <w:lang w:eastAsia="en-GB"/>
              </w:rPr>
              <w:tab/>
            </w:r>
            <w:r w:rsidRPr="00B72BC3">
              <w:rPr>
                <w:rStyle w:val="Hyperlink"/>
              </w:rPr>
              <w:t>Circumstances in which interventions may be authorised</w:t>
            </w:r>
            <w:r>
              <w:rPr>
                <w:webHidden/>
              </w:rPr>
              <w:tab/>
            </w:r>
            <w:r>
              <w:rPr>
                <w:webHidden/>
              </w:rPr>
              <w:fldChar w:fldCharType="begin"/>
            </w:r>
            <w:r>
              <w:rPr>
                <w:webHidden/>
              </w:rPr>
              <w:instrText xml:space="preserve"> PAGEREF _Toc85541475 \h </w:instrText>
            </w:r>
            <w:r>
              <w:rPr>
                <w:webHidden/>
              </w:rPr>
            </w:r>
            <w:r>
              <w:rPr>
                <w:webHidden/>
              </w:rPr>
              <w:fldChar w:fldCharType="separate"/>
            </w:r>
            <w:r>
              <w:rPr>
                <w:webHidden/>
              </w:rPr>
              <w:t>190</w:t>
            </w:r>
            <w:r>
              <w:rPr>
                <w:webHidden/>
              </w:rPr>
              <w:fldChar w:fldCharType="end"/>
            </w:r>
          </w:hyperlink>
        </w:p>
        <w:p w:rsidR="00BB54FC" w:rsidRDefault="00BB54FC" w14:paraId="671A248A" w14:textId="6A4A8514">
          <w:pPr>
            <w:pStyle w:val="TOC3"/>
            <w:rPr>
              <w:rFonts w:asciiTheme="minorHAnsi" w:hAnsiTheme="minorHAnsi" w:eastAsiaTheme="minorEastAsia" w:cstheme="minorBidi"/>
              <w:i w:val="0"/>
              <w:lang w:eastAsia="en-GB"/>
            </w:rPr>
          </w:pPr>
          <w:hyperlink w:history="1" w:anchor="_Toc85541476">
            <w:r w:rsidRPr="00B72BC3">
              <w:rPr>
                <w:rStyle w:val="Hyperlink"/>
              </w:rPr>
              <w:t>(c)</w:t>
            </w:r>
            <w:r>
              <w:rPr>
                <w:rFonts w:asciiTheme="minorHAnsi" w:hAnsiTheme="minorHAnsi" w:eastAsiaTheme="minorEastAsia" w:cstheme="minorBidi"/>
                <w:i w:val="0"/>
                <w:lang w:eastAsia="en-GB"/>
              </w:rPr>
              <w:tab/>
            </w:r>
            <w:r w:rsidRPr="00B72BC3">
              <w:rPr>
                <w:rStyle w:val="Hyperlink"/>
              </w:rPr>
              <w:t>Independent Panels</w:t>
            </w:r>
            <w:r>
              <w:rPr>
                <w:webHidden/>
              </w:rPr>
              <w:tab/>
            </w:r>
            <w:r>
              <w:rPr>
                <w:webHidden/>
              </w:rPr>
              <w:fldChar w:fldCharType="begin"/>
            </w:r>
            <w:r>
              <w:rPr>
                <w:webHidden/>
              </w:rPr>
              <w:instrText xml:space="preserve"> PAGEREF _Toc85541476 \h </w:instrText>
            </w:r>
            <w:r>
              <w:rPr>
                <w:webHidden/>
              </w:rPr>
            </w:r>
            <w:r>
              <w:rPr>
                <w:webHidden/>
              </w:rPr>
              <w:fldChar w:fldCharType="separate"/>
            </w:r>
            <w:r>
              <w:rPr>
                <w:webHidden/>
              </w:rPr>
              <w:t>190</w:t>
            </w:r>
            <w:r>
              <w:rPr>
                <w:webHidden/>
              </w:rPr>
              <w:fldChar w:fldCharType="end"/>
            </w:r>
          </w:hyperlink>
        </w:p>
        <w:p w:rsidR="00BB54FC" w:rsidRDefault="00BB54FC" w14:paraId="70F8A184" w14:textId="03BFD7EF">
          <w:pPr>
            <w:pStyle w:val="TOC3"/>
            <w:rPr>
              <w:rFonts w:asciiTheme="minorHAnsi" w:hAnsiTheme="minorHAnsi" w:eastAsiaTheme="minorEastAsia" w:cstheme="minorBidi"/>
              <w:i w:val="0"/>
              <w:lang w:eastAsia="en-GB"/>
            </w:rPr>
          </w:pPr>
          <w:hyperlink w:history="1" w:anchor="_Toc85541477">
            <w:r w:rsidRPr="00B72BC3">
              <w:rPr>
                <w:rStyle w:val="Hyperlink"/>
              </w:rPr>
              <w:t>(d)</w:t>
            </w:r>
            <w:r>
              <w:rPr>
                <w:rFonts w:asciiTheme="minorHAnsi" w:hAnsiTheme="minorHAnsi" w:eastAsiaTheme="minorEastAsia" w:cstheme="minorBidi"/>
                <w:i w:val="0"/>
                <w:lang w:eastAsia="en-GB"/>
              </w:rPr>
              <w:tab/>
            </w:r>
            <w:r w:rsidRPr="00B72BC3">
              <w:rPr>
                <w:rStyle w:val="Hyperlink"/>
              </w:rPr>
              <w:t>Implementation in policy</w:t>
            </w:r>
            <w:r>
              <w:rPr>
                <w:webHidden/>
              </w:rPr>
              <w:tab/>
            </w:r>
            <w:r>
              <w:rPr>
                <w:webHidden/>
              </w:rPr>
              <w:fldChar w:fldCharType="begin"/>
            </w:r>
            <w:r>
              <w:rPr>
                <w:webHidden/>
              </w:rPr>
              <w:instrText xml:space="preserve"> PAGEREF _Toc85541477 \h </w:instrText>
            </w:r>
            <w:r>
              <w:rPr>
                <w:webHidden/>
              </w:rPr>
            </w:r>
            <w:r>
              <w:rPr>
                <w:webHidden/>
              </w:rPr>
              <w:fldChar w:fldCharType="separate"/>
            </w:r>
            <w:r>
              <w:rPr>
                <w:webHidden/>
              </w:rPr>
              <w:t>192</w:t>
            </w:r>
            <w:r>
              <w:rPr>
                <w:webHidden/>
              </w:rPr>
              <w:fldChar w:fldCharType="end"/>
            </w:r>
          </w:hyperlink>
        </w:p>
        <w:p w:rsidR="00BB54FC" w:rsidRDefault="00BB54FC" w14:paraId="0D592790" w14:textId="1CE6F768">
          <w:pPr>
            <w:pStyle w:val="TOC3"/>
            <w:rPr>
              <w:rFonts w:asciiTheme="minorHAnsi" w:hAnsiTheme="minorHAnsi" w:eastAsiaTheme="minorEastAsia" w:cstheme="minorBidi"/>
              <w:i w:val="0"/>
              <w:lang w:eastAsia="en-GB"/>
            </w:rPr>
          </w:pPr>
          <w:hyperlink w:history="1" w:anchor="_Toc85541478">
            <w:r w:rsidRPr="00B72BC3">
              <w:rPr>
                <w:rStyle w:val="Hyperlink"/>
              </w:rPr>
              <w:t>(e)</w:t>
            </w:r>
            <w:r>
              <w:rPr>
                <w:rFonts w:asciiTheme="minorHAnsi" w:hAnsiTheme="minorHAnsi" w:eastAsiaTheme="minorEastAsia" w:cstheme="minorBidi"/>
                <w:i w:val="0"/>
                <w:lang w:eastAsia="en-GB"/>
              </w:rPr>
              <w:tab/>
            </w:r>
            <w:r w:rsidRPr="00B72BC3">
              <w:rPr>
                <w:rStyle w:val="Hyperlink"/>
              </w:rPr>
              <w:t>Role of the National Guidelines</w:t>
            </w:r>
            <w:r>
              <w:rPr>
                <w:webHidden/>
              </w:rPr>
              <w:tab/>
            </w:r>
            <w:r>
              <w:rPr>
                <w:webHidden/>
              </w:rPr>
              <w:fldChar w:fldCharType="begin"/>
            </w:r>
            <w:r>
              <w:rPr>
                <w:webHidden/>
              </w:rPr>
              <w:instrText xml:space="preserve"> PAGEREF _Toc85541478 \h </w:instrText>
            </w:r>
            <w:r>
              <w:rPr>
                <w:webHidden/>
              </w:rPr>
            </w:r>
            <w:r>
              <w:rPr>
                <w:webHidden/>
              </w:rPr>
              <w:fldChar w:fldCharType="separate"/>
            </w:r>
            <w:r>
              <w:rPr>
                <w:webHidden/>
              </w:rPr>
              <w:t>192</w:t>
            </w:r>
            <w:r>
              <w:rPr>
                <w:webHidden/>
              </w:rPr>
              <w:fldChar w:fldCharType="end"/>
            </w:r>
          </w:hyperlink>
        </w:p>
        <w:p w:rsidR="00BB54FC" w:rsidRDefault="00BB54FC" w14:paraId="304F744A" w14:textId="7262D1B4">
          <w:pPr>
            <w:pStyle w:val="TOC3"/>
            <w:rPr>
              <w:rFonts w:asciiTheme="minorHAnsi" w:hAnsiTheme="minorHAnsi" w:eastAsiaTheme="minorEastAsia" w:cstheme="minorBidi"/>
              <w:i w:val="0"/>
              <w:lang w:eastAsia="en-GB"/>
            </w:rPr>
          </w:pPr>
          <w:hyperlink w:history="1" w:anchor="_Toc85541479">
            <w:r w:rsidRPr="00B72BC3">
              <w:rPr>
                <w:rStyle w:val="Hyperlink"/>
              </w:rPr>
              <w:t>(f)</w:t>
            </w:r>
            <w:r>
              <w:rPr>
                <w:rFonts w:asciiTheme="minorHAnsi" w:hAnsiTheme="minorHAnsi" w:eastAsiaTheme="minorEastAsia" w:cstheme="minorBidi"/>
                <w:i w:val="0"/>
                <w:lang w:eastAsia="en-GB"/>
              </w:rPr>
              <w:tab/>
            </w:r>
            <w:r w:rsidRPr="00B72BC3">
              <w:rPr>
                <w:rStyle w:val="Hyperlink"/>
              </w:rPr>
              <w:t>Reform of court processes</w:t>
            </w:r>
            <w:r>
              <w:rPr>
                <w:webHidden/>
              </w:rPr>
              <w:tab/>
            </w:r>
            <w:r>
              <w:rPr>
                <w:webHidden/>
              </w:rPr>
              <w:fldChar w:fldCharType="begin"/>
            </w:r>
            <w:r>
              <w:rPr>
                <w:webHidden/>
              </w:rPr>
              <w:instrText xml:space="preserve"> PAGEREF _Toc85541479 \h </w:instrText>
            </w:r>
            <w:r>
              <w:rPr>
                <w:webHidden/>
              </w:rPr>
            </w:r>
            <w:r>
              <w:rPr>
                <w:webHidden/>
              </w:rPr>
              <w:fldChar w:fldCharType="separate"/>
            </w:r>
            <w:r>
              <w:rPr>
                <w:webHidden/>
              </w:rPr>
              <w:t>193</w:t>
            </w:r>
            <w:r>
              <w:rPr>
                <w:webHidden/>
              </w:rPr>
              <w:fldChar w:fldCharType="end"/>
            </w:r>
          </w:hyperlink>
        </w:p>
        <w:p w:rsidR="00BB54FC" w:rsidRDefault="00BB54FC" w14:paraId="732CFE77" w14:textId="796D6DA2">
          <w:pPr>
            <w:pStyle w:val="TOC1"/>
            <w:rPr>
              <w:rFonts w:asciiTheme="minorHAnsi" w:hAnsiTheme="minorHAnsi" w:eastAsiaTheme="minorEastAsia" w:cstheme="minorBidi"/>
              <w:b w:val="0"/>
              <w:lang w:eastAsia="en-GB"/>
            </w:rPr>
          </w:pPr>
          <w:hyperlink w:history="1" w:anchor="_Toc85541480">
            <w:r w:rsidRPr="00B72BC3">
              <w:rPr>
                <w:rStyle w:val="Hyperlink"/>
              </w:rPr>
              <w:t>8</w:t>
            </w:r>
            <w:r>
              <w:rPr>
                <w:rFonts w:asciiTheme="minorHAnsi" w:hAnsiTheme="minorHAnsi" w:eastAsiaTheme="minorEastAsia" w:cstheme="minorBidi"/>
                <w:b w:val="0"/>
                <w:lang w:eastAsia="en-GB"/>
              </w:rPr>
              <w:tab/>
            </w:r>
            <w:r w:rsidRPr="00B72BC3">
              <w:rPr>
                <w:rStyle w:val="Hyperlink"/>
              </w:rPr>
              <w:t>Enforcement</w:t>
            </w:r>
            <w:r>
              <w:rPr>
                <w:webHidden/>
              </w:rPr>
              <w:tab/>
            </w:r>
            <w:r>
              <w:rPr>
                <w:webHidden/>
              </w:rPr>
              <w:fldChar w:fldCharType="begin"/>
            </w:r>
            <w:r>
              <w:rPr>
                <w:webHidden/>
              </w:rPr>
              <w:instrText xml:space="preserve"> PAGEREF _Toc85541480 \h </w:instrText>
            </w:r>
            <w:r>
              <w:rPr>
                <w:webHidden/>
              </w:rPr>
            </w:r>
            <w:r>
              <w:rPr>
                <w:webHidden/>
              </w:rPr>
              <w:fldChar w:fldCharType="separate"/>
            </w:r>
            <w:r>
              <w:rPr>
                <w:webHidden/>
              </w:rPr>
              <w:t>196</w:t>
            </w:r>
            <w:r>
              <w:rPr>
                <w:webHidden/>
              </w:rPr>
              <w:fldChar w:fldCharType="end"/>
            </w:r>
          </w:hyperlink>
        </w:p>
        <w:p w:rsidR="00BB54FC" w:rsidRDefault="00BB54FC" w14:paraId="202B154A" w14:textId="39355531">
          <w:pPr>
            <w:pStyle w:val="TOC2"/>
            <w:rPr>
              <w:rFonts w:asciiTheme="minorHAnsi" w:hAnsiTheme="minorHAnsi" w:eastAsiaTheme="minorEastAsia" w:cstheme="minorBidi"/>
              <w:b w:val="0"/>
              <w:i w:val="0"/>
              <w:lang w:eastAsia="en-GB"/>
            </w:rPr>
          </w:pPr>
          <w:hyperlink w:history="1" w:anchor="_Toc85541481">
            <w:r w:rsidRPr="00B72BC3">
              <w:rPr>
                <w:rStyle w:val="Hyperlink"/>
              </w:rPr>
              <w:t>8.1</w:t>
            </w:r>
            <w:r>
              <w:rPr>
                <w:rFonts w:asciiTheme="minorHAnsi" w:hAnsiTheme="minorHAnsi" w:eastAsiaTheme="minorEastAsia" w:cstheme="minorBidi"/>
                <w:b w:val="0"/>
                <w:i w:val="0"/>
                <w:lang w:eastAsia="en-GB"/>
              </w:rPr>
              <w:tab/>
            </w:r>
            <w:r w:rsidRPr="00B72BC3">
              <w:rPr>
                <w:rStyle w:val="Hyperlink"/>
              </w:rPr>
              <w:t>Enforcement</w:t>
            </w:r>
            <w:r>
              <w:rPr>
                <w:webHidden/>
              </w:rPr>
              <w:tab/>
            </w:r>
            <w:r>
              <w:rPr>
                <w:webHidden/>
              </w:rPr>
              <w:fldChar w:fldCharType="begin"/>
            </w:r>
            <w:r>
              <w:rPr>
                <w:webHidden/>
              </w:rPr>
              <w:instrText xml:space="preserve"> PAGEREF _Toc85541481 \h </w:instrText>
            </w:r>
            <w:r>
              <w:rPr>
                <w:webHidden/>
              </w:rPr>
            </w:r>
            <w:r>
              <w:rPr>
                <w:webHidden/>
              </w:rPr>
              <w:fldChar w:fldCharType="separate"/>
            </w:r>
            <w:r>
              <w:rPr>
                <w:webHidden/>
              </w:rPr>
              <w:t>196</w:t>
            </w:r>
            <w:r>
              <w:rPr>
                <w:webHidden/>
              </w:rPr>
              <w:fldChar w:fldCharType="end"/>
            </w:r>
          </w:hyperlink>
        </w:p>
        <w:p w:rsidR="00BB54FC" w:rsidRDefault="00BB54FC" w14:paraId="2FDC8DAD" w14:textId="489A7ED9">
          <w:pPr>
            <w:pStyle w:val="TOC2"/>
            <w:rPr>
              <w:rFonts w:asciiTheme="minorHAnsi" w:hAnsiTheme="minorHAnsi" w:eastAsiaTheme="minorEastAsia" w:cstheme="minorBidi"/>
              <w:b w:val="0"/>
              <w:i w:val="0"/>
              <w:lang w:eastAsia="en-GB"/>
            </w:rPr>
          </w:pPr>
          <w:hyperlink w:history="1" w:anchor="_Toc85541482">
            <w:r w:rsidRPr="00B72BC3">
              <w:rPr>
                <w:rStyle w:val="Hyperlink"/>
              </w:rPr>
              <w:t>8.2</w:t>
            </w:r>
            <w:r>
              <w:rPr>
                <w:rFonts w:asciiTheme="minorHAnsi" w:hAnsiTheme="minorHAnsi" w:eastAsiaTheme="minorEastAsia" w:cstheme="minorBidi"/>
                <w:b w:val="0"/>
                <w:i w:val="0"/>
                <w:lang w:eastAsia="en-GB"/>
              </w:rPr>
              <w:tab/>
            </w:r>
            <w:r w:rsidRPr="00B72BC3">
              <w:rPr>
                <w:rStyle w:val="Hyperlink"/>
              </w:rPr>
              <w:t>Support for new regulation</w:t>
            </w:r>
            <w:r>
              <w:rPr>
                <w:webHidden/>
              </w:rPr>
              <w:tab/>
            </w:r>
            <w:r>
              <w:rPr>
                <w:webHidden/>
              </w:rPr>
              <w:fldChar w:fldCharType="begin"/>
            </w:r>
            <w:r>
              <w:rPr>
                <w:webHidden/>
              </w:rPr>
              <w:instrText xml:space="preserve"> PAGEREF _Toc85541482 \h </w:instrText>
            </w:r>
            <w:r>
              <w:rPr>
                <w:webHidden/>
              </w:rPr>
            </w:r>
            <w:r>
              <w:rPr>
                <w:webHidden/>
              </w:rPr>
              <w:fldChar w:fldCharType="separate"/>
            </w:r>
            <w:r>
              <w:rPr>
                <w:webHidden/>
              </w:rPr>
              <w:t>196</w:t>
            </w:r>
            <w:r>
              <w:rPr>
                <w:webHidden/>
              </w:rPr>
              <w:fldChar w:fldCharType="end"/>
            </w:r>
          </w:hyperlink>
        </w:p>
        <w:p w:rsidR="00BB54FC" w:rsidRDefault="00BB54FC" w14:paraId="3B33FEDD" w14:textId="50764DD0">
          <w:pPr>
            <w:pStyle w:val="TOC3"/>
            <w:rPr>
              <w:rFonts w:asciiTheme="minorHAnsi" w:hAnsiTheme="minorHAnsi" w:eastAsiaTheme="minorEastAsia" w:cstheme="minorBidi"/>
              <w:i w:val="0"/>
              <w:lang w:eastAsia="en-GB"/>
            </w:rPr>
          </w:pPr>
          <w:hyperlink w:history="1" w:anchor="_Toc85541483">
            <w:r w:rsidRPr="00B72BC3">
              <w:rPr>
                <w:rStyle w:val="Hyperlink"/>
                <w:rFonts w:cs="Open Sans"/>
              </w:rPr>
              <w:t>(a)</w:t>
            </w:r>
            <w:r>
              <w:rPr>
                <w:rFonts w:asciiTheme="minorHAnsi" w:hAnsiTheme="minorHAnsi" w:eastAsiaTheme="minorEastAsia" w:cstheme="minorBidi"/>
                <w:i w:val="0"/>
                <w:lang w:eastAsia="en-GB"/>
              </w:rPr>
              <w:tab/>
            </w:r>
            <w:r w:rsidRPr="00B72BC3">
              <w:rPr>
                <w:rStyle w:val="Hyperlink"/>
                <w:rFonts w:cs="Open Sans"/>
              </w:rPr>
              <w:t>Creation of criminal offences</w:t>
            </w:r>
            <w:r>
              <w:rPr>
                <w:webHidden/>
              </w:rPr>
              <w:tab/>
            </w:r>
            <w:r>
              <w:rPr>
                <w:webHidden/>
              </w:rPr>
              <w:fldChar w:fldCharType="begin"/>
            </w:r>
            <w:r>
              <w:rPr>
                <w:webHidden/>
              </w:rPr>
              <w:instrText xml:space="preserve"> PAGEREF _Toc85541483 \h </w:instrText>
            </w:r>
            <w:r>
              <w:rPr>
                <w:webHidden/>
              </w:rPr>
            </w:r>
            <w:r>
              <w:rPr>
                <w:webHidden/>
              </w:rPr>
              <w:fldChar w:fldCharType="separate"/>
            </w:r>
            <w:r>
              <w:rPr>
                <w:webHidden/>
              </w:rPr>
              <w:t>197</w:t>
            </w:r>
            <w:r>
              <w:rPr>
                <w:webHidden/>
              </w:rPr>
              <w:fldChar w:fldCharType="end"/>
            </w:r>
          </w:hyperlink>
        </w:p>
        <w:p w:rsidR="00BB54FC" w:rsidRDefault="00BB54FC" w14:paraId="54C53608" w14:textId="4F270065">
          <w:pPr>
            <w:pStyle w:val="TOC3"/>
            <w:rPr>
              <w:rFonts w:asciiTheme="minorHAnsi" w:hAnsiTheme="minorHAnsi" w:eastAsiaTheme="minorEastAsia" w:cstheme="minorBidi"/>
              <w:i w:val="0"/>
              <w:lang w:eastAsia="en-GB"/>
            </w:rPr>
          </w:pPr>
          <w:hyperlink w:history="1" w:anchor="_Toc85541484">
            <w:r w:rsidRPr="00B72BC3">
              <w:rPr>
                <w:rStyle w:val="Hyperlink"/>
                <w:rFonts w:cs="Open Sans"/>
              </w:rPr>
              <w:t>(b)</w:t>
            </w:r>
            <w:r>
              <w:rPr>
                <w:rFonts w:asciiTheme="minorHAnsi" w:hAnsiTheme="minorHAnsi" w:eastAsiaTheme="minorEastAsia" w:cstheme="minorBidi"/>
                <w:i w:val="0"/>
                <w:lang w:eastAsia="en-GB"/>
              </w:rPr>
              <w:tab/>
            </w:r>
            <w:r w:rsidRPr="00B72BC3">
              <w:rPr>
                <w:rStyle w:val="Hyperlink"/>
                <w:rFonts w:cs="Open Sans"/>
              </w:rPr>
              <w:t>Civil liability</w:t>
            </w:r>
            <w:r>
              <w:rPr>
                <w:webHidden/>
              </w:rPr>
              <w:tab/>
            </w:r>
            <w:r>
              <w:rPr>
                <w:webHidden/>
              </w:rPr>
              <w:fldChar w:fldCharType="begin"/>
            </w:r>
            <w:r>
              <w:rPr>
                <w:webHidden/>
              </w:rPr>
              <w:instrText xml:space="preserve"> PAGEREF _Toc85541484 \h </w:instrText>
            </w:r>
            <w:r>
              <w:rPr>
                <w:webHidden/>
              </w:rPr>
            </w:r>
            <w:r>
              <w:rPr>
                <w:webHidden/>
              </w:rPr>
              <w:fldChar w:fldCharType="separate"/>
            </w:r>
            <w:r>
              <w:rPr>
                <w:webHidden/>
              </w:rPr>
              <w:t>198</w:t>
            </w:r>
            <w:r>
              <w:rPr>
                <w:webHidden/>
              </w:rPr>
              <w:fldChar w:fldCharType="end"/>
            </w:r>
          </w:hyperlink>
        </w:p>
        <w:p w:rsidR="00BB54FC" w:rsidRDefault="00BB54FC" w14:paraId="2CB6B144" w14:textId="2129BCD0">
          <w:pPr>
            <w:pStyle w:val="TOC3"/>
            <w:rPr>
              <w:rFonts w:asciiTheme="minorHAnsi" w:hAnsiTheme="minorHAnsi" w:eastAsiaTheme="minorEastAsia" w:cstheme="minorBidi"/>
              <w:i w:val="0"/>
              <w:lang w:eastAsia="en-GB"/>
            </w:rPr>
          </w:pPr>
          <w:hyperlink w:history="1" w:anchor="_Toc85541485">
            <w:r w:rsidRPr="00B72BC3">
              <w:rPr>
                <w:rStyle w:val="Hyperlink"/>
              </w:rPr>
              <w:t>(c)</w:t>
            </w:r>
            <w:r>
              <w:rPr>
                <w:rFonts w:asciiTheme="minorHAnsi" w:hAnsiTheme="minorHAnsi" w:eastAsiaTheme="minorEastAsia" w:cstheme="minorBidi"/>
                <w:i w:val="0"/>
                <w:lang w:eastAsia="en-GB"/>
              </w:rPr>
              <w:tab/>
            </w:r>
            <w:r w:rsidRPr="00B72BC3">
              <w:rPr>
                <w:rStyle w:val="Hyperlink"/>
              </w:rPr>
              <w:t>Disciplinary action</w:t>
            </w:r>
            <w:r>
              <w:rPr>
                <w:webHidden/>
              </w:rPr>
              <w:tab/>
            </w:r>
            <w:r>
              <w:rPr>
                <w:webHidden/>
              </w:rPr>
              <w:fldChar w:fldCharType="begin"/>
            </w:r>
            <w:r>
              <w:rPr>
                <w:webHidden/>
              </w:rPr>
              <w:instrText xml:space="preserve"> PAGEREF _Toc85541485 \h </w:instrText>
            </w:r>
            <w:r>
              <w:rPr>
                <w:webHidden/>
              </w:rPr>
            </w:r>
            <w:r>
              <w:rPr>
                <w:webHidden/>
              </w:rPr>
              <w:fldChar w:fldCharType="separate"/>
            </w:r>
            <w:r>
              <w:rPr>
                <w:webHidden/>
              </w:rPr>
              <w:t>199</w:t>
            </w:r>
            <w:r>
              <w:rPr>
                <w:webHidden/>
              </w:rPr>
              <w:fldChar w:fldCharType="end"/>
            </w:r>
          </w:hyperlink>
        </w:p>
        <w:p w:rsidR="00BB54FC" w:rsidRDefault="00BB54FC" w14:paraId="77BB47CE" w14:textId="1B30E348">
          <w:pPr>
            <w:pStyle w:val="TOC2"/>
            <w:rPr>
              <w:rFonts w:asciiTheme="minorHAnsi" w:hAnsiTheme="minorHAnsi" w:eastAsiaTheme="minorEastAsia" w:cstheme="minorBidi"/>
              <w:b w:val="0"/>
              <w:i w:val="0"/>
              <w:lang w:eastAsia="en-GB"/>
            </w:rPr>
          </w:pPr>
          <w:hyperlink w:history="1" w:anchor="_Toc85541486">
            <w:r w:rsidRPr="00B72BC3">
              <w:rPr>
                <w:rStyle w:val="Hyperlink"/>
              </w:rPr>
              <w:t>8.3</w:t>
            </w:r>
            <w:r>
              <w:rPr>
                <w:rFonts w:asciiTheme="minorHAnsi" w:hAnsiTheme="minorHAnsi" w:eastAsiaTheme="minorEastAsia" w:cstheme="minorBidi"/>
                <w:b w:val="0"/>
                <w:i w:val="0"/>
                <w:lang w:eastAsia="en-GB"/>
              </w:rPr>
              <w:tab/>
            </w:r>
            <w:r w:rsidRPr="00B72BC3">
              <w:rPr>
                <w:rStyle w:val="Hyperlink"/>
              </w:rPr>
              <w:t>Opposition to new regulation</w:t>
            </w:r>
            <w:r>
              <w:rPr>
                <w:webHidden/>
              </w:rPr>
              <w:tab/>
            </w:r>
            <w:r>
              <w:rPr>
                <w:webHidden/>
              </w:rPr>
              <w:fldChar w:fldCharType="begin"/>
            </w:r>
            <w:r>
              <w:rPr>
                <w:webHidden/>
              </w:rPr>
              <w:instrText xml:space="preserve"> PAGEREF _Toc85541486 \h </w:instrText>
            </w:r>
            <w:r>
              <w:rPr>
                <w:webHidden/>
              </w:rPr>
            </w:r>
            <w:r>
              <w:rPr>
                <w:webHidden/>
              </w:rPr>
              <w:fldChar w:fldCharType="separate"/>
            </w:r>
            <w:r>
              <w:rPr>
                <w:webHidden/>
              </w:rPr>
              <w:t>199</w:t>
            </w:r>
            <w:r>
              <w:rPr>
                <w:webHidden/>
              </w:rPr>
              <w:fldChar w:fldCharType="end"/>
            </w:r>
          </w:hyperlink>
        </w:p>
        <w:p w:rsidR="00BB54FC" w:rsidRDefault="00BB54FC" w14:paraId="66BE9C53" w14:textId="19B182F9">
          <w:pPr>
            <w:pStyle w:val="TOC3"/>
            <w:rPr>
              <w:rFonts w:asciiTheme="minorHAnsi" w:hAnsiTheme="minorHAnsi" w:eastAsiaTheme="minorEastAsia" w:cstheme="minorBidi"/>
              <w:i w:val="0"/>
              <w:lang w:eastAsia="en-GB"/>
            </w:rPr>
          </w:pPr>
          <w:hyperlink w:history="1" w:anchor="_Toc85541487">
            <w:r w:rsidRPr="00B72BC3">
              <w:rPr>
                <w:rStyle w:val="Hyperlink"/>
              </w:rPr>
              <w:t>(a)</w:t>
            </w:r>
            <w:r>
              <w:rPr>
                <w:rFonts w:asciiTheme="minorHAnsi" w:hAnsiTheme="minorHAnsi" w:eastAsiaTheme="minorEastAsia" w:cstheme="minorBidi"/>
                <w:i w:val="0"/>
                <w:lang w:eastAsia="en-GB"/>
              </w:rPr>
              <w:tab/>
            </w:r>
            <w:r w:rsidRPr="00B72BC3">
              <w:rPr>
                <w:rStyle w:val="Hyperlink"/>
              </w:rPr>
              <w:t>Legislative prohibition is morally unjustified</w:t>
            </w:r>
            <w:r>
              <w:rPr>
                <w:webHidden/>
              </w:rPr>
              <w:tab/>
            </w:r>
            <w:r>
              <w:rPr>
                <w:webHidden/>
              </w:rPr>
              <w:fldChar w:fldCharType="begin"/>
            </w:r>
            <w:r>
              <w:rPr>
                <w:webHidden/>
              </w:rPr>
              <w:instrText xml:space="preserve"> PAGEREF _Toc85541487 \h </w:instrText>
            </w:r>
            <w:r>
              <w:rPr>
                <w:webHidden/>
              </w:rPr>
            </w:r>
            <w:r>
              <w:rPr>
                <w:webHidden/>
              </w:rPr>
              <w:fldChar w:fldCharType="separate"/>
            </w:r>
            <w:r>
              <w:rPr>
                <w:webHidden/>
              </w:rPr>
              <w:t>199</w:t>
            </w:r>
            <w:r>
              <w:rPr>
                <w:webHidden/>
              </w:rPr>
              <w:fldChar w:fldCharType="end"/>
            </w:r>
          </w:hyperlink>
        </w:p>
        <w:p w:rsidR="00BB54FC" w:rsidRDefault="00BB54FC" w14:paraId="39800AF9" w14:textId="3E0981B6">
          <w:pPr>
            <w:pStyle w:val="TOC3"/>
            <w:rPr>
              <w:rFonts w:asciiTheme="minorHAnsi" w:hAnsiTheme="minorHAnsi" w:eastAsiaTheme="minorEastAsia" w:cstheme="minorBidi"/>
              <w:i w:val="0"/>
              <w:lang w:eastAsia="en-GB"/>
            </w:rPr>
          </w:pPr>
          <w:hyperlink w:history="1" w:anchor="_Toc85541488">
            <w:r w:rsidRPr="00B72BC3">
              <w:rPr>
                <w:rStyle w:val="Hyperlink"/>
              </w:rPr>
              <w:t>(b)</w:t>
            </w:r>
            <w:r>
              <w:rPr>
                <w:rFonts w:asciiTheme="minorHAnsi" w:hAnsiTheme="minorHAnsi" w:eastAsiaTheme="minorEastAsia" w:cstheme="minorBidi"/>
                <w:i w:val="0"/>
                <w:lang w:eastAsia="en-GB"/>
              </w:rPr>
              <w:tab/>
            </w:r>
            <w:r w:rsidRPr="00B72BC3">
              <w:rPr>
                <w:rStyle w:val="Hyperlink"/>
              </w:rPr>
              <w:t>Regulation is an unnecessarily complicated response</w:t>
            </w:r>
            <w:r>
              <w:rPr>
                <w:webHidden/>
              </w:rPr>
              <w:tab/>
            </w:r>
            <w:r>
              <w:rPr>
                <w:webHidden/>
              </w:rPr>
              <w:fldChar w:fldCharType="begin"/>
            </w:r>
            <w:r>
              <w:rPr>
                <w:webHidden/>
              </w:rPr>
              <w:instrText xml:space="preserve"> PAGEREF _Toc85541488 \h </w:instrText>
            </w:r>
            <w:r>
              <w:rPr>
                <w:webHidden/>
              </w:rPr>
            </w:r>
            <w:r>
              <w:rPr>
                <w:webHidden/>
              </w:rPr>
              <w:fldChar w:fldCharType="separate"/>
            </w:r>
            <w:r>
              <w:rPr>
                <w:webHidden/>
              </w:rPr>
              <w:t>199</w:t>
            </w:r>
            <w:r>
              <w:rPr>
                <w:webHidden/>
              </w:rPr>
              <w:fldChar w:fldCharType="end"/>
            </w:r>
          </w:hyperlink>
        </w:p>
        <w:p w:rsidR="00BB54FC" w:rsidRDefault="00BB54FC" w14:paraId="0031BEBD" w14:textId="4A0614F3">
          <w:pPr>
            <w:pStyle w:val="TOC3"/>
            <w:rPr>
              <w:rFonts w:asciiTheme="minorHAnsi" w:hAnsiTheme="minorHAnsi" w:eastAsiaTheme="minorEastAsia" w:cstheme="minorBidi"/>
              <w:i w:val="0"/>
              <w:lang w:eastAsia="en-GB"/>
            </w:rPr>
          </w:pPr>
          <w:hyperlink w:history="1" w:anchor="_Toc85541489">
            <w:r w:rsidRPr="00B72BC3">
              <w:rPr>
                <w:rStyle w:val="Hyperlink"/>
              </w:rPr>
              <w:t>(c)</w:t>
            </w:r>
            <w:r>
              <w:rPr>
                <w:rFonts w:asciiTheme="minorHAnsi" w:hAnsiTheme="minorHAnsi" w:eastAsiaTheme="minorEastAsia" w:cstheme="minorBidi"/>
                <w:i w:val="0"/>
                <w:lang w:eastAsia="en-GB"/>
              </w:rPr>
              <w:tab/>
            </w:r>
            <w:r w:rsidRPr="00B72BC3">
              <w:rPr>
                <w:rStyle w:val="Hyperlink"/>
              </w:rPr>
              <w:t>Regulation would breach children’s rights</w:t>
            </w:r>
            <w:r>
              <w:rPr>
                <w:webHidden/>
              </w:rPr>
              <w:tab/>
            </w:r>
            <w:r>
              <w:rPr>
                <w:webHidden/>
              </w:rPr>
              <w:fldChar w:fldCharType="begin"/>
            </w:r>
            <w:r>
              <w:rPr>
                <w:webHidden/>
              </w:rPr>
              <w:instrText xml:space="preserve"> PAGEREF _Toc85541489 \h </w:instrText>
            </w:r>
            <w:r>
              <w:rPr>
                <w:webHidden/>
              </w:rPr>
            </w:r>
            <w:r>
              <w:rPr>
                <w:webHidden/>
              </w:rPr>
              <w:fldChar w:fldCharType="separate"/>
            </w:r>
            <w:r>
              <w:rPr>
                <w:webHidden/>
              </w:rPr>
              <w:t>200</w:t>
            </w:r>
            <w:r>
              <w:rPr>
                <w:webHidden/>
              </w:rPr>
              <w:fldChar w:fldCharType="end"/>
            </w:r>
          </w:hyperlink>
        </w:p>
        <w:p w:rsidR="00BB54FC" w:rsidRDefault="00BB54FC" w14:paraId="0F6F08B1" w14:textId="1817D371">
          <w:pPr>
            <w:pStyle w:val="TOC2"/>
            <w:rPr>
              <w:rFonts w:asciiTheme="minorHAnsi" w:hAnsiTheme="minorHAnsi" w:eastAsiaTheme="minorEastAsia" w:cstheme="minorBidi"/>
              <w:b w:val="0"/>
              <w:i w:val="0"/>
              <w:lang w:eastAsia="en-GB"/>
            </w:rPr>
          </w:pPr>
          <w:hyperlink w:history="1" w:anchor="_Toc85541490">
            <w:r w:rsidRPr="00B72BC3">
              <w:rPr>
                <w:rStyle w:val="Hyperlink"/>
              </w:rPr>
              <w:t>8.4</w:t>
            </w:r>
            <w:r>
              <w:rPr>
                <w:rFonts w:asciiTheme="minorHAnsi" w:hAnsiTheme="minorHAnsi" w:eastAsiaTheme="minorEastAsia" w:cstheme="minorBidi"/>
                <w:b w:val="0"/>
                <w:i w:val="0"/>
                <w:lang w:eastAsia="en-GB"/>
              </w:rPr>
              <w:tab/>
            </w:r>
            <w:r w:rsidRPr="00B72BC3">
              <w:rPr>
                <w:rStyle w:val="Hyperlink"/>
              </w:rPr>
              <w:t>New criminal penalties</w:t>
            </w:r>
            <w:r>
              <w:rPr>
                <w:webHidden/>
              </w:rPr>
              <w:tab/>
            </w:r>
            <w:r>
              <w:rPr>
                <w:webHidden/>
              </w:rPr>
              <w:fldChar w:fldCharType="begin"/>
            </w:r>
            <w:r>
              <w:rPr>
                <w:webHidden/>
              </w:rPr>
              <w:instrText xml:space="preserve"> PAGEREF _Toc85541490 \h </w:instrText>
            </w:r>
            <w:r>
              <w:rPr>
                <w:webHidden/>
              </w:rPr>
            </w:r>
            <w:r>
              <w:rPr>
                <w:webHidden/>
              </w:rPr>
              <w:fldChar w:fldCharType="separate"/>
            </w:r>
            <w:r>
              <w:rPr>
                <w:webHidden/>
              </w:rPr>
              <w:t>201</w:t>
            </w:r>
            <w:r>
              <w:rPr>
                <w:webHidden/>
              </w:rPr>
              <w:fldChar w:fldCharType="end"/>
            </w:r>
          </w:hyperlink>
        </w:p>
        <w:p w:rsidR="00BB54FC" w:rsidRDefault="00BB54FC" w14:paraId="31AD3257" w14:textId="5EED963F">
          <w:pPr>
            <w:pStyle w:val="TOC1"/>
            <w:rPr>
              <w:rFonts w:asciiTheme="minorHAnsi" w:hAnsiTheme="minorHAnsi" w:eastAsiaTheme="minorEastAsia" w:cstheme="minorBidi"/>
              <w:b w:val="0"/>
              <w:lang w:eastAsia="en-GB"/>
            </w:rPr>
          </w:pPr>
          <w:hyperlink w:history="1" w:anchor="_Toc85541491">
            <w:r w:rsidRPr="00B72BC3">
              <w:rPr>
                <w:rStyle w:val="Hyperlink"/>
              </w:rPr>
              <w:t>9</w:t>
            </w:r>
            <w:r>
              <w:rPr>
                <w:rFonts w:asciiTheme="minorHAnsi" w:hAnsiTheme="minorHAnsi" w:eastAsiaTheme="minorEastAsia" w:cstheme="minorBidi"/>
                <w:b w:val="0"/>
                <w:lang w:eastAsia="en-GB"/>
              </w:rPr>
              <w:tab/>
            </w:r>
            <w:r w:rsidRPr="00B72BC3">
              <w:rPr>
                <w:rStyle w:val="Hyperlink"/>
              </w:rPr>
              <w:t>Support, health records and data collection</w:t>
            </w:r>
            <w:r>
              <w:rPr>
                <w:webHidden/>
              </w:rPr>
              <w:tab/>
            </w:r>
            <w:r>
              <w:rPr>
                <w:webHidden/>
              </w:rPr>
              <w:fldChar w:fldCharType="begin"/>
            </w:r>
            <w:r>
              <w:rPr>
                <w:webHidden/>
              </w:rPr>
              <w:instrText xml:space="preserve"> PAGEREF _Toc85541491 \h </w:instrText>
            </w:r>
            <w:r>
              <w:rPr>
                <w:webHidden/>
              </w:rPr>
            </w:r>
            <w:r>
              <w:rPr>
                <w:webHidden/>
              </w:rPr>
              <w:fldChar w:fldCharType="separate"/>
            </w:r>
            <w:r>
              <w:rPr>
                <w:webHidden/>
              </w:rPr>
              <w:t>205</w:t>
            </w:r>
            <w:r>
              <w:rPr>
                <w:webHidden/>
              </w:rPr>
              <w:fldChar w:fldCharType="end"/>
            </w:r>
          </w:hyperlink>
        </w:p>
        <w:p w:rsidR="00BB54FC" w:rsidRDefault="00BB54FC" w14:paraId="5C70F2C0" w14:textId="2644C7FA">
          <w:pPr>
            <w:pStyle w:val="TOC2"/>
            <w:rPr>
              <w:rFonts w:asciiTheme="minorHAnsi" w:hAnsiTheme="minorHAnsi" w:eastAsiaTheme="minorEastAsia" w:cstheme="minorBidi"/>
              <w:b w:val="0"/>
              <w:i w:val="0"/>
              <w:lang w:eastAsia="en-GB"/>
            </w:rPr>
          </w:pPr>
          <w:hyperlink w:history="1" w:anchor="_Toc85541492">
            <w:r w:rsidRPr="00B72BC3">
              <w:rPr>
                <w:rStyle w:val="Hyperlink"/>
              </w:rPr>
              <w:t>9.1</w:t>
            </w:r>
            <w:r>
              <w:rPr>
                <w:rFonts w:asciiTheme="minorHAnsi" w:hAnsiTheme="minorHAnsi" w:eastAsiaTheme="minorEastAsia" w:cstheme="minorBidi"/>
                <w:b w:val="0"/>
                <w:i w:val="0"/>
                <w:lang w:eastAsia="en-GB"/>
              </w:rPr>
              <w:tab/>
            </w:r>
            <w:r w:rsidRPr="00B72BC3">
              <w:rPr>
                <w:rStyle w:val="Hyperlink"/>
              </w:rPr>
              <w:t>Support for affected individuals</w:t>
            </w:r>
            <w:r>
              <w:rPr>
                <w:webHidden/>
              </w:rPr>
              <w:tab/>
            </w:r>
            <w:r>
              <w:rPr>
                <w:webHidden/>
              </w:rPr>
              <w:fldChar w:fldCharType="begin"/>
            </w:r>
            <w:r>
              <w:rPr>
                <w:webHidden/>
              </w:rPr>
              <w:instrText xml:space="preserve"> PAGEREF _Toc85541492 \h </w:instrText>
            </w:r>
            <w:r>
              <w:rPr>
                <w:webHidden/>
              </w:rPr>
            </w:r>
            <w:r>
              <w:rPr>
                <w:webHidden/>
              </w:rPr>
              <w:fldChar w:fldCharType="separate"/>
            </w:r>
            <w:r>
              <w:rPr>
                <w:webHidden/>
              </w:rPr>
              <w:t>205</w:t>
            </w:r>
            <w:r>
              <w:rPr>
                <w:webHidden/>
              </w:rPr>
              <w:fldChar w:fldCharType="end"/>
            </w:r>
          </w:hyperlink>
        </w:p>
        <w:p w:rsidR="00BB54FC" w:rsidRDefault="00BB54FC" w14:paraId="741D962D" w14:textId="471E7523">
          <w:pPr>
            <w:pStyle w:val="TOC3"/>
            <w:rPr>
              <w:rFonts w:asciiTheme="minorHAnsi" w:hAnsiTheme="minorHAnsi" w:eastAsiaTheme="minorEastAsia" w:cstheme="minorBidi"/>
              <w:i w:val="0"/>
              <w:lang w:eastAsia="en-GB"/>
            </w:rPr>
          </w:pPr>
          <w:hyperlink w:history="1" w:anchor="_Toc85541493">
            <w:r w:rsidRPr="00B72BC3">
              <w:rPr>
                <w:rStyle w:val="Hyperlink"/>
              </w:rPr>
              <w:t>(a)</w:t>
            </w:r>
            <w:r>
              <w:rPr>
                <w:rFonts w:asciiTheme="minorHAnsi" w:hAnsiTheme="minorHAnsi" w:eastAsiaTheme="minorEastAsia" w:cstheme="minorBidi"/>
                <w:i w:val="0"/>
                <w:lang w:eastAsia="en-GB"/>
              </w:rPr>
              <w:tab/>
            </w:r>
            <w:r w:rsidRPr="00B72BC3">
              <w:rPr>
                <w:rStyle w:val="Hyperlink"/>
              </w:rPr>
              <w:t>Provision of information and education</w:t>
            </w:r>
            <w:r>
              <w:rPr>
                <w:webHidden/>
              </w:rPr>
              <w:tab/>
            </w:r>
            <w:r>
              <w:rPr>
                <w:webHidden/>
              </w:rPr>
              <w:fldChar w:fldCharType="begin"/>
            </w:r>
            <w:r>
              <w:rPr>
                <w:webHidden/>
              </w:rPr>
              <w:instrText xml:space="preserve"> PAGEREF _Toc85541493 \h </w:instrText>
            </w:r>
            <w:r>
              <w:rPr>
                <w:webHidden/>
              </w:rPr>
            </w:r>
            <w:r>
              <w:rPr>
                <w:webHidden/>
              </w:rPr>
              <w:fldChar w:fldCharType="separate"/>
            </w:r>
            <w:r>
              <w:rPr>
                <w:webHidden/>
              </w:rPr>
              <w:t>206</w:t>
            </w:r>
            <w:r>
              <w:rPr>
                <w:webHidden/>
              </w:rPr>
              <w:fldChar w:fldCharType="end"/>
            </w:r>
          </w:hyperlink>
        </w:p>
        <w:p w:rsidR="00BB54FC" w:rsidRDefault="00BB54FC" w14:paraId="2E1721CD" w14:textId="4E94E153">
          <w:pPr>
            <w:pStyle w:val="TOC3"/>
            <w:rPr>
              <w:rFonts w:asciiTheme="minorHAnsi" w:hAnsiTheme="minorHAnsi" w:eastAsiaTheme="minorEastAsia" w:cstheme="minorBidi"/>
              <w:i w:val="0"/>
              <w:lang w:eastAsia="en-GB"/>
            </w:rPr>
          </w:pPr>
          <w:hyperlink w:history="1" w:anchor="_Toc85541494">
            <w:r w:rsidRPr="00B72BC3">
              <w:rPr>
                <w:rStyle w:val="Hyperlink"/>
              </w:rPr>
              <w:t>(b)</w:t>
            </w:r>
            <w:r>
              <w:rPr>
                <w:rFonts w:asciiTheme="minorHAnsi" w:hAnsiTheme="minorHAnsi" w:eastAsiaTheme="minorEastAsia" w:cstheme="minorBidi"/>
                <w:i w:val="0"/>
                <w:lang w:eastAsia="en-GB"/>
              </w:rPr>
              <w:tab/>
            </w:r>
            <w:r w:rsidRPr="00B72BC3">
              <w:rPr>
                <w:rStyle w:val="Hyperlink"/>
              </w:rPr>
              <w:t>Provision of support services</w:t>
            </w:r>
            <w:r>
              <w:rPr>
                <w:webHidden/>
              </w:rPr>
              <w:tab/>
            </w:r>
            <w:r>
              <w:rPr>
                <w:webHidden/>
              </w:rPr>
              <w:fldChar w:fldCharType="begin"/>
            </w:r>
            <w:r>
              <w:rPr>
                <w:webHidden/>
              </w:rPr>
              <w:instrText xml:space="preserve"> PAGEREF _Toc85541494 \h </w:instrText>
            </w:r>
            <w:r>
              <w:rPr>
                <w:webHidden/>
              </w:rPr>
            </w:r>
            <w:r>
              <w:rPr>
                <w:webHidden/>
              </w:rPr>
              <w:fldChar w:fldCharType="separate"/>
            </w:r>
            <w:r>
              <w:rPr>
                <w:webHidden/>
              </w:rPr>
              <w:t>210</w:t>
            </w:r>
            <w:r>
              <w:rPr>
                <w:webHidden/>
              </w:rPr>
              <w:fldChar w:fldCharType="end"/>
            </w:r>
          </w:hyperlink>
        </w:p>
        <w:p w:rsidR="00BB54FC" w:rsidRDefault="00BB54FC" w14:paraId="48788D37" w14:textId="26076BF9">
          <w:pPr>
            <w:pStyle w:val="TOC3"/>
            <w:rPr>
              <w:rFonts w:asciiTheme="minorHAnsi" w:hAnsiTheme="minorHAnsi" w:eastAsiaTheme="minorEastAsia" w:cstheme="minorBidi"/>
              <w:i w:val="0"/>
              <w:lang w:eastAsia="en-GB"/>
            </w:rPr>
          </w:pPr>
          <w:hyperlink w:history="1" w:anchor="_Toc85541495">
            <w:r w:rsidRPr="00B72BC3">
              <w:rPr>
                <w:rStyle w:val="Hyperlink"/>
              </w:rPr>
              <w:t>(c)</w:t>
            </w:r>
            <w:r>
              <w:rPr>
                <w:rFonts w:asciiTheme="minorHAnsi" w:hAnsiTheme="minorHAnsi" w:eastAsiaTheme="minorEastAsia" w:cstheme="minorBidi"/>
                <w:i w:val="0"/>
                <w:lang w:eastAsia="en-GB"/>
              </w:rPr>
              <w:tab/>
            </w:r>
            <w:r w:rsidRPr="00B72BC3">
              <w:rPr>
                <w:rStyle w:val="Hyperlink"/>
              </w:rPr>
              <w:t>Better service and information provision</w:t>
            </w:r>
            <w:r>
              <w:rPr>
                <w:webHidden/>
              </w:rPr>
              <w:tab/>
            </w:r>
            <w:r>
              <w:rPr>
                <w:webHidden/>
              </w:rPr>
              <w:fldChar w:fldCharType="begin"/>
            </w:r>
            <w:r>
              <w:rPr>
                <w:webHidden/>
              </w:rPr>
              <w:instrText xml:space="preserve"> PAGEREF _Toc85541495 \h </w:instrText>
            </w:r>
            <w:r>
              <w:rPr>
                <w:webHidden/>
              </w:rPr>
            </w:r>
            <w:r>
              <w:rPr>
                <w:webHidden/>
              </w:rPr>
              <w:fldChar w:fldCharType="separate"/>
            </w:r>
            <w:r>
              <w:rPr>
                <w:webHidden/>
              </w:rPr>
              <w:t>214</w:t>
            </w:r>
            <w:r>
              <w:rPr>
                <w:webHidden/>
              </w:rPr>
              <w:fldChar w:fldCharType="end"/>
            </w:r>
          </w:hyperlink>
        </w:p>
        <w:p w:rsidR="00BB54FC" w:rsidRDefault="00BB54FC" w14:paraId="53CE455B" w14:textId="4EC42EE9">
          <w:pPr>
            <w:pStyle w:val="TOC2"/>
            <w:rPr>
              <w:rFonts w:asciiTheme="minorHAnsi" w:hAnsiTheme="minorHAnsi" w:eastAsiaTheme="minorEastAsia" w:cstheme="minorBidi"/>
              <w:b w:val="0"/>
              <w:i w:val="0"/>
              <w:lang w:eastAsia="en-GB"/>
            </w:rPr>
          </w:pPr>
          <w:hyperlink w:history="1" w:anchor="_Toc85541496">
            <w:r w:rsidRPr="00B72BC3">
              <w:rPr>
                <w:rStyle w:val="Hyperlink"/>
              </w:rPr>
              <w:t>9.2</w:t>
            </w:r>
            <w:r>
              <w:rPr>
                <w:rFonts w:asciiTheme="minorHAnsi" w:hAnsiTheme="minorHAnsi" w:eastAsiaTheme="minorEastAsia" w:cstheme="minorBidi"/>
                <w:b w:val="0"/>
                <w:i w:val="0"/>
                <w:lang w:eastAsia="en-GB"/>
              </w:rPr>
              <w:tab/>
            </w:r>
            <w:r w:rsidRPr="00B72BC3">
              <w:rPr>
                <w:rStyle w:val="Hyperlink"/>
              </w:rPr>
              <w:t>Access to and control of health records</w:t>
            </w:r>
            <w:r>
              <w:rPr>
                <w:webHidden/>
              </w:rPr>
              <w:tab/>
            </w:r>
            <w:r>
              <w:rPr>
                <w:webHidden/>
              </w:rPr>
              <w:fldChar w:fldCharType="begin"/>
            </w:r>
            <w:r>
              <w:rPr>
                <w:webHidden/>
              </w:rPr>
              <w:instrText xml:space="preserve"> PAGEREF _Toc85541496 \h </w:instrText>
            </w:r>
            <w:r>
              <w:rPr>
                <w:webHidden/>
              </w:rPr>
            </w:r>
            <w:r>
              <w:rPr>
                <w:webHidden/>
              </w:rPr>
              <w:fldChar w:fldCharType="separate"/>
            </w:r>
            <w:r>
              <w:rPr>
                <w:webHidden/>
              </w:rPr>
              <w:t>215</w:t>
            </w:r>
            <w:r>
              <w:rPr>
                <w:webHidden/>
              </w:rPr>
              <w:fldChar w:fldCharType="end"/>
            </w:r>
          </w:hyperlink>
        </w:p>
        <w:p w:rsidR="00BB54FC" w:rsidRDefault="00BB54FC" w14:paraId="2B478DC0" w14:textId="31A64816">
          <w:pPr>
            <w:pStyle w:val="TOC3"/>
            <w:rPr>
              <w:rFonts w:asciiTheme="minorHAnsi" w:hAnsiTheme="minorHAnsi" w:eastAsiaTheme="minorEastAsia" w:cstheme="minorBidi"/>
              <w:i w:val="0"/>
              <w:lang w:eastAsia="en-GB"/>
            </w:rPr>
          </w:pPr>
          <w:hyperlink w:history="1" w:anchor="_Toc85541497">
            <w:r w:rsidRPr="00B72BC3">
              <w:rPr>
                <w:rStyle w:val="Hyperlink"/>
              </w:rPr>
              <w:t>(a)</w:t>
            </w:r>
            <w:r>
              <w:rPr>
                <w:rFonts w:asciiTheme="minorHAnsi" w:hAnsiTheme="minorHAnsi" w:eastAsiaTheme="minorEastAsia" w:cstheme="minorBidi"/>
                <w:i w:val="0"/>
                <w:lang w:eastAsia="en-GB"/>
              </w:rPr>
              <w:tab/>
            </w:r>
            <w:r w:rsidRPr="00B72BC3">
              <w:rPr>
                <w:rStyle w:val="Hyperlink"/>
              </w:rPr>
              <w:t>Access to health records</w:t>
            </w:r>
            <w:r>
              <w:rPr>
                <w:webHidden/>
              </w:rPr>
              <w:tab/>
            </w:r>
            <w:r>
              <w:rPr>
                <w:webHidden/>
              </w:rPr>
              <w:fldChar w:fldCharType="begin"/>
            </w:r>
            <w:r>
              <w:rPr>
                <w:webHidden/>
              </w:rPr>
              <w:instrText xml:space="preserve"> PAGEREF _Toc85541497 \h </w:instrText>
            </w:r>
            <w:r>
              <w:rPr>
                <w:webHidden/>
              </w:rPr>
            </w:r>
            <w:r>
              <w:rPr>
                <w:webHidden/>
              </w:rPr>
              <w:fldChar w:fldCharType="separate"/>
            </w:r>
            <w:r>
              <w:rPr>
                <w:webHidden/>
              </w:rPr>
              <w:t>215</w:t>
            </w:r>
            <w:r>
              <w:rPr>
                <w:webHidden/>
              </w:rPr>
              <w:fldChar w:fldCharType="end"/>
            </w:r>
          </w:hyperlink>
        </w:p>
        <w:p w:rsidR="00BB54FC" w:rsidRDefault="00BB54FC" w14:paraId="7315C27B" w14:textId="4A89470D">
          <w:pPr>
            <w:pStyle w:val="TOC3"/>
            <w:rPr>
              <w:rFonts w:asciiTheme="minorHAnsi" w:hAnsiTheme="minorHAnsi" w:eastAsiaTheme="minorEastAsia" w:cstheme="minorBidi"/>
              <w:i w:val="0"/>
              <w:lang w:eastAsia="en-GB"/>
            </w:rPr>
          </w:pPr>
          <w:hyperlink w:history="1" w:anchor="_Toc85541498">
            <w:r w:rsidRPr="00B72BC3">
              <w:rPr>
                <w:rStyle w:val="Hyperlink"/>
              </w:rPr>
              <w:t>(b)</w:t>
            </w:r>
            <w:r>
              <w:rPr>
                <w:rFonts w:asciiTheme="minorHAnsi" w:hAnsiTheme="minorHAnsi" w:eastAsiaTheme="minorEastAsia" w:cstheme="minorBidi"/>
                <w:i w:val="0"/>
                <w:lang w:eastAsia="en-GB"/>
              </w:rPr>
              <w:tab/>
            </w:r>
            <w:r w:rsidRPr="00B72BC3">
              <w:rPr>
                <w:rStyle w:val="Hyperlink"/>
              </w:rPr>
              <w:t>Privacy</w:t>
            </w:r>
            <w:r>
              <w:rPr>
                <w:webHidden/>
              </w:rPr>
              <w:tab/>
            </w:r>
            <w:r>
              <w:rPr>
                <w:webHidden/>
              </w:rPr>
              <w:fldChar w:fldCharType="begin"/>
            </w:r>
            <w:r>
              <w:rPr>
                <w:webHidden/>
              </w:rPr>
              <w:instrText xml:space="preserve"> PAGEREF _Toc85541498 \h </w:instrText>
            </w:r>
            <w:r>
              <w:rPr>
                <w:webHidden/>
              </w:rPr>
            </w:r>
            <w:r>
              <w:rPr>
                <w:webHidden/>
              </w:rPr>
              <w:fldChar w:fldCharType="separate"/>
            </w:r>
            <w:r>
              <w:rPr>
                <w:webHidden/>
              </w:rPr>
              <w:t>217</w:t>
            </w:r>
            <w:r>
              <w:rPr>
                <w:webHidden/>
              </w:rPr>
              <w:fldChar w:fldCharType="end"/>
            </w:r>
          </w:hyperlink>
        </w:p>
        <w:p w:rsidR="00BB54FC" w:rsidRDefault="00BB54FC" w14:paraId="24D2F0AE" w14:textId="549F4D52">
          <w:pPr>
            <w:pStyle w:val="TOC3"/>
            <w:rPr>
              <w:rFonts w:asciiTheme="minorHAnsi" w:hAnsiTheme="minorHAnsi" w:eastAsiaTheme="minorEastAsia" w:cstheme="minorBidi"/>
              <w:i w:val="0"/>
              <w:lang w:eastAsia="en-GB"/>
            </w:rPr>
          </w:pPr>
          <w:hyperlink w:history="1" w:anchor="_Toc85541499">
            <w:r w:rsidRPr="00B72BC3">
              <w:rPr>
                <w:rStyle w:val="Hyperlink"/>
              </w:rPr>
              <w:t>(c)</w:t>
            </w:r>
            <w:r>
              <w:rPr>
                <w:rFonts w:asciiTheme="minorHAnsi" w:hAnsiTheme="minorHAnsi" w:eastAsiaTheme="minorEastAsia" w:cstheme="minorBidi"/>
                <w:i w:val="0"/>
                <w:lang w:eastAsia="en-GB"/>
              </w:rPr>
              <w:tab/>
            </w:r>
            <w:r w:rsidRPr="00B72BC3">
              <w:rPr>
                <w:rStyle w:val="Hyperlink"/>
              </w:rPr>
              <w:t>Sharing health records</w:t>
            </w:r>
            <w:r>
              <w:rPr>
                <w:webHidden/>
              </w:rPr>
              <w:tab/>
            </w:r>
            <w:r>
              <w:rPr>
                <w:webHidden/>
              </w:rPr>
              <w:fldChar w:fldCharType="begin"/>
            </w:r>
            <w:r>
              <w:rPr>
                <w:webHidden/>
              </w:rPr>
              <w:instrText xml:space="preserve"> PAGEREF _Toc85541499 \h </w:instrText>
            </w:r>
            <w:r>
              <w:rPr>
                <w:webHidden/>
              </w:rPr>
            </w:r>
            <w:r>
              <w:rPr>
                <w:webHidden/>
              </w:rPr>
              <w:fldChar w:fldCharType="separate"/>
            </w:r>
            <w:r>
              <w:rPr>
                <w:webHidden/>
              </w:rPr>
              <w:t>217</w:t>
            </w:r>
            <w:r>
              <w:rPr>
                <w:webHidden/>
              </w:rPr>
              <w:fldChar w:fldCharType="end"/>
            </w:r>
          </w:hyperlink>
        </w:p>
        <w:p w:rsidR="00BB54FC" w:rsidRDefault="00BB54FC" w14:paraId="4B6810C3" w14:textId="35948694">
          <w:pPr>
            <w:pStyle w:val="TOC3"/>
            <w:rPr>
              <w:rFonts w:asciiTheme="minorHAnsi" w:hAnsiTheme="minorHAnsi" w:eastAsiaTheme="minorEastAsia" w:cstheme="minorBidi"/>
              <w:i w:val="0"/>
              <w:lang w:eastAsia="en-GB"/>
            </w:rPr>
          </w:pPr>
          <w:hyperlink w:history="1" w:anchor="_Toc85541500">
            <w:r w:rsidRPr="00B72BC3">
              <w:rPr>
                <w:rStyle w:val="Hyperlink"/>
              </w:rPr>
              <w:t>(d)</w:t>
            </w:r>
            <w:r>
              <w:rPr>
                <w:rFonts w:asciiTheme="minorHAnsi" w:hAnsiTheme="minorHAnsi" w:eastAsiaTheme="minorEastAsia" w:cstheme="minorBidi"/>
                <w:i w:val="0"/>
                <w:lang w:eastAsia="en-GB"/>
              </w:rPr>
              <w:tab/>
            </w:r>
            <w:r w:rsidRPr="00B72BC3">
              <w:rPr>
                <w:rStyle w:val="Hyperlink"/>
              </w:rPr>
              <w:t>The importance of access to records</w:t>
            </w:r>
            <w:r>
              <w:rPr>
                <w:webHidden/>
              </w:rPr>
              <w:tab/>
            </w:r>
            <w:r>
              <w:rPr>
                <w:webHidden/>
              </w:rPr>
              <w:fldChar w:fldCharType="begin"/>
            </w:r>
            <w:r>
              <w:rPr>
                <w:webHidden/>
              </w:rPr>
              <w:instrText xml:space="preserve"> PAGEREF _Toc85541500 \h </w:instrText>
            </w:r>
            <w:r>
              <w:rPr>
                <w:webHidden/>
              </w:rPr>
            </w:r>
            <w:r>
              <w:rPr>
                <w:webHidden/>
              </w:rPr>
              <w:fldChar w:fldCharType="separate"/>
            </w:r>
            <w:r>
              <w:rPr>
                <w:webHidden/>
              </w:rPr>
              <w:t>218</w:t>
            </w:r>
            <w:r>
              <w:rPr>
                <w:webHidden/>
              </w:rPr>
              <w:fldChar w:fldCharType="end"/>
            </w:r>
          </w:hyperlink>
        </w:p>
        <w:p w:rsidR="00BB54FC" w:rsidRDefault="00BB54FC" w14:paraId="7257E29A" w14:textId="60F01EDD">
          <w:pPr>
            <w:pStyle w:val="TOC2"/>
            <w:rPr>
              <w:rFonts w:asciiTheme="minorHAnsi" w:hAnsiTheme="minorHAnsi" w:eastAsiaTheme="minorEastAsia" w:cstheme="minorBidi"/>
              <w:b w:val="0"/>
              <w:i w:val="0"/>
              <w:lang w:eastAsia="en-GB"/>
            </w:rPr>
          </w:pPr>
          <w:hyperlink w:history="1" w:anchor="_Toc85541501">
            <w:r w:rsidRPr="00B72BC3">
              <w:rPr>
                <w:rStyle w:val="Hyperlink"/>
              </w:rPr>
              <w:t>9.3</w:t>
            </w:r>
            <w:r>
              <w:rPr>
                <w:rFonts w:asciiTheme="minorHAnsi" w:hAnsiTheme="minorHAnsi" w:eastAsiaTheme="minorEastAsia" w:cstheme="minorBidi"/>
                <w:b w:val="0"/>
                <w:i w:val="0"/>
                <w:lang w:eastAsia="en-GB"/>
              </w:rPr>
              <w:tab/>
            </w:r>
            <w:r w:rsidRPr="00B72BC3">
              <w:rPr>
                <w:rStyle w:val="Hyperlink"/>
              </w:rPr>
              <w:t>Data collection</w:t>
            </w:r>
            <w:r>
              <w:rPr>
                <w:webHidden/>
              </w:rPr>
              <w:tab/>
            </w:r>
            <w:r>
              <w:rPr>
                <w:webHidden/>
              </w:rPr>
              <w:fldChar w:fldCharType="begin"/>
            </w:r>
            <w:r>
              <w:rPr>
                <w:webHidden/>
              </w:rPr>
              <w:instrText xml:space="preserve"> PAGEREF _Toc85541501 \h </w:instrText>
            </w:r>
            <w:r>
              <w:rPr>
                <w:webHidden/>
              </w:rPr>
            </w:r>
            <w:r>
              <w:rPr>
                <w:webHidden/>
              </w:rPr>
              <w:fldChar w:fldCharType="separate"/>
            </w:r>
            <w:r>
              <w:rPr>
                <w:webHidden/>
              </w:rPr>
              <w:t>219</w:t>
            </w:r>
            <w:r>
              <w:rPr>
                <w:webHidden/>
              </w:rPr>
              <w:fldChar w:fldCharType="end"/>
            </w:r>
          </w:hyperlink>
        </w:p>
        <w:p w:rsidR="00BB54FC" w:rsidRDefault="00BB54FC" w14:paraId="309D1F03" w14:textId="64766ECB">
          <w:pPr>
            <w:pStyle w:val="TOC3"/>
            <w:rPr>
              <w:rFonts w:asciiTheme="minorHAnsi" w:hAnsiTheme="minorHAnsi" w:eastAsiaTheme="minorEastAsia" w:cstheme="minorBidi"/>
              <w:i w:val="0"/>
              <w:lang w:eastAsia="en-GB"/>
            </w:rPr>
          </w:pPr>
          <w:hyperlink w:history="1" w:anchor="_Toc85541502">
            <w:r w:rsidRPr="00B72BC3">
              <w:rPr>
                <w:rStyle w:val="Hyperlink"/>
              </w:rPr>
              <w:t>(a)</w:t>
            </w:r>
            <w:r>
              <w:rPr>
                <w:rFonts w:asciiTheme="minorHAnsi" w:hAnsiTheme="minorHAnsi" w:eastAsiaTheme="minorEastAsia" w:cstheme="minorBidi"/>
                <w:i w:val="0"/>
                <w:lang w:eastAsia="en-GB"/>
              </w:rPr>
              <w:tab/>
            </w:r>
            <w:r w:rsidRPr="00B72BC3">
              <w:rPr>
                <w:rStyle w:val="Hyperlink"/>
              </w:rPr>
              <w:t>Lack of data</w:t>
            </w:r>
            <w:r>
              <w:rPr>
                <w:webHidden/>
              </w:rPr>
              <w:tab/>
            </w:r>
            <w:r>
              <w:rPr>
                <w:webHidden/>
              </w:rPr>
              <w:fldChar w:fldCharType="begin"/>
            </w:r>
            <w:r>
              <w:rPr>
                <w:webHidden/>
              </w:rPr>
              <w:instrText xml:space="preserve"> PAGEREF _Toc85541502 \h </w:instrText>
            </w:r>
            <w:r>
              <w:rPr>
                <w:webHidden/>
              </w:rPr>
            </w:r>
            <w:r>
              <w:rPr>
                <w:webHidden/>
              </w:rPr>
              <w:fldChar w:fldCharType="separate"/>
            </w:r>
            <w:r>
              <w:rPr>
                <w:webHidden/>
              </w:rPr>
              <w:t>220</w:t>
            </w:r>
            <w:r>
              <w:rPr>
                <w:webHidden/>
              </w:rPr>
              <w:fldChar w:fldCharType="end"/>
            </w:r>
          </w:hyperlink>
        </w:p>
        <w:p w:rsidR="00BB54FC" w:rsidRDefault="00BB54FC" w14:paraId="16BB93AE" w14:textId="39DF94EF">
          <w:pPr>
            <w:pStyle w:val="TOC3"/>
            <w:rPr>
              <w:rFonts w:asciiTheme="minorHAnsi" w:hAnsiTheme="minorHAnsi" w:eastAsiaTheme="minorEastAsia" w:cstheme="minorBidi"/>
              <w:i w:val="0"/>
              <w:lang w:eastAsia="en-GB"/>
            </w:rPr>
          </w:pPr>
          <w:hyperlink w:history="1" w:anchor="_Toc85541503">
            <w:r w:rsidRPr="00B72BC3">
              <w:rPr>
                <w:rStyle w:val="Hyperlink"/>
              </w:rPr>
              <w:t>(b)</w:t>
            </w:r>
            <w:r>
              <w:rPr>
                <w:rFonts w:asciiTheme="minorHAnsi" w:hAnsiTheme="minorHAnsi" w:eastAsiaTheme="minorEastAsia" w:cstheme="minorBidi"/>
                <w:i w:val="0"/>
                <w:lang w:eastAsia="en-GB"/>
              </w:rPr>
              <w:tab/>
            </w:r>
            <w:r w:rsidRPr="00B72BC3">
              <w:rPr>
                <w:rStyle w:val="Hyperlink"/>
              </w:rPr>
              <w:t>Disagreement in the absence of data</w:t>
            </w:r>
            <w:r>
              <w:rPr>
                <w:webHidden/>
              </w:rPr>
              <w:tab/>
            </w:r>
            <w:r>
              <w:rPr>
                <w:webHidden/>
              </w:rPr>
              <w:fldChar w:fldCharType="begin"/>
            </w:r>
            <w:r>
              <w:rPr>
                <w:webHidden/>
              </w:rPr>
              <w:instrText xml:space="preserve"> PAGEREF _Toc85541503 \h </w:instrText>
            </w:r>
            <w:r>
              <w:rPr>
                <w:webHidden/>
              </w:rPr>
            </w:r>
            <w:r>
              <w:rPr>
                <w:webHidden/>
              </w:rPr>
              <w:fldChar w:fldCharType="separate"/>
            </w:r>
            <w:r>
              <w:rPr>
                <w:webHidden/>
              </w:rPr>
              <w:t>222</w:t>
            </w:r>
            <w:r>
              <w:rPr>
                <w:webHidden/>
              </w:rPr>
              <w:fldChar w:fldCharType="end"/>
            </w:r>
          </w:hyperlink>
        </w:p>
        <w:p w:rsidR="00BB54FC" w:rsidRDefault="00BB54FC" w14:paraId="351D28AB" w14:textId="4D4456C5">
          <w:pPr>
            <w:pStyle w:val="TOC3"/>
            <w:rPr>
              <w:rFonts w:asciiTheme="minorHAnsi" w:hAnsiTheme="minorHAnsi" w:eastAsiaTheme="minorEastAsia" w:cstheme="minorBidi"/>
              <w:i w:val="0"/>
              <w:lang w:eastAsia="en-GB"/>
            </w:rPr>
          </w:pPr>
          <w:hyperlink w:history="1" w:anchor="_Toc85541504">
            <w:r w:rsidRPr="00B72BC3">
              <w:rPr>
                <w:rStyle w:val="Hyperlink"/>
              </w:rPr>
              <w:t>(c)</w:t>
            </w:r>
            <w:r>
              <w:rPr>
                <w:rFonts w:asciiTheme="minorHAnsi" w:hAnsiTheme="minorHAnsi" w:eastAsiaTheme="minorEastAsia" w:cstheme="minorBidi"/>
                <w:i w:val="0"/>
                <w:lang w:eastAsia="en-GB"/>
              </w:rPr>
              <w:tab/>
            </w:r>
            <w:r w:rsidRPr="00B72BC3">
              <w:rPr>
                <w:rStyle w:val="Hyperlink"/>
              </w:rPr>
              <w:t>Data collection to support optimal practice</w:t>
            </w:r>
            <w:r>
              <w:rPr>
                <w:webHidden/>
              </w:rPr>
              <w:tab/>
            </w:r>
            <w:r>
              <w:rPr>
                <w:webHidden/>
              </w:rPr>
              <w:fldChar w:fldCharType="begin"/>
            </w:r>
            <w:r>
              <w:rPr>
                <w:webHidden/>
              </w:rPr>
              <w:instrText xml:space="preserve"> PAGEREF _Toc85541504 \h </w:instrText>
            </w:r>
            <w:r>
              <w:rPr>
                <w:webHidden/>
              </w:rPr>
            </w:r>
            <w:r>
              <w:rPr>
                <w:webHidden/>
              </w:rPr>
              <w:fldChar w:fldCharType="separate"/>
            </w:r>
            <w:r>
              <w:rPr>
                <w:webHidden/>
              </w:rPr>
              <w:t>223</w:t>
            </w:r>
            <w:r>
              <w:rPr>
                <w:webHidden/>
              </w:rPr>
              <w:fldChar w:fldCharType="end"/>
            </w:r>
          </w:hyperlink>
        </w:p>
        <w:p w:rsidR="00BB54FC" w:rsidRDefault="00BB54FC" w14:paraId="3AADF346" w14:textId="6A1D0ECC">
          <w:pPr>
            <w:pStyle w:val="TOC3"/>
            <w:rPr>
              <w:rFonts w:asciiTheme="minorHAnsi" w:hAnsiTheme="minorHAnsi" w:eastAsiaTheme="minorEastAsia" w:cstheme="minorBidi"/>
              <w:i w:val="0"/>
              <w:lang w:eastAsia="en-GB"/>
            </w:rPr>
          </w:pPr>
          <w:hyperlink w:history="1" w:anchor="_Toc85541505">
            <w:r w:rsidRPr="00B72BC3">
              <w:rPr>
                <w:rStyle w:val="Hyperlink"/>
              </w:rPr>
              <w:t>(d)</w:t>
            </w:r>
            <w:r>
              <w:rPr>
                <w:rFonts w:asciiTheme="minorHAnsi" w:hAnsiTheme="minorHAnsi" w:eastAsiaTheme="minorEastAsia" w:cstheme="minorBidi"/>
                <w:i w:val="0"/>
                <w:lang w:eastAsia="en-GB"/>
              </w:rPr>
              <w:tab/>
            </w:r>
            <w:r w:rsidRPr="00B72BC3">
              <w:rPr>
                <w:rStyle w:val="Hyperlink"/>
              </w:rPr>
              <w:t>Barriers to data collection</w:t>
            </w:r>
            <w:r>
              <w:rPr>
                <w:webHidden/>
              </w:rPr>
              <w:tab/>
            </w:r>
            <w:r>
              <w:rPr>
                <w:webHidden/>
              </w:rPr>
              <w:fldChar w:fldCharType="begin"/>
            </w:r>
            <w:r>
              <w:rPr>
                <w:webHidden/>
              </w:rPr>
              <w:instrText xml:space="preserve"> PAGEREF _Toc85541505 \h </w:instrText>
            </w:r>
            <w:r>
              <w:rPr>
                <w:webHidden/>
              </w:rPr>
            </w:r>
            <w:r>
              <w:rPr>
                <w:webHidden/>
              </w:rPr>
              <w:fldChar w:fldCharType="separate"/>
            </w:r>
            <w:r>
              <w:rPr>
                <w:webHidden/>
              </w:rPr>
              <w:t>224</w:t>
            </w:r>
            <w:r>
              <w:rPr>
                <w:webHidden/>
              </w:rPr>
              <w:fldChar w:fldCharType="end"/>
            </w:r>
          </w:hyperlink>
        </w:p>
        <w:p w:rsidR="00BB54FC" w:rsidRDefault="00BB54FC" w14:paraId="3E5AA563" w14:textId="3EAABE25">
          <w:pPr>
            <w:pStyle w:val="TOC3"/>
            <w:rPr>
              <w:rFonts w:asciiTheme="minorHAnsi" w:hAnsiTheme="minorHAnsi" w:eastAsiaTheme="minorEastAsia" w:cstheme="minorBidi"/>
              <w:i w:val="0"/>
              <w:lang w:eastAsia="en-GB"/>
            </w:rPr>
          </w:pPr>
          <w:hyperlink w:history="1" w:anchor="_Toc85541506">
            <w:r w:rsidRPr="00B72BC3">
              <w:rPr>
                <w:rStyle w:val="Hyperlink"/>
              </w:rPr>
              <w:t>(e)</w:t>
            </w:r>
            <w:r>
              <w:rPr>
                <w:rFonts w:asciiTheme="minorHAnsi" w:hAnsiTheme="minorHAnsi" w:eastAsiaTheme="minorEastAsia" w:cstheme="minorBidi"/>
                <w:i w:val="0"/>
                <w:lang w:eastAsia="en-GB"/>
              </w:rPr>
              <w:tab/>
            </w:r>
            <w:r w:rsidRPr="00B72BC3">
              <w:rPr>
                <w:rStyle w:val="Hyperlink"/>
              </w:rPr>
              <w:t>Who should be responsible for data collection?</w:t>
            </w:r>
            <w:r>
              <w:rPr>
                <w:webHidden/>
              </w:rPr>
              <w:tab/>
            </w:r>
            <w:r>
              <w:rPr>
                <w:webHidden/>
              </w:rPr>
              <w:fldChar w:fldCharType="begin"/>
            </w:r>
            <w:r>
              <w:rPr>
                <w:webHidden/>
              </w:rPr>
              <w:instrText xml:space="preserve"> PAGEREF _Toc85541506 \h </w:instrText>
            </w:r>
            <w:r>
              <w:rPr>
                <w:webHidden/>
              </w:rPr>
            </w:r>
            <w:r>
              <w:rPr>
                <w:webHidden/>
              </w:rPr>
              <w:fldChar w:fldCharType="separate"/>
            </w:r>
            <w:r>
              <w:rPr>
                <w:webHidden/>
              </w:rPr>
              <w:t>225</w:t>
            </w:r>
            <w:r>
              <w:rPr>
                <w:webHidden/>
              </w:rPr>
              <w:fldChar w:fldCharType="end"/>
            </w:r>
          </w:hyperlink>
        </w:p>
        <w:p w:rsidR="00BB54FC" w:rsidRDefault="00BB54FC" w14:paraId="3687A274" w14:textId="15503676">
          <w:pPr>
            <w:pStyle w:val="TOC3"/>
            <w:rPr>
              <w:rFonts w:asciiTheme="minorHAnsi" w:hAnsiTheme="minorHAnsi" w:eastAsiaTheme="minorEastAsia" w:cstheme="minorBidi"/>
              <w:i w:val="0"/>
              <w:lang w:eastAsia="en-GB"/>
            </w:rPr>
          </w:pPr>
          <w:hyperlink w:history="1" w:anchor="_Toc85541507">
            <w:r w:rsidRPr="00B72BC3">
              <w:rPr>
                <w:rStyle w:val="Hyperlink"/>
              </w:rPr>
              <w:t>(f)</w:t>
            </w:r>
            <w:r>
              <w:rPr>
                <w:rFonts w:asciiTheme="minorHAnsi" w:hAnsiTheme="minorHAnsi" w:eastAsiaTheme="minorEastAsia" w:cstheme="minorBidi"/>
                <w:i w:val="0"/>
                <w:lang w:eastAsia="en-GB"/>
              </w:rPr>
              <w:tab/>
            </w:r>
            <w:r w:rsidRPr="00B72BC3">
              <w:rPr>
                <w:rStyle w:val="Hyperlink"/>
              </w:rPr>
              <w:t>Towards better data</w:t>
            </w:r>
            <w:r>
              <w:rPr>
                <w:webHidden/>
              </w:rPr>
              <w:tab/>
            </w:r>
            <w:r>
              <w:rPr>
                <w:webHidden/>
              </w:rPr>
              <w:fldChar w:fldCharType="begin"/>
            </w:r>
            <w:r>
              <w:rPr>
                <w:webHidden/>
              </w:rPr>
              <w:instrText xml:space="preserve"> PAGEREF _Toc85541507 \h </w:instrText>
            </w:r>
            <w:r>
              <w:rPr>
                <w:webHidden/>
              </w:rPr>
            </w:r>
            <w:r>
              <w:rPr>
                <w:webHidden/>
              </w:rPr>
              <w:fldChar w:fldCharType="separate"/>
            </w:r>
            <w:r>
              <w:rPr>
                <w:webHidden/>
              </w:rPr>
              <w:t>226</w:t>
            </w:r>
            <w:r>
              <w:rPr>
                <w:webHidden/>
              </w:rPr>
              <w:fldChar w:fldCharType="end"/>
            </w:r>
          </w:hyperlink>
        </w:p>
        <w:p w:rsidR="00BB54FC" w:rsidRDefault="00BB54FC" w14:paraId="0C700DAB" w14:textId="1FA479AC">
          <w:pPr>
            <w:pStyle w:val="TOC2"/>
            <w:rPr>
              <w:rFonts w:asciiTheme="minorHAnsi" w:hAnsiTheme="minorHAnsi" w:eastAsiaTheme="minorEastAsia" w:cstheme="minorBidi"/>
              <w:b w:val="0"/>
              <w:i w:val="0"/>
              <w:lang w:eastAsia="en-GB"/>
            </w:rPr>
          </w:pPr>
          <w:hyperlink w:history="1" w:anchor="_Toc85541508">
            <w:r w:rsidRPr="00B72BC3">
              <w:rPr>
                <w:rStyle w:val="Hyperlink"/>
              </w:rPr>
              <w:t>9.4</w:t>
            </w:r>
            <w:r>
              <w:rPr>
                <w:rFonts w:asciiTheme="minorHAnsi" w:hAnsiTheme="minorHAnsi" w:eastAsiaTheme="minorEastAsia" w:cstheme="minorBidi"/>
                <w:b w:val="0"/>
                <w:i w:val="0"/>
                <w:lang w:eastAsia="en-GB"/>
              </w:rPr>
              <w:tab/>
            </w:r>
            <w:r w:rsidRPr="00B72BC3">
              <w:rPr>
                <w:rStyle w:val="Hyperlink"/>
              </w:rPr>
              <w:t>Responding to those harmed by past practices</w:t>
            </w:r>
            <w:r>
              <w:rPr>
                <w:webHidden/>
              </w:rPr>
              <w:tab/>
            </w:r>
            <w:r>
              <w:rPr>
                <w:webHidden/>
              </w:rPr>
              <w:fldChar w:fldCharType="begin"/>
            </w:r>
            <w:r>
              <w:rPr>
                <w:webHidden/>
              </w:rPr>
              <w:instrText xml:space="preserve"> PAGEREF _Toc85541508 \h </w:instrText>
            </w:r>
            <w:r>
              <w:rPr>
                <w:webHidden/>
              </w:rPr>
            </w:r>
            <w:r>
              <w:rPr>
                <w:webHidden/>
              </w:rPr>
              <w:fldChar w:fldCharType="separate"/>
            </w:r>
            <w:r>
              <w:rPr>
                <w:webHidden/>
              </w:rPr>
              <w:t>228</w:t>
            </w:r>
            <w:r>
              <w:rPr>
                <w:webHidden/>
              </w:rPr>
              <w:fldChar w:fldCharType="end"/>
            </w:r>
          </w:hyperlink>
        </w:p>
        <w:p w:rsidR="00793D75" w:rsidRDefault="00793D75" w14:paraId="19242F5D" w14:textId="41C8FE36">
          <w:r>
            <w:rPr>
              <w:b/>
              <w:bCs/>
              <w:noProof/>
            </w:rPr>
            <w:fldChar w:fldCharType="end"/>
          </w:r>
        </w:p>
      </w:sdtContent>
    </w:sdt>
    <w:p w:rsidR="00445225" w:rsidRDefault="00445225" w14:paraId="1DED94D2" w14:textId="77777777">
      <w:pPr>
        <w:spacing w:before="0" w:after="0"/>
        <w:rPr>
          <w:b/>
          <w:bCs/>
          <w:sz w:val="36"/>
          <w:szCs w:val="28"/>
        </w:rPr>
      </w:pPr>
      <w:bookmarkStart w:name="_Toc80094126" w:id="0"/>
      <w:r>
        <w:br w:type="page"/>
      </w:r>
    </w:p>
    <w:p w:rsidR="00445225" w:rsidP="0007502F" w:rsidRDefault="008765DF" w14:paraId="21252852" w14:textId="374CD712">
      <w:pPr>
        <w:pStyle w:val="AHRCHeading1"/>
        <w:numPr>
          <w:ilvl w:val="0"/>
          <w:numId w:val="0"/>
        </w:numPr>
        <w:ind w:left="851" w:hanging="851"/>
      </w:pPr>
      <w:bookmarkStart w:name="_Toc85541366" w:id="1"/>
      <w:r>
        <w:lastRenderedPageBreak/>
        <w:t>F</w:t>
      </w:r>
      <w:r w:rsidR="003479D9">
        <w:t>oreword</w:t>
      </w:r>
      <w:bookmarkEnd w:id="1"/>
    </w:p>
    <w:p w:rsidR="00C637E1" w:rsidP="00C637E1" w:rsidRDefault="00C637E1" w14:paraId="68292BE3" w14:textId="4A74B009">
      <w:pPr>
        <w:rPr>
          <w:rFonts w:cs="Open Sans"/>
        </w:rPr>
      </w:pPr>
      <w:r w:rsidRPr="5652A47E">
        <w:rPr>
          <w:rFonts w:cs="Open Sans"/>
          <w:lang w:val="en-GB"/>
        </w:rPr>
        <w:t xml:space="preserve">The Australian Human Rights Commission’s </w:t>
      </w:r>
      <w:r w:rsidRPr="5840B4FA">
        <w:rPr>
          <w:rFonts w:cs="Open Sans"/>
          <w:lang w:val="en-GB"/>
        </w:rPr>
        <w:t>report</w:t>
      </w:r>
      <w:r w:rsidRPr="51426FD8">
        <w:rPr>
          <w:rFonts w:cs="Open Sans"/>
          <w:lang w:val="en-GB"/>
        </w:rPr>
        <w:t>,</w:t>
      </w:r>
      <w:r w:rsidRPr="5840B4FA">
        <w:rPr>
          <w:rFonts w:cs="Open Sans"/>
          <w:lang w:val="en-GB"/>
        </w:rPr>
        <w:t xml:space="preserve"> </w:t>
      </w:r>
      <w:r w:rsidRPr="5840B4FA">
        <w:rPr>
          <w:rFonts w:eastAsia="Open Sans" w:cs="Open Sans"/>
          <w:i/>
          <w:iCs/>
          <w:color w:val="333333"/>
        </w:rPr>
        <w:t>Ensuring health and bodily integrity: towards a human rights approach for people born with variations in sex characteristics</w:t>
      </w:r>
      <w:r w:rsidRPr="1132B71F">
        <w:rPr>
          <w:rFonts w:eastAsia="Open Sans" w:cs="Open Sans"/>
          <w:i/>
          <w:iCs/>
          <w:color w:val="333333"/>
        </w:rPr>
        <w:t>,</w:t>
      </w:r>
      <w:r>
        <w:rPr>
          <w:rFonts w:eastAsia="Open Sans" w:cs="Open Sans"/>
          <w:i/>
          <w:iCs/>
          <w:color w:val="333333"/>
        </w:rPr>
        <w:t xml:space="preserve"> </w:t>
      </w:r>
      <w:r w:rsidRPr="5652A47E">
        <w:rPr>
          <w:rFonts w:cs="Open Sans"/>
        </w:rPr>
        <w:t xml:space="preserve">seeks to provide a pathway forward to address a challenging set of human rights issues that can have significant personal impacts if not addressed. Past consideration of the issues in this </w:t>
      </w:r>
      <w:r>
        <w:rPr>
          <w:rFonts w:cs="Open Sans"/>
        </w:rPr>
        <w:t>R</w:t>
      </w:r>
      <w:r w:rsidRPr="5652A47E">
        <w:rPr>
          <w:rFonts w:cs="Open Sans"/>
        </w:rPr>
        <w:t>eport ha</w:t>
      </w:r>
      <w:r w:rsidR="00A07E15">
        <w:rPr>
          <w:rFonts w:cs="Open Sans"/>
        </w:rPr>
        <w:t>s</w:t>
      </w:r>
      <w:r w:rsidRPr="5652A47E">
        <w:rPr>
          <w:rFonts w:cs="Open Sans"/>
        </w:rPr>
        <w:t xml:space="preserve"> not resulted in the introduction of </w:t>
      </w:r>
      <w:r w:rsidRPr="0805F9A2">
        <w:rPr>
          <w:rFonts w:cs="Open Sans"/>
        </w:rPr>
        <w:t>adequate protections</w:t>
      </w:r>
      <w:r w:rsidRPr="5652A47E">
        <w:rPr>
          <w:rFonts w:cs="Open Sans"/>
        </w:rPr>
        <w:t xml:space="preserve">, despite the significance of the issues. </w:t>
      </w:r>
    </w:p>
    <w:p w:rsidR="00C637E1" w:rsidP="00C637E1" w:rsidRDefault="00C637E1" w14:paraId="0E859F66" w14:textId="75581822">
      <w:pPr>
        <w:rPr>
          <w:rFonts w:cs="Open Sans"/>
          <w:lang w:val="en-GB"/>
        </w:rPr>
      </w:pPr>
      <w:r w:rsidRPr="00595B78">
        <w:rPr>
          <w:rFonts w:cs="Open Sans"/>
          <w:bCs/>
          <w:lang w:val="en-GB"/>
        </w:rPr>
        <w:t>On behalf of the Commission, I</w:t>
      </w:r>
      <w:r>
        <w:rPr>
          <w:rFonts w:cs="Open Sans"/>
          <w:bCs/>
          <w:lang w:val="en-GB"/>
        </w:rPr>
        <w:t xml:space="preserve"> want to express my deep gratitude to those </w:t>
      </w:r>
      <w:r w:rsidRPr="5652A47E">
        <w:rPr>
          <w:rFonts w:cs="Open Sans"/>
          <w:lang w:val="en-GB"/>
        </w:rPr>
        <w:t xml:space="preserve">people </w:t>
      </w:r>
      <w:r w:rsidRPr="5652A47E">
        <w:rPr>
          <w:rFonts w:eastAsia="Open Sans" w:cs="Open Sans"/>
          <w:lang w:val="en-GB"/>
        </w:rPr>
        <w:t>directly affected by this issue</w:t>
      </w:r>
      <w:r w:rsidRPr="5652A47E">
        <w:rPr>
          <w:rFonts w:cs="Open Sans"/>
          <w:lang w:val="en-GB"/>
        </w:rPr>
        <w:t xml:space="preserve"> </w:t>
      </w:r>
      <w:r w:rsidRPr="00595B78">
        <w:rPr>
          <w:rFonts w:cs="Open Sans"/>
          <w:bCs/>
          <w:lang w:val="en-GB"/>
        </w:rPr>
        <w:t>who shared their experiences</w:t>
      </w:r>
      <w:r w:rsidRPr="5652A47E">
        <w:rPr>
          <w:rFonts w:cs="Open Sans"/>
          <w:lang w:val="en-GB"/>
        </w:rPr>
        <w:t xml:space="preserve"> with us </w:t>
      </w:r>
      <w:r w:rsidRPr="1D0C4D59">
        <w:rPr>
          <w:rFonts w:cs="Open Sans"/>
          <w:lang w:val="en-GB"/>
        </w:rPr>
        <w:t>–</w:t>
      </w:r>
      <w:r w:rsidRPr="5652A47E">
        <w:rPr>
          <w:rFonts w:cs="Open Sans"/>
          <w:lang w:val="en-GB"/>
        </w:rPr>
        <w:t xml:space="preserve"> people who have had </w:t>
      </w:r>
      <w:r w:rsidR="00401C43">
        <w:rPr>
          <w:rFonts w:cs="Open Sans"/>
          <w:lang w:val="en-GB"/>
        </w:rPr>
        <w:t>interventions</w:t>
      </w:r>
      <w:r w:rsidRPr="5652A47E">
        <w:rPr>
          <w:rFonts w:cs="Open Sans"/>
          <w:lang w:val="en-GB"/>
        </w:rPr>
        <w:t xml:space="preserve"> as children to vary their sex characteristics</w:t>
      </w:r>
      <w:r>
        <w:rPr>
          <w:rFonts w:cs="Open Sans"/>
          <w:lang w:val="en-GB"/>
        </w:rPr>
        <w:t>,</w:t>
      </w:r>
      <w:r w:rsidRPr="5652A47E">
        <w:rPr>
          <w:rFonts w:cs="Open Sans"/>
          <w:lang w:val="en-GB"/>
        </w:rPr>
        <w:t xml:space="preserve"> and their parents.</w:t>
      </w:r>
      <w:r w:rsidRPr="00595B78">
        <w:rPr>
          <w:rFonts w:cs="Open Sans"/>
          <w:bCs/>
          <w:lang w:val="en-GB"/>
        </w:rPr>
        <w:t xml:space="preserve"> It can be both confronting and daunting to re</w:t>
      </w:r>
      <w:r>
        <w:rPr>
          <w:rFonts w:cs="Open Sans"/>
          <w:bCs/>
          <w:lang w:val="en-GB"/>
        </w:rPr>
        <w:t>count</w:t>
      </w:r>
      <w:r w:rsidRPr="00595B78">
        <w:rPr>
          <w:rFonts w:cs="Open Sans"/>
          <w:bCs/>
          <w:lang w:val="en-GB"/>
        </w:rPr>
        <w:t xml:space="preserve"> past experiences and I express my sincere thanks to you for participating. Your experiences and insights have </w:t>
      </w:r>
      <w:r>
        <w:rPr>
          <w:rFonts w:cs="Open Sans"/>
          <w:bCs/>
          <w:lang w:val="en-GB"/>
        </w:rPr>
        <w:t>helped inform</w:t>
      </w:r>
      <w:r w:rsidRPr="00595B78">
        <w:rPr>
          <w:rFonts w:cs="Open Sans"/>
          <w:bCs/>
          <w:lang w:val="en-GB"/>
        </w:rPr>
        <w:t xml:space="preserve"> the findings and recommendations </w:t>
      </w:r>
      <w:r>
        <w:rPr>
          <w:rFonts w:cs="Open Sans"/>
          <w:bCs/>
          <w:lang w:val="en-GB"/>
        </w:rPr>
        <w:t xml:space="preserve">in this </w:t>
      </w:r>
      <w:r>
        <w:rPr>
          <w:rFonts w:cs="Open Sans"/>
          <w:lang w:val="en-GB"/>
        </w:rPr>
        <w:t>R</w:t>
      </w:r>
      <w:r w:rsidRPr="1D0C4D59">
        <w:rPr>
          <w:rFonts w:cs="Open Sans"/>
          <w:lang w:val="en-GB"/>
        </w:rPr>
        <w:t>eport.</w:t>
      </w:r>
    </w:p>
    <w:p w:rsidR="00C637E1" w:rsidP="00C637E1" w:rsidRDefault="00C637E1" w14:paraId="3740D02A" w14:textId="77777777">
      <w:pPr>
        <w:rPr>
          <w:rFonts w:cs="Open Sans"/>
        </w:rPr>
      </w:pPr>
      <w:r w:rsidRPr="5652A47E">
        <w:rPr>
          <w:rFonts w:cs="Open Sans"/>
        </w:rPr>
        <w:t>The Commission also had the benefit of input from key clinicians, including paediatric</w:t>
      </w:r>
      <w:r>
        <w:rPr>
          <w:rFonts w:cs="Open Sans"/>
        </w:rPr>
        <w:t>ian</w:t>
      </w:r>
      <w:r w:rsidRPr="5652A47E">
        <w:rPr>
          <w:rFonts w:cs="Open Sans"/>
        </w:rPr>
        <w:t xml:space="preserve">s, endocrinologists and psychiatrists, as well </w:t>
      </w:r>
      <w:r>
        <w:rPr>
          <w:rFonts w:cs="Open Sans"/>
        </w:rPr>
        <w:t xml:space="preserve">as </w:t>
      </w:r>
      <w:r w:rsidRPr="5652A47E">
        <w:rPr>
          <w:rFonts w:cs="Open Sans"/>
        </w:rPr>
        <w:t xml:space="preserve">from legal, human rights and government agencies. Medical practitioners in particular were very open about the difficult decisions that they need to make, </w:t>
      </w:r>
      <w:r>
        <w:rPr>
          <w:rFonts w:cs="Open Sans"/>
        </w:rPr>
        <w:t>and</w:t>
      </w:r>
      <w:r w:rsidRPr="5652A47E">
        <w:rPr>
          <w:rFonts w:cs="Open Sans"/>
        </w:rPr>
        <w:t xml:space="preserve"> </w:t>
      </w:r>
      <w:r w:rsidRPr="02A376D5">
        <w:rPr>
          <w:rFonts w:cs="Open Sans"/>
        </w:rPr>
        <w:t>consider</w:t>
      </w:r>
      <w:r>
        <w:rPr>
          <w:rFonts w:cs="Open Sans"/>
        </w:rPr>
        <w:t>ed they have always</w:t>
      </w:r>
      <w:r w:rsidRPr="5652A47E">
        <w:rPr>
          <w:rFonts w:cs="Open Sans"/>
        </w:rPr>
        <w:t xml:space="preserve"> acted in the best interests of their </w:t>
      </w:r>
      <w:r>
        <w:rPr>
          <w:rFonts w:cs="Open Sans"/>
        </w:rPr>
        <w:t>patients</w:t>
      </w:r>
      <w:r w:rsidRPr="02A376D5">
        <w:rPr>
          <w:rFonts w:cs="Open Sans"/>
        </w:rPr>
        <w:t>.</w:t>
      </w:r>
      <w:r w:rsidRPr="5652A47E">
        <w:rPr>
          <w:rFonts w:cs="Open Sans"/>
        </w:rPr>
        <w:t xml:space="preserve"> </w:t>
      </w:r>
      <w:r>
        <w:rPr>
          <w:rFonts w:cs="Open Sans"/>
        </w:rPr>
        <w:t>The Commission’s</w:t>
      </w:r>
      <w:r w:rsidRPr="5652A47E">
        <w:rPr>
          <w:rFonts w:cs="Open Sans"/>
        </w:rPr>
        <w:t xml:space="preserve"> recommended actions in this </w:t>
      </w:r>
      <w:r>
        <w:rPr>
          <w:rFonts w:cs="Open Sans"/>
        </w:rPr>
        <w:t>R</w:t>
      </w:r>
      <w:r w:rsidRPr="5652A47E">
        <w:rPr>
          <w:rFonts w:cs="Open Sans"/>
        </w:rPr>
        <w:t>eport will bolster this commitment, by improving the decision</w:t>
      </w:r>
      <w:r>
        <w:rPr>
          <w:rFonts w:cs="Open Sans"/>
        </w:rPr>
        <w:t>-</w:t>
      </w:r>
      <w:r w:rsidRPr="5652A47E">
        <w:rPr>
          <w:rFonts w:cs="Open Sans"/>
        </w:rPr>
        <w:t>making processes for medical practitioners</w:t>
      </w:r>
      <w:r w:rsidRPr="02A376D5">
        <w:rPr>
          <w:rFonts w:cs="Open Sans"/>
        </w:rPr>
        <w:t>, as well as for parents,</w:t>
      </w:r>
      <w:r w:rsidRPr="5652A47E">
        <w:rPr>
          <w:rFonts w:cs="Open Sans"/>
        </w:rPr>
        <w:t xml:space="preserve"> and assist them </w:t>
      </w:r>
      <w:r w:rsidRPr="00183146">
        <w:rPr>
          <w:rFonts w:cs="Open Sans"/>
        </w:rPr>
        <w:t>in navigating these complex circumstances</w:t>
      </w:r>
      <w:r w:rsidRPr="5652A47E">
        <w:rPr>
          <w:rFonts w:cs="Open Sans"/>
        </w:rPr>
        <w:t xml:space="preserve">. </w:t>
      </w:r>
    </w:p>
    <w:p w:rsidR="00C637E1" w:rsidP="00C637E1" w:rsidRDefault="00C637E1" w14:paraId="4C7EB95E" w14:textId="77777777">
      <w:pPr>
        <w:rPr>
          <w:rFonts w:cs="Open Sans"/>
          <w:bCs/>
        </w:rPr>
      </w:pPr>
      <w:r w:rsidRPr="00430E92">
        <w:rPr>
          <w:rFonts w:cs="Open Sans"/>
          <w:bCs/>
        </w:rPr>
        <w:t>The Commission thanks everyone who participated in our consultation process</w:t>
      </w:r>
      <w:r>
        <w:rPr>
          <w:rFonts w:cs="Open Sans"/>
          <w:bCs/>
        </w:rPr>
        <w:t>es</w:t>
      </w:r>
      <w:r w:rsidRPr="00430E92">
        <w:rPr>
          <w:rFonts w:cs="Open Sans"/>
          <w:bCs/>
        </w:rPr>
        <w:t xml:space="preserve">: </w:t>
      </w:r>
      <w:r>
        <w:rPr>
          <w:rFonts w:cs="Open Sans"/>
          <w:bCs/>
        </w:rPr>
        <w:t>people born with variation in sex characteristics</w:t>
      </w:r>
      <w:r w:rsidRPr="00430E92">
        <w:rPr>
          <w:rFonts w:cs="Open Sans"/>
          <w:bCs/>
        </w:rPr>
        <w:t>,</w:t>
      </w:r>
      <w:r>
        <w:rPr>
          <w:rFonts w:cs="Open Sans"/>
          <w:bCs/>
        </w:rPr>
        <w:t xml:space="preserve"> family members, peer-support and advocacy organisations, clinicians,</w:t>
      </w:r>
      <w:r w:rsidRPr="00430E92">
        <w:rPr>
          <w:rFonts w:cs="Open Sans"/>
          <w:bCs/>
        </w:rPr>
        <w:t xml:space="preserve"> </w:t>
      </w:r>
      <w:r>
        <w:rPr>
          <w:rFonts w:cs="Open Sans"/>
          <w:bCs/>
        </w:rPr>
        <w:t xml:space="preserve">legal and human rights entities, </w:t>
      </w:r>
      <w:r w:rsidRPr="00430E92">
        <w:rPr>
          <w:rFonts w:cs="Open Sans"/>
          <w:bCs/>
        </w:rPr>
        <w:t>academia and government. This input has been crucial in identifying problems and solutions</w:t>
      </w:r>
      <w:r>
        <w:rPr>
          <w:rFonts w:cs="Open Sans"/>
          <w:bCs/>
        </w:rPr>
        <w:t>.</w:t>
      </w:r>
    </w:p>
    <w:p w:rsidR="00C637E1" w:rsidP="00C637E1" w:rsidRDefault="00C637E1" w14:paraId="349A2A62" w14:textId="77777777">
      <w:pPr>
        <w:rPr>
          <w:rFonts w:cs="Open Sans"/>
        </w:rPr>
      </w:pPr>
      <w:r w:rsidRPr="5652A47E">
        <w:rPr>
          <w:rFonts w:cs="Open Sans"/>
        </w:rPr>
        <w:t xml:space="preserve">Ultimately, this report is about putting into place better protections for children who do not have </w:t>
      </w:r>
      <w:r>
        <w:rPr>
          <w:rFonts w:cs="Open Sans"/>
        </w:rPr>
        <w:t xml:space="preserve">the legal </w:t>
      </w:r>
      <w:r w:rsidRPr="5652A47E">
        <w:rPr>
          <w:rFonts w:cs="Open Sans"/>
        </w:rPr>
        <w:t xml:space="preserve">capacity to make life altering decisions for themselves. </w:t>
      </w:r>
    </w:p>
    <w:p w:rsidR="00C637E1" w:rsidP="00C637E1" w:rsidRDefault="00C637E1" w14:paraId="1958C646" w14:textId="77777777">
      <w:pPr>
        <w:rPr>
          <w:rFonts w:cs="Open Sans"/>
        </w:rPr>
      </w:pPr>
      <w:r w:rsidRPr="5652A47E">
        <w:rPr>
          <w:rFonts w:cs="Open Sans"/>
        </w:rPr>
        <w:lastRenderedPageBreak/>
        <w:t xml:space="preserve">Many of the most controversial and contested interventions </w:t>
      </w:r>
      <w:r>
        <w:rPr>
          <w:rFonts w:cs="Open Sans"/>
        </w:rPr>
        <w:t xml:space="preserve">have </w:t>
      </w:r>
      <w:r w:rsidRPr="5652A47E">
        <w:rPr>
          <w:rFonts w:cs="Open Sans"/>
        </w:rPr>
        <w:t>occurred when individual</w:t>
      </w:r>
      <w:r>
        <w:rPr>
          <w:rFonts w:cs="Open Sans"/>
        </w:rPr>
        <w:t>s</w:t>
      </w:r>
      <w:r w:rsidRPr="5652A47E">
        <w:rPr>
          <w:rFonts w:cs="Open Sans"/>
        </w:rPr>
        <w:t xml:space="preserve"> were infants</w:t>
      </w:r>
      <w:r>
        <w:rPr>
          <w:rFonts w:cs="Open Sans"/>
        </w:rPr>
        <w:t>,</w:t>
      </w:r>
      <w:r w:rsidRPr="5652A47E">
        <w:rPr>
          <w:rFonts w:cs="Open Sans"/>
        </w:rPr>
        <w:t xml:space="preserve"> or </w:t>
      </w:r>
      <w:r>
        <w:rPr>
          <w:rFonts w:cs="Open Sans"/>
        </w:rPr>
        <w:t xml:space="preserve">as </w:t>
      </w:r>
      <w:r w:rsidRPr="5652A47E">
        <w:rPr>
          <w:rFonts w:cs="Open Sans"/>
        </w:rPr>
        <w:t xml:space="preserve">children too young to be able to provide their own consent. Decisions about these procedures </w:t>
      </w:r>
      <w:r>
        <w:rPr>
          <w:rFonts w:cs="Open Sans"/>
        </w:rPr>
        <w:t>have often been</w:t>
      </w:r>
      <w:r w:rsidRPr="5652A47E">
        <w:rPr>
          <w:rFonts w:cs="Open Sans"/>
        </w:rPr>
        <w:t xml:space="preserve"> made based on prevailing social attitudes and the available research base – both of which have changed in important ways over recent years. </w:t>
      </w:r>
    </w:p>
    <w:p w:rsidR="00C637E1" w:rsidP="00C637E1" w:rsidRDefault="00C637E1" w14:paraId="7DBB28A5" w14:textId="77777777">
      <w:pPr>
        <w:rPr>
          <w:rFonts w:cs="Open Sans"/>
        </w:rPr>
      </w:pPr>
      <w:r w:rsidRPr="5652A47E">
        <w:rPr>
          <w:rFonts w:cs="Open Sans"/>
        </w:rPr>
        <w:t xml:space="preserve">In this </w:t>
      </w:r>
      <w:r>
        <w:rPr>
          <w:rFonts w:cs="Open Sans"/>
        </w:rPr>
        <w:t>R</w:t>
      </w:r>
      <w:r w:rsidRPr="5652A47E">
        <w:rPr>
          <w:rFonts w:cs="Open Sans"/>
        </w:rPr>
        <w:t xml:space="preserve">eport, the Commission proposes better oversight and approval mechanisms, requirements for ensuring informed decision making for parents and children, </w:t>
      </w:r>
      <w:r>
        <w:rPr>
          <w:rFonts w:cs="Open Sans"/>
        </w:rPr>
        <w:t xml:space="preserve">a limiting of the circumstances in which an intervention may occur without the consent of the person affected, </w:t>
      </w:r>
      <w:r w:rsidRPr="5652A47E">
        <w:rPr>
          <w:rFonts w:cs="Open Sans"/>
        </w:rPr>
        <w:t>and stronger consequences where these requirements are not met.</w:t>
      </w:r>
    </w:p>
    <w:p w:rsidR="00C637E1" w:rsidP="00C637E1" w:rsidRDefault="00C637E1" w14:paraId="10132B25" w14:textId="77777777">
      <w:pPr>
        <w:rPr>
          <w:rFonts w:cs="Open Sans"/>
          <w:bCs/>
        </w:rPr>
      </w:pPr>
      <w:r>
        <w:rPr>
          <w:rFonts w:cs="Open Sans"/>
          <w:bCs/>
        </w:rPr>
        <w:t>Australia’s obligations under international human rights treaties have been central to the Commission’s approach in how to better protect individuals’ rights. Informed by these commitments, the Commission’s proposals for reform are underpinned by a human rights framework expressed in five fundamental human rights principles</w:t>
      </w:r>
      <w:r w:rsidRPr="5652A47E">
        <w:rPr>
          <w:rFonts w:cs="Open Sans"/>
        </w:rPr>
        <w:t>.</w:t>
      </w:r>
    </w:p>
    <w:p w:rsidR="00C637E1" w:rsidP="00C637E1" w:rsidRDefault="00C637E1" w14:paraId="4A6ADED1" w14:textId="77777777">
      <w:pPr>
        <w:rPr>
          <w:rFonts w:cs="Open Sans"/>
          <w:bCs/>
        </w:rPr>
      </w:pPr>
      <w:r>
        <w:rPr>
          <w:rFonts w:cs="Open Sans"/>
          <w:bCs/>
        </w:rPr>
        <w:t xml:space="preserve">The recommendations in this Report propose a substantial change from the current framework. While this will no doubt have its challenges, the Commission </w:t>
      </w:r>
      <w:r>
        <w:rPr>
          <w:rFonts w:cs="Open Sans"/>
        </w:rPr>
        <w:t>considers</w:t>
      </w:r>
      <w:r>
        <w:rPr>
          <w:rFonts w:cs="Open Sans"/>
          <w:bCs/>
        </w:rPr>
        <w:t xml:space="preserve"> that adopting this approach will best guarantee the human rights to health and bodily integrity of people born with variations in sex characteristics.    </w:t>
      </w:r>
    </w:p>
    <w:p w:rsidR="00C637E1" w:rsidP="00C637E1" w:rsidRDefault="00C637E1" w14:paraId="00F2D07F" w14:textId="69E3B03B">
      <w:pPr>
        <w:rPr>
          <w:rFonts w:cs="Open Sans"/>
        </w:rPr>
      </w:pPr>
      <w:r w:rsidRPr="5652A47E">
        <w:rPr>
          <w:rFonts w:cs="Open Sans"/>
        </w:rPr>
        <w:t>This project was led by the former Human Rights Commissioner, Edward Santow, and I thank him and his team for their efforts in conducting the project on the Commission’s behalf.</w:t>
      </w:r>
      <w:r w:rsidR="00BC27B9">
        <w:rPr>
          <w:rFonts w:cs="Open Sans"/>
        </w:rPr>
        <w:t xml:space="preserve"> I also appreciate the advice and input from Sex Discrimination Commissioner </w:t>
      </w:r>
      <w:r w:rsidR="00735803">
        <w:rPr>
          <w:rFonts w:cs="Open Sans"/>
        </w:rPr>
        <w:t xml:space="preserve">Kate </w:t>
      </w:r>
      <w:r w:rsidR="00BC27B9">
        <w:rPr>
          <w:rFonts w:cs="Open Sans"/>
        </w:rPr>
        <w:t xml:space="preserve">Jenkins and National Children’s Commissioner </w:t>
      </w:r>
      <w:r w:rsidR="00735803">
        <w:rPr>
          <w:rFonts w:cs="Open Sans"/>
        </w:rPr>
        <w:t xml:space="preserve">Anne </w:t>
      </w:r>
      <w:r w:rsidR="00BC27B9">
        <w:rPr>
          <w:rFonts w:cs="Open Sans"/>
        </w:rPr>
        <w:t>Hollonds and her team.</w:t>
      </w:r>
    </w:p>
    <w:p w:rsidR="00C637E1" w:rsidP="00C637E1" w:rsidRDefault="00C742B7" w14:paraId="7E354012" w14:textId="0BEC24EC">
      <w:pPr>
        <w:rPr>
          <w:rFonts w:cs="Open Sans"/>
        </w:rPr>
      </w:pPr>
      <w:r>
        <w:rPr>
          <w:noProof/>
        </w:rPr>
        <w:drawing>
          <wp:inline distT="0" distB="0" distL="0" distR="0" wp14:anchorId="7D5121E9" wp14:editId="0E883EE9">
            <wp:extent cx="3191581" cy="790575"/>
            <wp:effectExtent l="0" t="0" r="8890" b="0"/>
            <wp:docPr id="2" name="Picture 2" descr="A picture containing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hanger&#10;&#10;Description automatically generated"/>
                    <pic:cNvPicPr/>
                  </pic:nvPicPr>
                  <pic:blipFill>
                    <a:blip r:embed="rId18"/>
                    <a:stretch>
                      <a:fillRect/>
                    </a:stretch>
                  </pic:blipFill>
                  <pic:spPr>
                    <a:xfrm>
                      <a:off x="0" y="0"/>
                      <a:ext cx="3227325" cy="799429"/>
                    </a:xfrm>
                    <a:prstGeom prst="rect">
                      <a:avLst/>
                    </a:prstGeom>
                  </pic:spPr>
                </pic:pic>
              </a:graphicData>
            </a:graphic>
          </wp:inline>
        </w:drawing>
      </w:r>
    </w:p>
    <w:p w:rsidR="00C637E1" w:rsidP="00C637E1" w:rsidRDefault="00C637E1" w14:paraId="5BE7EB9F" w14:textId="77777777">
      <w:pPr>
        <w:rPr>
          <w:rFonts w:cs="Open Sans"/>
        </w:rPr>
      </w:pPr>
      <w:r>
        <w:rPr>
          <w:rFonts w:cs="Open Sans"/>
        </w:rPr>
        <w:t>Emeritus Professor Rosalind Croucher AM</w:t>
      </w:r>
    </w:p>
    <w:p w:rsidR="00C637E1" w:rsidP="00C637E1" w:rsidRDefault="00C637E1" w14:paraId="6B472C85" w14:textId="77777777">
      <w:pPr>
        <w:rPr>
          <w:rFonts w:cs="Open Sans"/>
        </w:rPr>
      </w:pPr>
      <w:r>
        <w:rPr>
          <w:rFonts w:cs="Open Sans"/>
        </w:rPr>
        <w:t xml:space="preserve">President, Australian Human Rights Commission </w:t>
      </w:r>
    </w:p>
    <w:p w:rsidRPr="0006352E" w:rsidR="00445225" w:rsidRDefault="00445225" w14:paraId="633531A3" w14:textId="0E390CC2">
      <w:pPr>
        <w:spacing w:before="0" w:after="0"/>
      </w:pPr>
      <w:r>
        <w:br w:type="page"/>
      </w:r>
    </w:p>
    <w:p w:rsidR="00445225" w:rsidP="007340EA" w:rsidRDefault="0007502F" w14:paraId="4669EE5F" w14:textId="0C97F1DA">
      <w:pPr>
        <w:pStyle w:val="AHRCHeading1"/>
        <w:numPr>
          <w:ilvl w:val="0"/>
          <w:numId w:val="0"/>
        </w:numPr>
      </w:pPr>
      <w:bookmarkStart w:name="_Toc85541367" w:id="2"/>
      <w:r>
        <w:lastRenderedPageBreak/>
        <w:t xml:space="preserve">Terms of </w:t>
      </w:r>
      <w:r w:rsidR="00DF44DC">
        <w:t>r</w:t>
      </w:r>
      <w:r>
        <w:t>eference</w:t>
      </w:r>
      <w:bookmarkEnd w:id="2"/>
    </w:p>
    <w:p w:rsidRPr="00527783" w:rsidR="00652A4B" w:rsidP="00652A4B" w:rsidRDefault="00652A4B" w14:paraId="2C857CA4" w14:textId="77777777">
      <w:pPr>
        <w:pStyle w:val="SubmissionNormal"/>
        <w:numPr>
          <w:ilvl w:val="0"/>
          <w:numId w:val="0"/>
        </w:numPr>
        <w:rPr>
          <w:rFonts w:cs="Open Sans"/>
          <w:b/>
          <w:bCs/>
        </w:rPr>
      </w:pPr>
      <w:bookmarkStart w:name="_Toc507585881" w:id="3"/>
      <w:r w:rsidRPr="00527783">
        <w:rPr>
          <w:rFonts w:cs="Open Sans"/>
          <w:b/>
          <w:bCs/>
        </w:rPr>
        <w:t>1</w:t>
      </w:r>
      <w:r w:rsidRPr="00527783">
        <w:rPr>
          <w:rFonts w:cs="Open Sans"/>
          <w:b/>
          <w:bCs/>
        </w:rPr>
        <w:tab/>
      </w:r>
      <w:r w:rsidRPr="00527783">
        <w:rPr>
          <w:rFonts w:cs="Open Sans"/>
          <w:b/>
          <w:bCs/>
        </w:rPr>
        <w:t>Project subject matter</w:t>
      </w:r>
      <w:bookmarkEnd w:id="3"/>
    </w:p>
    <w:p w:rsidRPr="00527783" w:rsidR="00652A4B" w:rsidP="00652A4B" w:rsidRDefault="00652A4B" w14:paraId="180B5860" w14:textId="77777777">
      <w:pPr>
        <w:pStyle w:val="SubmissionNormal"/>
        <w:numPr>
          <w:ilvl w:val="0"/>
          <w:numId w:val="0"/>
        </w:numPr>
        <w:ind w:left="720" w:hanging="720"/>
        <w:rPr>
          <w:rFonts w:cs="Open Sans"/>
        </w:rPr>
      </w:pPr>
      <w:r w:rsidRPr="00527783">
        <w:rPr>
          <w:rFonts w:cs="Open Sans"/>
        </w:rPr>
        <w:t>1.1</w:t>
      </w:r>
      <w:r w:rsidRPr="00527783">
        <w:rPr>
          <w:rFonts w:cs="Open Sans"/>
        </w:rPr>
        <w:tab/>
      </w:r>
      <w:r w:rsidRPr="00527783">
        <w:rPr>
          <w:rFonts w:cs="Open Sans"/>
        </w:rPr>
        <w:t>The Australian Human Rights Commission (the Commission) will inquire into, and report on, how best to protect the human rights of people born with variations in sex characteristics in the context of medical interventions, including surgical and non-surgical interventions.</w:t>
      </w:r>
    </w:p>
    <w:p w:rsidRPr="00527783" w:rsidR="00652A4B" w:rsidP="00652A4B" w:rsidRDefault="00652A4B" w14:paraId="064A2894" w14:textId="77777777">
      <w:pPr>
        <w:pStyle w:val="SubmissionNormal"/>
        <w:numPr>
          <w:ilvl w:val="0"/>
          <w:numId w:val="0"/>
        </w:numPr>
        <w:ind w:left="360" w:hanging="360"/>
        <w:rPr>
          <w:rFonts w:cs="Open Sans"/>
        </w:rPr>
      </w:pPr>
      <w:r w:rsidRPr="00527783">
        <w:rPr>
          <w:rFonts w:cs="Open Sans"/>
        </w:rPr>
        <w:t>1.2</w:t>
      </w:r>
      <w:r w:rsidRPr="00527783">
        <w:rPr>
          <w:rFonts w:cs="Open Sans"/>
        </w:rPr>
        <w:tab/>
      </w:r>
      <w:r w:rsidRPr="00527783">
        <w:rPr>
          <w:rFonts w:cs="Open Sans"/>
        </w:rPr>
        <w:tab/>
      </w:r>
      <w:r w:rsidRPr="00527783">
        <w:rPr>
          <w:rFonts w:cs="Open Sans"/>
        </w:rPr>
        <w:t>As part of this project, the Commission should:</w:t>
      </w:r>
    </w:p>
    <w:p w:rsidRPr="00527783" w:rsidR="00652A4B" w:rsidP="00652A4B" w:rsidRDefault="00652A4B" w14:paraId="6603771A" w14:textId="77777777">
      <w:pPr>
        <w:pStyle w:val="SubmissionNormal"/>
        <w:numPr>
          <w:ilvl w:val="0"/>
          <w:numId w:val="90"/>
        </w:numPr>
        <w:spacing w:before="0" w:line="259" w:lineRule="auto"/>
        <w:rPr>
          <w:rFonts w:cs="Open Sans"/>
        </w:rPr>
      </w:pPr>
      <w:r w:rsidRPr="00527783">
        <w:rPr>
          <w:rFonts w:cs="Open Sans"/>
        </w:rPr>
        <w:t>document and analyse existing approaches to medical interventions involving people born with variations in sex characteristics in Australia and overseas</w:t>
      </w:r>
    </w:p>
    <w:p w:rsidRPr="00527783" w:rsidR="00652A4B" w:rsidP="00652A4B" w:rsidRDefault="00652A4B" w14:paraId="2DFD0945" w14:textId="77777777">
      <w:pPr>
        <w:pStyle w:val="SubmissionNormal"/>
        <w:numPr>
          <w:ilvl w:val="0"/>
          <w:numId w:val="90"/>
        </w:numPr>
        <w:spacing w:before="0" w:line="259" w:lineRule="auto"/>
        <w:rPr>
          <w:rFonts w:cs="Open Sans"/>
        </w:rPr>
      </w:pPr>
      <w:r w:rsidRPr="00527783">
        <w:rPr>
          <w:rFonts w:cs="Open Sans"/>
        </w:rPr>
        <w:t>identify changes that should be made to these existing approaches, to ensure that decisions and processes regarding medical interventions involving people born with variations in sex characteristics respect and protect the human rights of those affected.</w:t>
      </w:r>
    </w:p>
    <w:p w:rsidRPr="00527783" w:rsidR="00652A4B" w:rsidP="00652A4B" w:rsidRDefault="00652A4B" w14:paraId="5F597A53" w14:textId="77777777">
      <w:pPr>
        <w:pStyle w:val="SubmissionNormal"/>
        <w:numPr>
          <w:ilvl w:val="0"/>
          <w:numId w:val="0"/>
        </w:numPr>
        <w:ind w:left="360" w:hanging="360"/>
        <w:rPr>
          <w:rFonts w:cs="Open Sans"/>
          <w:b/>
          <w:bCs/>
        </w:rPr>
      </w:pPr>
      <w:r w:rsidRPr="00527783">
        <w:rPr>
          <w:rFonts w:cs="Open Sans"/>
          <w:b/>
          <w:bCs/>
        </w:rPr>
        <w:t>2</w:t>
      </w:r>
      <w:r w:rsidRPr="00527783">
        <w:rPr>
          <w:rFonts w:cs="Open Sans"/>
          <w:b/>
          <w:bCs/>
        </w:rPr>
        <w:tab/>
      </w:r>
      <w:r w:rsidRPr="00527783">
        <w:rPr>
          <w:rFonts w:cs="Open Sans"/>
          <w:b/>
          <w:bCs/>
        </w:rPr>
        <w:tab/>
      </w:r>
      <w:r w:rsidRPr="00527783">
        <w:rPr>
          <w:rFonts w:cs="Open Sans"/>
          <w:b/>
          <w:bCs/>
        </w:rPr>
        <w:t>Project process</w:t>
      </w:r>
    </w:p>
    <w:p w:rsidRPr="00527783" w:rsidR="00652A4B" w:rsidP="00652A4B" w:rsidRDefault="00652A4B" w14:paraId="06B6AF54" w14:textId="77777777">
      <w:pPr>
        <w:pStyle w:val="SubmissionNormal"/>
        <w:numPr>
          <w:ilvl w:val="0"/>
          <w:numId w:val="0"/>
        </w:numPr>
        <w:ind w:left="360" w:hanging="360"/>
        <w:rPr>
          <w:rFonts w:cs="Open Sans"/>
        </w:rPr>
      </w:pPr>
      <w:r w:rsidRPr="00527783">
        <w:rPr>
          <w:rFonts w:cs="Open Sans"/>
        </w:rPr>
        <w:t>2.1</w:t>
      </w:r>
      <w:r w:rsidRPr="00527783">
        <w:rPr>
          <w:rFonts w:cs="Open Sans"/>
        </w:rPr>
        <w:tab/>
      </w:r>
      <w:r w:rsidRPr="00527783">
        <w:rPr>
          <w:rFonts w:cs="Open Sans"/>
        </w:rPr>
        <w:tab/>
      </w:r>
      <w:r w:rsidRPr="00527783">
        <w:rPr>
          <w:rFonts w:cs="Open Sans"/>
        </w:rPr>
        <w:t>The Commission should undertake this project by:</w:t>
      </w:r>
    </w:p>
    <w:p w:rsidRPr="00527783" w:rsidR="00652A4B" w:rsidP="00652A4B" w:rsidRDefault="00652A4B" w14:paraId="2970CF95" w14:textId="77777777">
      <w:pPr>
        <w:pStyle w:val="SubmissionNormal"/>
        <w:numPr>
          <w:ilvl w:val="0"/>
          <w:numId w:val="87"/>
        </w:numPr>
        <w:spacing w:before="0" w:line="259" w:lineRule="auto"/>
        <w:rPr>
          <w:rFonts w:cs="Open Sans"/>
        </w:rPr>
      </w:pPr>
      <w:r w:rsidRPr="00527783">
        <w:rPr>
          <w:rFonts w:cs="Open Sans"/>
        </w:rPr>
        <w:t>adopting an open, consultative approach – especially by consulting with people and organisations with lived experience and expertise of the practical issues involved, including people born with variations in sex characteristics, their parents, carers and families, medical practitioners and state, territory and federal governments in Australia</w:t>
      </w:r>
    </w:p>
    <w:p w:rsidRPr="00527783" w:rsidR="00652A4B" w:rsidP="00652A4B" w:rsidRDefault="00652A4B" w14:paraId="67D84518" w14:textId="77777777">
      <w:pPr>
        <w:pStyle w:val="SubmissionNormal"/>
        <w:numPr>
          <w:ilvl w:val="0"/>
          <w:numId w:val="87"/>
        </w:numPr>
        <w:spacing w:before="0" w:line="259" w:lineRule="auto"/>
        <w:rPr>
          <w:rFonts w:cs="Open Sans"/>
        </w:rPr>
      </w:pPr>
      <w:r w:rsidRPr="00527783">
        <w:rPr>
          <w:rFonts w:cs="Open Sans"/>
        </w:rPr>
        <w:t>referring to, and acting in accordance with, international human rights principles and agreements</w:t>
      </w:r>
    </w:p>
    <w:p w:rsidRPr="00527783" w:rsidR="00652A4B" w:rsidP="00652A4B" w:rsidRDefault="00652A4B" w14:paraId="6EDF8BDF" w14:textId="77777777">
      <w:pPr>
        <w:pStyle w:val="SubmissionNormal"/>
        <w:numPr>
          <w:ilvl w:val="0"/>
          <w:numId w:val="87"/>
        </w:numPr>
        <w:spacing w:before="0" w:line="259" w:lineRule="auto"/>
        <w:rPr>
          <w:rFonts w:cs="Open Sans"/>
        </w:rPr>
      </w:pPr>
      <w:r w:rsidRPr="00527783">
        <w:rPr>
          <w:rFonts w:cs="Open Sans"/>
        </w:rPr>
        <w:t>complying with all applicable ethical requirements</w:t>
      </w:r>
    </w:p>
    <w:p w:rsidRPr="00527783" w:rsidR="00652A4B" w:rsidP="00652A4B" w:rsidRDefault="00652A4B" w14:paraId="1105E845" w14:textId="77777777">
      <w:pPr>
        <w:pStyle w:val="SubmissionNormal"/>
        <w:numPr>
          <w:ilvl w:val="0"/>
          <w:numId w:val="87"/>
        </w:numPr>
        <w:spacing w:before="0" w:line="259" w:lineRule="auto"/>
        <w:rPr>
          <w:rFonts w:cs="Open Sans"/>
        </w:rPr>
      </w:pPr>
      <w:r w:rsidRPr="00527783">
        <w:rPr>
          <w:rFonts w:cs="Open Sans"/>
        </w:rPr>
        <w:lastRenderedPageBreak/>
        <w:t>adopting a practical, evidence-based approach to any advice or recommendations proposed</w:t>
      </w:r>
    </w:p>
    <w:p w:rsidRPr="00527783" w:rsidR="00652A4B" w:rsidP="00652A4B" w:rsidRDefault="00652A4B" w14:paraId="2AAC5517" w14:textId="77777777">
      <w:pPr>
        <w:pStyle w:val="SubmissionNormal"/>
        <w:numPr>
          <w:ilvl w:val="0"/>
          <w:numId w:val="87"/>
        </w:numPr>
        <w:spacing w:before="0" w:line="259" w:lineRule="auto"/>
        <w:rPr>
          <w:rFonts w:cs="Open Sans"/>
        </w:rPr>
      </w:pPr>
      <w:r w:rsidRPr="00527783">
        <w:rPr>
          <w:rFonts w:cs="Open Sans"/>
        </w:rPr>
        <w:t xml:space="preserve">considering relevant research and analysis, commentary, policies and law in Australia and overseas, including the </w:t>
      </w:r>
      <w:r w:rsidRPr="00527783">
        <w:rPr>
          <w:rFonts w:cs="Open Sans"/>
          <w:lang w:val="en-GB"/>
        </w:rPr>
        <w:t>2013 report of the Senate Standing Committee on Community Affairs on involuntary or coerced sterilisation of intersex people and 2015 Government response; the Victorian Decision-Making Principles for the Care of Infants, Children and Adolescents with Intersex Conditions; the 2017 Darlington Statement by Australian and New Zealand intersex organisations and independent advocates; and relevant decisions of the Family Court of Australia.</w:t>
      </w:r>
    </w:p>
    <w:p w:rsidRPr="00527783" w:rsidR="00652A4B" w:rsidP="00652A4B" w:rsidRDefault="00652A4B" w14:paraId="30492BC6" w14:textId="77777777">
      <w:pPr>
        <w:pStyle w:val="SubmissionNormal"/>
        <w:numPr>
          <w:ilvl w:val="0"/>
          <w:numId w:val="87"/>
        </w:numPr>
        <w:spacing w:before="0" w:line="259" w:lineRule="auto"/>
        <w:rPr>
          <w:rFonts w:cs="Open Sans"/>
        </w:rPr>
      </w:pPr>
      <w:r w:rsidRPr="00527783">
        <w:rPr>
          <w:rFonts w:cs="Open Sans"/>
        </w:rPr>
        <w:t>publishing a consultation paper and soliciting the views of stakeholders through submissions and in meetings</w:t>
      </w:r>
    </w:p>
    <w:p w:rsidRPr="00527783" w:rsidR="00652A4B" w:rsidP="00652A4B" w:rsidRDefault="00652A4B" w14:paraId="02210B4C" w14:textId="77777777">
      <w:pPr>
        <w:pStyle w:val="SubmissionNormal"/>
        <w:numPr>
          <w:ilvl w:val="0"/>
          <w:numId w:val="87"/>
        </w:numPr>
        <w:spacing w:before="0" w:line="259" w:lineRule="auto"/>
        <w:rPr>
          <w:rFonts w:cs="Open Sans"/>
        </w:rPr>
      </w:pPr>
      <w:r w:rsidRPr="00527783">
        <w:rPr>
          <w:rFonts w:cs="Open Sans"/>
          <w:lang w:val="en-GB"/>
        </w:rPr>
        <w:t>publishing a report of its findings and recommendations.</w:t>
      </w:r>
      <w:r w:rsidRPr="00527783">
        <w:rPr>
          <w:rFonts w:cs="Open Sans"/>
        </w:rPr>
        <w:t xml:space="preserve"> </w:t>
      </w:r>
    </w:p>
    <w:p w:rsidRPr="00527783" w:rsidR="00652A4B" w:rsidP="00652A4B" w:rsidRDefault="00652A4B" w14:paraId="48BB1735" w14:textId="77777777">
      <w:pPr>
        <w:pStyle w:val="SubmissionNormal"/>
        <w:keepNext/>
        <w:numPr>
          <w:ilvl w:val="0"/>
          <w:numId w:val="0"/>
        </w:numPr>
        <w:ind w:left="357" w:hanging="357"/>
        <w:rPr>
          <w:rFonts w:cs="Open Sans"/>
          <w:b/>
          <w:bCs/>
        </w:rPr>
      </w:pPr>
      <w:r w:rsidRPr="00527783">
        <w:rPr>
          <w:rFonts w:cs="Open Sans"/>
          <w:b/>
          <w:bCs/>
        </w:rPr>
        <w:t>3</w:t>
      </w:r>
      <w:r w:rsidRPr="00527783">
        <w:rPr>
          <w:rFonts w:cs="Open Sans"/>
          <w:b/>
          <w:bCs/>
        </w:rPr>
        <w:tab/>
      </w:r>
      <w:r w:rsidRPr="00527783">
        <w:rPr>
          <w:rFonts w:cs="Open Sans"/>
          <w:b/>
          <w:bCs/>
        </w:rPr>
        <w:tab/>
      </w:r>
      <w:r w:rsidRPr="00527783">
        <w:rPr>
          <w:rFonts w:cs="Open Sans"/>
          <w:b/>
          <w:bCs/>
        </w:rPr>
        <w:t>Expert Reference Group</w:t>
      </w:r>
    </w:p>
    <w:p w:rsidRPr="00527783" w:rsidR="00652A4B" w:rsidP="00652A4B" w:rsidRDefault="00652A4B" w14:paraId="4C7639BA" w14:textId="77777777">
      <w:pPr>
        <w:pStyle w:val="SubmissionNormal"/>
        <w:numPr>
          <w:ilvl w:val="0"/>
          <w:numId w:val="0"/>
        </w:numPr>
        <w:ind w:left="720" w:hanging="720"/>
        <w:rPr>
          <w:rFonts w:cs="Open Sans"/>
        </w:rPr>
      </w:pPr>
      <w:r w:rsidRPr="00527783">
        <w:rPr>
          <w:rFonts w:cs="Open Sans"/>
        </w:rPr>
        <w:t>3.1</w:t>
      </w:r>
      <w:r w:rsidRPr="00527783">
        <w:rPr>
          <w:rFonts w:cs="Open Sans"/>
        </w:rPr>
        <w:tab/>
      </w:r>
      <w:r w:rsidRPr="00527783">
        <w:rPr>
          <w:rFonts w:cs="Open Sans"/>
        </w:rPr>
        <w:t>The Commission will convene an Expert Reference Group to advise the Commission on matters relevant to this project. The Expert Reference Group will be expected to:</w:t>
      </w:r>
    </w:p>
    <w:p w:rsidRPr="00527783" w:rsidR="00652A4B" w:rsidP="00652A4B" w:rsidRDefault="00652A4B" w14:paraId="6E916D82" w14:textId="77777777">
      <w:pPr>
        <w:pStyle w:val="SubmissionNormal"/>
        <w:numPr>
          <w:ilvl w:val="0"/>
          <w:numId w:val="88"/>
        </w:numPr>
        <w:spacing w:before="0" w:line="259" w:lineRule="auto"/>
        <w:rPr>
          <w:rFonts w:cs="Open Sans"/>
        </w:rPr>
      </w:pPr>
      <w:r w:rsidRPr="00527783">
        <w:rPr>
          <w:rFonts w:cs="Open Sans"/>
        </w:rPr>
        <w:t>make their best endeavours to participate in three formal meetings – either in person or by teleconference</w:t>
      </w:r>
    </w:p>
    <w:p w:rsidRPr="00527783" w:rsidR="00652A4B" w:rsidP="00652A4B" w:rsidRDefault="00652A4B" w14:paraId="5C23055E" w14:textId="77777777">
      <w:pPr>
        <w:pStyle w:val="SubmissionNormal"/>
        <w:numPr>
          <w:ilvl w:val="0"/>
          <w:numId w:val="88"/>
        </w:numPr>
        <w:spacing w:before="0" w:line="259" w:lineRule="auto"/>
        <w:rPr>
          <w:rFonts w:cs="Open Sans"/>
        </w:rPr>
      </w:pPr>
      <w:r w:rsidRPr="00527783">
        <w:rPr>
          <w:rFonts w:cs="Open Sans"/>
        </w:rPr>
        <w:t>provide input to the Commission on draft documents produced in the project</w:t>
      </w:r>
    </w:p>
    <w:p w:rsidRPr="00527783" w:rsidR="00652A4B" w:rsidP="00652A4B" w:rsidRDefault="00652A4B" w14:paraId="4691CBC7" w14:textId="77777777">
      <w:pPr>
        <w:pStyle w:val="SubmissionNormal"/>
        <w:numPr>
          <w:ilvl w:val="0"/>
          <w:numId w:val="88"/>
        </w:numPr>
        <w:spacing w:before="0" w:line="259" w:lineRule="auto"/>
        <w:rPr>
          <w:rFonts w:cs="Open Sans"/>
        </w:rPr>
      </w:pPr>
      <w:r w:rsidRPr="00527783">
        <w:rPr>
          <w:rFonts w:cs="Open Sans"/>
        </w:rPr>
        <w:t>advise the Commission as appropriate on the conduct of the project</w:t>
      </w:r>
    </w:p>
    <w:p w:rsidRPr="00527783" w:rsidR="00652A4B" w:rsidP="00652A4B" w:rsidRDefault="00652A4B" w14:paraId="624368F5" w14:textId="77777777">
      <w:pPr>
        <w:pStyle w:val="SubmissionNormal"/>
        <w:numPr>
          <w:ilvl w:val="0"/>
          <w:numId w:val="88"/>
        </w:numPr>
        <w:spacing w:before="0" w:line="259" w:lineRule="auto"/>
        <w:rPr>
          <w:rFonts w:cs="Open Sans"/>
        </w:rPr>
      </w:pPr>
      <w:r w:rsidRPr="00527783">
        <w:rPr>
          <w:rFonts w:cs="Open Sans"/>
        </w:rPr>
        <w:t>maintain strict confidentiality in respect of the meetings and deliberations of the Expert Reference Group</w:t>
      </w:r>
    </w:p>
    <w:p w:rsidRPr="00527783" w:rsidR="00652A4B" w:rsidP="00652A4B" w:rsidRDefault="00652A4B" w14:paraId="4F1E6CC6" w14:textId="77777777">
      <w:pPr>
        <w:pStyle w:val="SubmissionNormal"/>
        <w:numPr>
          <w:ilvl w:val="0"/>
          <w:numId w:val="88"/>
        </w:numPr>
        <w:spacing w:before="0" w:line="259" w:lineRule="auto"/>
        <w:rPr>
          <w:rFonts w:cs="Open Sans"/>
        </w:rPr>
      </w:pPr>
      <w:r w:rsidRPr="00527783">
        <w:rPr>
          <w:rFonts w:cs="Open Sans"/>
        </w:rPr>
        <w:t xml:space="preserve">otherwise act in accordance with these Terms of Reference. </w:t>
      </w:r>
    </w:p>
    <w:p w:rsidRPr="00527783" w:rsidR="00652A4B" w:rsidP="00652A4B" w:rsidRDefault="00652A4B" w14:paraId="5D3FC5BD" w14:textId="77777777">
      <w:pPr>
        <w:pStyle w:val="SubmissionNormal"/>
        <w:numPr>
          <w:ilvl w:val="0"/>
          <w:numId w:val="0"/>
        </w:numPr>
        <w:ind w:left="360" w:hanging="360"/>
        <w:rPr>
          <w:rFonts w:cs="Open Sans"/>
          <w:b/>
          <w:bCs/>
        </w:rPr>
      </w:pPr>
      <w:r w:rsidRPr="00527783">
        <w:rPr>
          <w:rFonts w:cs="Open Sans"/>
          <w:b/>
          <w:bCs/>
        </w:rPr>
        <w:t>4</w:t>
      </w:r>
      <w:r w:rsidRPr="00527783">
        <w:rPr>
          <w:rFonts w:cs="Open Sans"/>
          <w:b/>
          <w:bCs/>
        </w:rPr>
        <w:tab/>
      </w:r>
      <w:r w:rsidRPr="00527783">
        <w:rPr>
          <w:rFonts w:cs="Open Sans"/>
          <w:b/>
          <w:bCs/>
        </w:rPr>
        <w:tab/>
      </w:r>
      <w:r w:rsidRPr="00527783">
        <w:rPr>
          <w:rFonts w:cs="Open Sans"/>
          <w:b/>
          <w:bCs/>
        </w:rPr>
        <w:t>Importance of privacy, confidentiality and autonomy</w:t>
      </w:r>
    </w:p>
    <w:p w:rsidRPr="00527783" w:rsidR="00652A4B" w:rsidP="00652A4B" w:rsidRDefault="00652A4B" w14:paraId="7291CD62" w14:textId="77777777">
      <w:pPr>
        <w:pStyle w:val="SubmissionNormal"/>
        <w:numPr>
          <w:ilvl w:val="0"/>
          <w:numId w:val="0"/>
        </w:numPr>
        <w:ind w:left="720" w:hanging="720"/>
        <w:rPr>
          <w:rFonts w:cs="Open Sans"/>
        </w:rPr>
      </w:pPr>
      <w:r w:rsidRPr="00527783">
        <w:rPr>
          <w:rFonts w:cs="Open Sans"/>
        </w:rPr>
        <w:lastRenderedPageBreak/>
        <w:t>4.1</w:t>
      </w:r>
      <w:r w:rsidRPr="00527783">
        <w:rPr>
          <w:rFonts w:cs="Open Sans"/>
        </w:rPr>
        <w:tab/>
      </w:r>
      <w:r w:rsidRPr="00527783">
        <w:rPr>
          <w:rFonts w:cs="Open Sans"/>
        </w:rPr>
        <w:t>The Commission and Expert Reference Group acknowledge that some of the matters raised by participants in this project will be particularly sensitive. In undertaking the work of this project, Commission staff and Expert Reference Group members must:</w:t>
      </w:r>
    </w:p>
    <w:p w:rsidRPr="00527783" w:rsidR="00652A4B" w:rsidP="00652A4B" w:rsidRDefault="00652A4B" w14:paraId="5E810DC1" w14:textId="77777777">
      <w:pPr>
        <w:pStyle w:val="SubmissionNormal"/>
        <w:numPr>
          <w:ilvl w:val="0"/>
          <w:numId w:val="89"/>
        </w:numPr>
        <w:spacing w:before="0" w:line="259" w:lineRule="auto"/>
        <w:rPr>
          <w:rFonts w:cs="Open Sans"/>
        </w:rPr>
      </w:pPr>
      <w:r w:rsidRPr="00527783">
        <w:rPr>
          <w:rFonts w:cs="Open Sans"/>
        </w:rPr>
        <w:t>respect the privacy of project participants, especially in regard to the disclosure of sensitive personal information</w:t>
      </w:r>
    </w:p>
    <w:p w:rsidRPr="00527783" w:rsidR="00652A4B" w:rsidP="00652A4B" w:rsidRDefault="00652A4B" w14:paraId="17F98759" w14:textId="77777777">
      <w:pPr>
        <w:pStyle w:val="SubmissionNormal"/>
        <w:numPr>
          <w:ilvl w:val="0"/>
          <w:numId w:val="89"/>
        </w:numPr>
        <w:spacing w:before="0" w:line="259" w:lineRule="auto"/>
        <w:rPr>
          <w:rFonts w:cs="Open Sans"/>
        </w:rPr>
      </w:pPr>
      <w:r w:rsidRPr="00527783">
        <w:rPr>
          <w:rFonts w:cs="Open Sans"/>
        </w:rPr>
        <w:t>take all necessary steps to protect confidential information from being disclosed externally</w:t>
      </w:r>
    </w:p>
    <w:p w:rsidRPr="00527783" w:rsidR="00652A4B" w:rsidP="00652A4B" w:rsidRDefault="00652A4B" w14:paraId="5ACA19D4" w14:textId="77777777">
      <w:pPr>
        <w:pStyle w:val="SubmissionNormal"/>
        <w:numPr>
          <w:ilvl w:val="0"/>
          <w:numId w:val="89"/>
        </w:numPr>
        <w:spacing w:before="0" w:line="259" w:lineRule="auto"/>
        <w:rPr>
          <w:rFonts w:cs="Open Sans"/>
        </w:rPr>
      </w:pPr>
      <w:r w:rsidRPr="00527783">
        <w:rPr>
          <w:rFonts w:cs="Open Sans"/>
        </w:rPr>
        <w:t>where practicable, respect the autonomy of project participants to share their experience in a manner of their choosing.</w:t>
      </w:r>
    </w:p>
    <w:p w:rsidRPr="00527783" w:rsidR="00652A4B" w:rsidP="00652A4B" w:rsidRDefault="00652A4B" w14:paraId="164DB236" w14:textId="77777777">
      <w:pPr>
        <w:pStyle w:val="SubmissionNormal"/>
        <w:numPr>
          <w:ilvl w:val="0"/>
          <w:numId w:val="0"/>
        </w:numPr>
        <w:ind w:left="360" w:hanging="360"/>
        <w:rPr>
          <w:rFonts w:cs="Open Sans"/>
          <w:b/>
          <w:bCs/>
        </w:rPr>
      </w:pPr>
      <w:r w:rsidRPr="00527783">
        <w:rPr>
          <w:rFonts w:cs="Open Sans"/>
          <w:b/>
          <w:bCs/>
        </w:rPr>
        <w:t>5</w:t>
      </w:r>
      <w:r w:rsidRPr="00527783">
        <w:rPr>
          <w:rFonts w:cs="Open Sans"/>
          <w:b/>
          <w:bCs/>
        </w:rPr>
        <w:tab/>
      </w:r>
      <w:r w:rsidRPr="00527783">
        <w:rPr>
          <w:rFonts w:cs="Open Sans"/>
          <w:b/>
          <w:bCs/>
        </w:rPr>
        <w:tab/>
      </w:r>
      <w:r w:rsidRPr="00527783">
        <w:rPr>
          <w:rFonts w:cs="Open Sans"/>
          <w:b/>
          <w:bCs/>
        </w:rPr>
        <w:t>Appropriate language</w:t>
      </w:r>
    </w:p>
    <w:p w:rsidRPr="00527783" w:rsidR="00652A4B" w:rsidP="00652A4B" w:rsidRDefault="00652A4B" w14:paraId="3DBA6D13" w14:textId="77777777">
      <w:pPr>
        <w:pStyle w:val="SubmissionNormal"/>
        <w:numPr>
          <w:ilvl w:val="0"/>
          <w:numId w:val="0"/>
        </w:numPr>
        <w:ind w:left="720" w:hanging="720"/>
        <w:rPr>
          <w:rFonts w:cs="Open Sans"/>
        </w:rPr>
      </w:pPr>
      <w:bookmarkStart w:name="_Ref507584295" w:id="4"/>
      <w:r w:rsidRPr="00527783">
        <w:rPr>
          <w:rFonts w:cs="Open Sans"/>
        </w:rPr>
        <w:t>5.1</w:t>
      </w:r>
      <w:r w:rsidRPr="00527783">
        <w:rPr>
          <w:rFonts w:cs="Open Sans"/>
        </w:rPr>
        <w:tab/>
      </w:r>
      <w:r w:rsidRPr="00527783">
        <w:rPr>
          <w:rFonts w:cs="Open Sans"/>
        </w:rPr>
        <w:t>The Commission notes that terminology in this area is contested, and inappropriate language use can have harmful consequences. The Commission is committed to consulting on this issue, with a view to adopting the most appropriate terminology in this project.</w:t>
      </w:r>
      <w:bookmarkEnd w:id="4"/>
    </w:p>
    <w:p w:rsidRPr="00527783" w:rsidR="00652A4B" w:rsidP="00652A4B" w:rsidRDefault="00652A4B" w14:paraId="33F7593B" w14:textId="718F37AE">
      <w:pPr>
        <w:pStyle w:val="SubmissionNormal"/>
        <w:numPr>
          <w:ilvl w:val="0"/>
          <w:numId w:val="0"/>
        </w:numPr>
        <w:ind w:left="720" w:hanging="720"/>
        <w:rPr>
          <w:rFonts w:cs="Open Sans"/>
        </w:rPr>
      </w:pPr>
      <w:r w:rsidRPr="00527783">
        <w:rPr>
          <w:rFonts w:cs="Open Sans"/>
        </w:rPr>
        <w:t>5.2</w:t>
      </w:r>
      <w:r w:rsidRPr="00527783">
        <w:rPr>
          <w:rFonts w:cs="Open Sans"/>
        </w:rPr>
        <w:tab/>
      </w:r>
      <w:r w:rsidRPr="00527783">
        <w:rPr>
          <w:rFonts w:cs="Open Sans"/>
        </w:rPr>
        <w:t xml:space="preserve">The Commission’s use of the term ‘people born with variations in sex characteristics’ is intended to refer compendiously to the people whose human rights are the focus of this project. Other terms are also used in this context, and the Commission remains committed to further consultation on terminology, in accordance with clause </w:t>
      </w:r>
      <w:r w:rsidRPr="00527783">
        <w:rPr>
          <w:rFonts w:cs="Open Sans"/>
        </w:rPr>
        <w:fldChar w:fldCharType="begin"/>
      </w:r>
      <w:r w:rsidRPr="00527783">
        <w:rPr>
          <w:rFonts w:cs="Open Sans"/>
        </w:rPr>
        <w:instrText xml:space="preserve"> REF _Ref507584295 \r \h </w:instrText>
      </w:r>
      <w:r>
        <w:rPr>
          <w:rFonts w:cs="Open Sans"/>
        </w:rPr>
        <w:instrText xml:space="preserve"> \* MERGEFORMAT </w:instrText>
      </w:r>
      <w:r w:rsidRPr="00527783">
        <w:rPr>
          <w:rFonts w:cs="Open Sans"/>
        </w:rPr>
      </w:r>
      <w:r w:rsidRPr="00527783">
        <w:rPr>
          <w:rFonts w:cs="Open Sans"/>
        </w:rPr>
        <w:fldChar w:fldCharType="separate"/>
      </w:r>
      <w:r w:rsidR="00935966">
        <w:rPr>
          <w:rFonts w:cs="Open Sans"/>
        </w:rPr>
        <w:t>0</w:t>
      </w:r>
      <w:r w:rsidRPr="00527783">
        <w:rPr>
          <w:rFonts w:cs="Open Sans"/>
        </w:rPr>
        <w:fldChar w:fldCharType="end"/>
      </w:r>
      <w:r w:rsidRPr="00527783">
        <w:rPr>
          <w:rFonts w:cs="Open Sans"/>
        </w:rPr>
        <w:t xml:space="preserve"> above.</w:t>
      </w:r>
    </w:p>
    <w:p w:rsidR="00652A4B" w:rsidP="00652A4B" w:rsidRDefault="00652A4B" w14:paraId="2E8CE4A9" w14:textId="77777777">
      <w:pPr>
        <w:pStyle w:val="SubmissionNormal"/>
        <w:keepNext/>
        <w:numPr>
          <w:ilvl w:val="0"/>
          <w:numId w:val="0"/>
        </w:numPr>
        <w:ind w:left="357" w:hanging="357"/>
        <w:rPr>
          <w:rFonts w:cs="Open Sans"/>
          <w:b/>
          <w:bCs/>
        </w:rPr>
      </w:pPr>
      <w:r w:rsidRPr="00527783">
        <w:rPr>
          <w:rFonts w:cs="Open Sans"/>
          <w:b/>
          <w:bCs/>
        </w:rPr>
        <w:t>6</w:t>
      </w:r>
      <w:r w:rsidRPr="00527783">
        <w:rPr>
          <w:rFonts w:cs="Open Sans"/>
          <w:b/>
          <w:bCs/>
        </w:rPr>
        <w:tab/>
      </w:r>
      <w:r w:rsidRPr="00527783">
        <w:rPr>
          <w:rFonts w:cs="Open Sans"/>
          <w:b/>
          <w:bCs/>
        </w:rPr>
        <w:tab/>
      </w:r>
      <w:r w:rsidRPr="00527783">
        <w:rPr>
          <w:rFonts w:cs="Open Sans"/>
          <w:b/>
          <w:bCs/>
        </w:rPr>
        <w:t>Responsibility for this project</w:t>
      </w:r>
    </w:p>
    <w:p w:rsidRPr="00652A4B" w:rsidR="00654C59" w:rsidP="00652A4B" w:rsidRDefault="00652A4B" w14:paraId="734A1DFA" w14:textId="0739CAFF">
      <w:pPr>
        <w:pStyle w:val="SubmissionNormal"/>
        <w:keepNext/>
        <w:numPr>
          <w:ilvl w:val="0"/>
          <w:numId w:val="0"/>
        </w:numPr>
        <w:ind w:left="720" w:hanging="720"/>
        <w:rPr>
          <w:rFonts w:cs="Open Sans"/>
        </w:rPr>
      </w:pPr>
      <w:r w:rsidRPr="00652A4B">
        <w:rPr>
          <w:rFonts w:cs="Open Sans"/>
        </w:rPr>
        <w:t>6.1</w:t>
      </w:r>
      <w:r w:rsidRPr="00652A4B">
        <w:rPr>
          <w:rFonts w:cs="Open Sans"/>
        </w:rPr>
        <w:tab/>
      </w:r>
      <w:r w:rsidRPr="00652A4B">
        <w:rPr>
          <w:rFonts w:cs="Open Sans"/>
        </w:rPr>
        <w:t xml:space="preserve">Primary responsibility for this project within the Commission will rest with the Human Rights Commissioner. The Human Rights Commissioner will solicit input internally and externally as appropriate. The Commission will be responsible for the content of any documentation it publishes in </w:t>
      </w:r>
      <w:r w:rsidRPr="00652A4B">
        <w:rPr>
          <w:rFonts w:cs="Open Sans"/>
        </w:rPr>
        <w:lastRenderedPageBreak/>
        <w:t>connection with this project, including the proposed consultation paper and report.</w:t>
      </w:r>
    </w:p>
    <w:p w:rsidR="0007502F" w:rsidP="006A5599" w:rsidRDefault="00445225" w14:paraId="4CA32BBD" w14:textId="63240289">
      <w:pPr>
        <w:spacing w:before="0" w:after="0"/>
      </w:pPr>
      <w:r>
        <w:br w:type="page"/>
      </w:r>
    </w:p>
    <w:p w:rsidR="00E152C5" w:rsidP="00E152C5" w:rsidRDefault="0007502F" w14:paraId="1D8D4EAA" w14:textId="31815690">
      <w:pPr>
        <w:pStyle w:val="AHRCHeading1"/>
        <w:numPr>
          <w:ilvl w:val="0"/>
          <w:numId w:val="0"/>
        </w:numPr>
        <w:ind w:left="851" w:hanging="851"/>
      </w:pPr>
      <w:bookmarkStart w:name="_Toc85541368" w:id="5"/>
      <w:r>
        <w:lastRenderedPageBreak/>
        <w:t>Recommendations</w:t>
      </w:r>
      <w:bookmarkEnd w:id="5"/>
    </w:p>
    <w:tbl>
      <w:tblPr>
        <w:tblStyle w:val="TableGrid"/>
        <w:tblpPr w:leftFromText="180" w:rightFromText="180" w:vertAnchor="text" w:tblpY="1"/>
        <w:tblOverlap w:val="never"/>
        <w:tblW w:w="92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88"/>
      </w:tblGrid>
      <w:tr w:rsidRPr="00A4039E" w:rsidR="00725B37" w:rsidTr="00725B37" w14:paraId="68EBE1D7" w14:textId="77777777">
        <w:tc>
          <w:tcPr>
            <w:tcW w:w="9288" w:type="dxa"/>
          </w:tcPr>
          <w:tbl>
            <w:tblPr>
              <w:tblStyle w:val="TableGrid"/>
              <w:tblpPr w:leftFromText="180" w:rightFromText="180" w:vertAnchor="text" w:tblpY="1"/>
              <w:tblOverlap w:val="never"/>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72"/>
            </w:tblGrid>
            <w:tr w:rsidRPr="00131F04" w:rsidR="00725B37" w:rsidTr="00D33412" w14:paraId="58B7719B" w14:textId="77777777">
              <w:tc>
                <w:tcPr>
                  <w:tcW w:w="9072" w:type="dxa"/>
                </w:tcPr>
                <w:p w:rsidRPr="00E152C5" w:rsidR="00725B37" w:rsidP="00725B37" w:rsidRDefault="00725B37" w14:paraId="2DB8B6AC" w14:textId="641B854F">
                  <w:pPr>
                    <w:ind w:right="-108"/>
                    <w:rPr>
                      <w:rFonts w:cs="Open Sans"/>
                      <w:b/>
                      <w:bCs/>
                    </w:rPr>
                  </w:pPr>
                  <w:r w:rsidRPr="00131F04">
                    <w:rPr>
                      <w:rFonts w:cs="Open Sans"/>
                      <w:b/>
                      <w:bCs/>
                    </w:rPr>
                    <w:t xml:space="preserve">Recommendation 1: </w:t>
                  </w:r>
                  <w:r w:rsidRPr="00131F04">
                    <w:rPr>
                      <w:rFonts w:cs="Open Sans"/>
                    </w:rPr>
                    <w:t xml:space="preserve">Laws and practices concerning medical interventions to </w:t>
                  </w:r>
                  <w:r w:rsidR="00F83E6E">
                    <w:rPr>
                      <w:rFonts w:cs="Open Sans"/>
                    </w:rPr>
                    <w:t>modify</w:t>
                  </w:r>
                  <w:r w:rsidRPr="00131F04">
                    <w:rPr>
                      <w:rFonts w:cs="Open Sans"/>
                    </w:rPr>
                    <w:t xml:space="preserve"> the sex characteristics of people born with variations in sex characteristics should be guided by a human rights framework based on the following principles.</w:t>
                  </w:r>
                </w:p>
                <w:p w:rsidRPr="009D0B21" w:rsidR="00725B37" w:rsidP="00725B37" w:rsidRDefault="00725B37" w14:paraId="3E389683" w14:textId="40B145D0">
                  <w:pPr>
                    <w:numPr>
                      <w:ilvl w:val="0"/>
                      <w:numId w:val="91"/>
                    </w:numPr>
                    <w:tabs>
                      <w:tab w:val="num" w:pos="720"/>
                    </w:tabs>
                    <w:spacing w:before="0" w:after="0"/>
                    <w:ind w:right="-108"/>
                    <w:rPr>
                      <w:rFonts w:cs="Open Sans"/>
                    </w:rPr>
                  </w:pPr>
                  <w:r w:rsidRPr="00131F04">
                    <w:rPr>
                      <w:rFonts w:cs="Open Sans"/>
                      <w:i/>
                      <w:iCs/>
                    </w:rPr>
                    <w:t>Bodily integrity principle</w:t>
                  </w:r>
                  <w:r w:rsidRPr="00131F04">
                    <w:rPr>
                      <w:rFonts w:cs="Open Sans"/>
                    </w:rPr>
                    <w:t>: All people have the right to autonomy and bodily integrity. Medical interventions on people without their personal consent have the potential to seriously infringe these rights.</w:t>
                  </w:r>
                  <w:r w:rsidR="009D0B21">
                    <w:rPr>
                      <w:rFonts w:cs="Open Sans"/>
                    </w:rPr>
                    <w:br/>
                  </w:r>
                </w:p>
                <w:p w:rsidRPr="00131F04" w:rsidR="00725B37" w:rsidP="00725B37" w:rsidRDefault="00725B37" w14:paraId="1BF2F084" w14:textId="77777777">
                  <w:pPr>
                    <w:pStyle w:val="ListParagraph"/>
                    <w:numPr>
                      <w:ilvl w:val="0"/>
                      <w:numId w:val="91"/>
                    </w:numPr>
                    <w:spacing w:before="0" w:after="0"/>
                    <w:ind w:right="-108"/>
                    <w:rPr>
                      <w:rFonts w:cs="Open Sans"/>
                      <w:lang w:eastAsia="en-US"/>
                    </w:rPr>
                  </w:pPr>
                  <w:r w:rsidRPr="00131F04">
                    <w:rPr>
                      <w:rFonts w:cs="Open Sans"/>
                      <w:i/>
                      <w:iCs/>
                      <w:lang w:eastAsia="en-US"/>
                    </w:rPr>
                    <w:t>Children’s agency principle</w:t>
                  </w:r>
                  <w:r w:rsidRPr="00131F04">
                    <w:rPr>
                      <w:rFonts w:cs="Open Sans"/>
                      <w:lang w:eastAsia="en-US"/>
                    </w:rPr>
                    <w:t xml:space="preserve">: Children and young people have the right to express their views in relation to decisions that affect them, and those views must be given due weight in accordance with their age and maturity. The ability of children to consent to medical interventions generally increases as they grow older. Children and young people who are able to understand fully the nature and consequences of proposed medical interventions should be able to make their own decisions about whether those interventions proceed. </w:t>
                  </w:r>
                  <w:r w:rsidRPr="00131F04">
                    <w:rPr>
                      <w:rFonts w:cs="Open Sans"/>
                    </w:rPr>
                    <w:br/>
                  </w:r>
                </w:p>
                <w:p w:rsidRPr="00131F04" w:rsidR="00725B37" w:rsidP="00725B37" w:rsidRDefault="00725B37" w14:paraId="5201B206" w14:textId="4B2C0DDB">
                  <w:pPr>
                    <w:numPr>
                      <w:ilvl w:val="0"/>
                      <w:numId w:val="91"/>
                    </w:numPr>
                    <w:spacing w:before="0" w:after="0"/>
                    <w:ind w:right="-108"/>
                    <w:rPr>
                      <w:rFonts w:cs="Open Sans"/>
                    </w:rPr>
                  </w:pPr>
                  <w:r w:rsidRPr="00131F04">
                    <w:rPr>
                      <w:rFonts w:cs="Open Sans"/>
                      <w:i/>
                      <w:iCs/>
                    </w:rPr>
                    <w:t>Precautionary principle</w:t>
                  </w:r>
                  <w:r w:rsidRPr="00131F04">
                    <w:rPr>
                      <w:rFonts w:cs="Open Sans"/>
                    </w:rPr>
                    <w:t xml:space="preserve">: </w:t>
                  </w:r>
                  <w:r w:rsidRPr="00131F04">
                    <w:rPr>
                      <w:sz w:val="16"/>
                      <w:szCs w:val="16"/>
                    </w:rPr>
                    <w:t xml:space="preserve"> </w:t>
                  </w:r>
                  <w:r w:rsidRPr="00131F04">
                    <w:rPr>
                      <w:rFonts w:cs="Open Sans"/>
                    </w:rPr>
                    <w:t xml:space="preserve">Where safe to do so, medical interventions to </w:t>
                  </w:r>
                  <w:r w:rsidR="00F83E6E">
                    <w:rPr>
                      <w:rFonts w:cs="Open Sans"/>
                    </w:rPr>
                    <w:t>modify</w:t>
                  </w:r>
                  <w:r w:rsidRPr="00131F04">
                    <w:rPr>
                      <w:rFonts w:cs="Open Sans"/>
                    </w:rPr>
                    <w:t xml:space="preserve"> the sex characteristics of a child born with variations in sex characteristics should be deferred until a time when the child is able to make their own decisions about what happens to their body.</w:t>
                  </w:r>
                  <w:r w:rsidRPr="00131F04">
                    <w:br/>
                  </w:r>
                </w:p>
                <w:p w:rsidRPr="00E152C5" w:rsidR="00725B37" w:rsidP="00725B37" w:rsidRDefault="00725B37" w14:paraId="69FAC29E" w14:textId="136B0C9C">
                  <w:pPr>
                    <w:numPr>
                      <w:ilvl w:val="0"/>
                      <w:numId w:val="91"/>
                    </w:numPr>
                    <w:spacing w:before="0" w:after="0"/>
                    <w:ind w:right="-108"/>
                    <w:rPr>
                      <w:rFonts w:cs="Open Sans"/>
                    </w:rPr>
                  </w:pPr>
                  <w:r w:rsidRPr="00131F04">
                    <w:rPr>
                      <w:rFonts w:cs="Open Sans"/>
                      <w:i/>
                      <w:iCs/>
                    </w:rPr>
                    <w:t>Medical necessity principle</w:t>
                  </w:r>
                  <w:r w:rsidRPr="00131F04">
                    <w:rPr>
                      <w:rFonts w:cs="Open Sans"/>
                    </w:rPr>
                    <w:t>:</w:t>
                  </w:r>
                  <w:r w:rsidRPr="00131F04">
                    <w:rPr>
                      <w:rFonts w:cs="Open Sans"/>
                      <w:i/>
                      <w:iCs/>
                    </w:rPr>
                    <w:t xml:space="preserve"> </w:t>
                  </w:r>
                  <w:r w:rsidRPr="00131F04">
                    <w:rPr>
                      <w:rFonts w:cs="Open Sans"/>
                    </w:rPr>
                    <w:t xml:space="preserve">In some cases, to protect the child’s rights to life or health, it may be medically necessary for a medical intervention to </w:t>
                  </w:r>
                  <w:r w:rsidR="00F83E6E">
                    <w:rPr>
                      <w:rFonts w:cs="Open Sans"/>
                    </w:rPr>
                    <w:t>modify</w:t>
                  </w:r>
                  <w:r w:rsidRPr="00131F04">
                    <w:rPr>
                      <w:rFonts w:cs="Open Sans"/>
                    </w:rPr>
                    <w:t xml:space="preserve"> the sex characteristics of a child born with variations in sex characteristics to occur before a child can make their own decision. An intervention will be medically necessary if it is required urgently to avoid serious harm to the child.</w:t>
                  </w:r>
                  <w:r w:rsidR="00E152C5">
                    <w:rPr>
                      <w:rFonts w:cs="Open Sans"/>
                    </w:rPr>
                    <w:br/>
                  </w:r>
                </w:p>
                <w:p w:rsidRPr="00725B37" w:rsidR="00725B37" w:rsidP="00725B37" w:rsidRDefault="00725B37" w14:paraId="7BB48DF9" w14:textId="73473322">
                  <w:pPr>
                    <w:numPr>
                      <w:ilvl w:val="0"/>
                      <w:numId w:val="91"/>
                    </w:numPr>
                    <w:spacing w:before="0" w:after="0"/>
                    <w:ind w:right="-108"/>
                    <w:rPr>
                      <w:rFonts w:cs="Open Sans"/>
                    </w:rPr>
                  </w:pPr>
                  <w:r w:rsidRPr="00131F04">
                    <w:rPr>
                      <w:rFonts w:cs="Open Sans"/>
                      <w:i/>
                      <w:iCs/>
                    </w:rPr>
                    <w:t>Independent oversight principle</w:t>
                  </w:r>
                  <w:r w:rsidRPr="00131F04">
                    <w:rPr>
                      <w:rFonts w:cs="Open Sans"/>
                    </w:rPr>
                    <w:t xml:space="preserve">: Given the risk of making a wrong decision, decisions about whether a medical intervention to </w:t>
                  </w:r>
                  <w:r w:rsidR="00F83E6E">
                    <w:rPr>
                      <w:rFonts w:cs="Open Sans"/>
                    </w:rPr>
                    <w:t>modify</w:t>
                  </w:r>
                  <w:r w:rsidRPr="00131F04">
                    <w:rPr>
                      <w:rFonts w:cs="Open Sans"/>
                    </w:rPr>
                    <w:t xml:space="preserve"> the sex </w:t>
                  </w:r>
                  <w:r w:rsidRPr="00131F04">
                    <w:rPr>
                      <w:rFonts w:cs="Open Sans"/>
                    </w:rPr>
                    <w:lastRenderedPageBreak/>
                    <w:t>characteristics of a child born with variations in sex characteristics is medically necessary should be subject to effective independent oversight.</w:t>
                  </w:r>
                  <w:r>
                    <w:rPr>
                      <w:rFonts w:cs="Open Sans"/>
                    </w:rPr>
                    <w:br/>
                  </w:r>
                </w:p>
              </w:tc>
            </w:tr>
            <w:tr w:rsidRPr="00131F04" w:rsidR="00725B37" w:rsidTr="00D33412" w14:paraId="11763699" w14:textId="77777777">
              <w:tc>
                <w:tcPr>
                  <w:tcW w:w="9072" w:type="dxa"/>
                </w:tcPr>
                <w:p w:rsidR="00980864" w:rsidP="00BC27B9" w:rsidRDefault="00725B37" w14:paraId="233D9D66" w14:textId="37434514">
                  <w:pPr>
                    <w:ind w:right="-108"/>
                  </w:pPr>
                  <w:r w:rsidRPr="00131F04">
                    <w:rPr>
                      <w:rFonts w:cs="Open Sans"/>
                      <w:b/>
                      <w:bCs/>
                    </w:rPr>
                    <w:lastRenderedPageBreak/>
                    <w:t>Recommendation 2:</w:t>
                  </w:r>
                  <w:r w:rsidRPr="00131F04">
                    <w:rPr>
                      <w:rFonts w:cs="Open Sans"/>
                    </w:rPr>
                    <w:t xml:space="preserve"> </w:t>
                  </w:r>
                  <w:r w:rsidR="00DD5B35">
                    <w:rPr>
                      <w:rFonts w:cs="Open Sans"/>
                    </w:rPr>
                    <w:t xml:space="preserve"> </w:t>
                  </w:r>
                  <w:r w:rsidR="00DD5B35">
                    <w:t xml:space="preserve"> </w:t>
                  </w:r>
                  <w:r w:rsidR="00292A0D">
                    <w:t xml:space="preserve">The development of new </w:t>
                  </w:r>
                  <w:r w:rsidR="00DD5B35">
                    <w:t>resources to increase awareness of variations of sex characteristics in the community, educational, service and employment settings, and to reduce the associated stigma</w:t>
                  </w:r>
                  <w:r w:rsidR="00292A0D">
                    <w:t xml:space="preserve">. </w:t>
                  </w:r>
                </w:p>
                <w:p w:rsidRPr="0018483D" w:rsidR="00725B37" w:rsidP="00BC27B9" w:rsidRDefault="00292A0D" w14:paraId="3A636068" w14:textId="58CCDB78">
                  <w:pPr>
                    <w:ind w:right="-108"/>
                  </w:pPr>
                  <w:r>
                    <w:t>To undertake this</w:t>
                  </w:r>
                  <w:r w:rsidR="0018483D">
                    <w:t>,</w:t>
                  </w:r>
                  <w:r w:rsidR="00DD5B35">
                    <w:t xml:space="preserve"> </w:t>
                  </w:r>
                  <w:r>
                    <w:t>t</w:t>
                  </w:r>
                  <w:r w:rsidR="00DD5B35">
                    <w:t>he Australian Government and state and territory governments should fund community organisations led by people born with variations in sex characteristics.</w:t>
                  </w:r>
                </w:p>
              </w:tc>
            </w:tr>
            <w:tr w:rsidRPr="00131F04" w:rsidR="00725B37" w:rsidTr="00D33412" w14:paraId="43E3E9AD" w14:textId="77777777">
              <w:tc>
                <w:tcPr>
                  <w:tcW w:w="9072" w:type="dxa"/>
                </w:tcPr>
                <w:p w:rsidRPr="00131F04" w:rsidR="00725B37" w:rsidP="00725B37" w:rsidRDefault="00725B37" w14:paraId="07444C3C" w14:textId="35B8B5CB">
                  <w:pPr>
                    <w:ind w:right="-108"/>
                    <w:rPr>
                      <w:rFonts w:cs="Open Sans"/>
                    </w:rPr>
                  </w:pPr>
                  <w:r w:rsidRPr="00131F04">
                    <w:rPr>
                      <w:rFonts w:cs="Open Sans"/>
                      <w:b/>
                      <w:bCs/>
                    </w:rPr>
                    <w:t>Recommendation</w:t>
                  </w:r>
                  <w:r w:rsidRPr="00131F04">
                    <w:rPr>
                      <w:rFonts w:cs="Open Sans"/>
                    </w:rPr>
                    <w:t xml:space="preserve"> </w:t>
                  </w:r>
                  <w:r w:rsidRPr="00131F04">
                    <w:rPr>
                      <w:rFonts w:cs="Open Sans"/>
                      <w:b/>
                      <w:bCs/>
                    </w:rPr>
                    <w:t xml:space="preserve">3: </w:t>
                  </w:r>
                  <w:r w:rsidRPr="00131F04">
                    <w:rPr>
                      <w:rFonts w:cs="Open Sans"/>
                    </w:rPr>
                    <w:t xml:space="preserve">New </w:t>
                  </w:r>
                  <w:r w:rsidRPr="00131F04">
                    <w:rPr>
                      <w:rFonts w:cs="Open Sans"/>
                      <w:i/>
                      <w:iCs/>
                    </w:rPr>
                    <w:t>National Guidelines on medical interventions for people born with variations in sex characteristics</w:t>
                  </w:r>
                  <w:r w:rsidRPr="00131F04">
                    <w:rPr>
                      <w:rFonts w:cs="Open Sans"/>
                    </w:rPr>
                    <w:t xml:space="preserve"> (see Recommendation 6) should set out what is required to obtain informed consent before performing a medical intervention for a person born with variations in sex characteristics. This guidance should require that: </w:t>
                  </w:r>
                </w:p>
                <w:p w:rsidRPr="00131F04" w:rsidR="00725B37" w:rsidP="00725B37" w:rsidRDefault="00725B37" w14:paraId="622D5E0E" w14:textId="77777777">
                  <w:pPr>
                    <w:ind w:right="-108"/>
                    <w:rPr>
                      <w:rFonts w:cs="Open Sans"/>
                    </w:rPr>
                  </w:pPr>
                  <w:r w:rsidRPr="00131F04">
                    <w:rPr>
                      <w:rFonts w:cs="Open Sans"/>
                    </w:rPr>
                    <w:t>(a) Treating practitioners provide accurate, up-to-date, evidence-based medical information including about:</w:t>
                  </w:r>
                </w:p>
                <w:p w:rsidRPr="00131F04" w:rsidR="00725B37" w:rsidP="00725B37" w:rsidRDefault="00725B37" w14:paraId="017E2B23" w14:textId="77777777">
                  <w:pPr>
                    <w:ind w:right="-108"/>
                    <w:rPr>
                      <w:rFonts w:cs="Open Sans"/>
                    </w:rPr>
                  </w:pPr>
                  <w:r w:rsidRPr="00131F04">
                    <w:rPr>
                      <w:rFonts w:cs="Open Sans"/>
                    </w:rPr>
                    <w:t xml:space="preserve">       (i) the variation in question</w:t>
                  </w:r>
                </w:p>
                <w:p w:rsidRPr="00131F04" w:rsidR="00725B37" w:rsidP="00725B37" w:rsidRDefault="00725B37" w14:paraId="60498E57" w14:textId="77777777">
                  <w:pPr>
                    <w:ind w:right="-108"/>
                    <w:rPr>
                      <w:rFonts w:cs="Open Sans"/>
                    </w:rPr>
                  </w:pPr>
                  <w:r w:rsidRPr="00131F04">
                    <w:rPr>
                      <w:rFonts w:cs="Open Sans"/>
                    </w:rPr>
                    <w:t xml:space="preserve">      (ii) the exact nature of any proposed intervention, why it is medically necessary, and the degree of any risk from the intervention</w:t>
                  </w:r>
                </w:p>
                <w:p w:rsidRPr="00131F04" w:rsidR="00725B37" w:rsidP="00725B37" w:rsidRDefault="00725B37" w14:paraId="00E69B64" w14:textId="77777777">
                  <w:pPr>
                    <w:ind w:right="-108"/>
                    <w:rPr>
                      <w:rFonts w:cs="Open Sans"/>
                    </w:rPr>
                  </w:pPr>
                  <w:r w:rsidRPr="00131F04">
                    <w:rPr>
                      <w:rFonts w:cs="Open Sans"/>
                    </w:rPr>
                    <w:t xml:space="preserve">     (iii) what alternatives exist, including other medical interventions or delaying or deferring the proposed intervention</w:t>
                  </w:r>
                </w:p>
                <w:p w:rsidRPr="00131F04" w:rsidR="00725B37" w:rsidP="00725B37" w:rsidRDefault="00725B37" w14:paraId="29E40CF8" w14:textId="77777777">
                  <w:pPr>
                    <w:tabs>
                      <w:tab w:val="left" w:pos="321"/>
                    </w:tabs>
                    <w:ind w:left="321" w:right="-108" w:hanging="284"/>
                    <w:rPr>
                      <w:rFonts w:cs="Open Sans"/>
                    </w:rPr>
                  </w:pPr>
                  <w:r w:rsidRPr="00131F04">
                    <w:rPr>
                      <w:rFonts w:cs="Open Sans"/>
                    </w:rPr>
                    <w:t xml:space="preserve">     (iv) the likely long-term effects and outcomes if the proposed intervention is carried out immediately, at a later time, or if the intervention is not carried out</w:t>
                  </w:r>
                </w:p>
                <w:p w:rsidRPr="00131F04" w:rsidR="00725B37" w:rsidP="00725B37" w:rsidRDefault="00725B37" w14:paraId="2CD23E11" w14:textId="77777777">
                  <w:pPr>
                    <w:ind w:left="321" w:right="-108"/>
                    <w:rPr>
                      <w:rFonts w:cs="Open Sans"/>
                    </w:rPr>
                  </w:pPr>
                  <w:r w:rsidRPr="00131F04">
                    <w:rPr>
                      <w:rFonts w:cs="Open Sans"/>
                    </w:rPr>
                    <w:t>(v) what uncertainty, if any, exists in relation to the current state of medical knowledge underpinning any recommended intervention</w:t>
                  </w:r>
                </w:p>
                <w:p w:rsidRPr="00131F04" w:rsidR="00725B37" w:rsidP="00725B37" w:rsidRDefault="00725B37" w14:paraId="18A3EB75" w14:textId="77777777">
                  <w:pPr>
                    <w:ind w:right="-108"/>
                    <w:rPr>
                      <w:rFonts w:cs="Open Sans"/>
                    </w:rPr>
                  </w:pPr>
                  <w:r w:rsidRPr="00131F04">
                    <w:rPr>
                      <w:rFonts w:cs="Open Sans"/>
                    </w:rPr>
                    <w:t xml:space="preserve">    (vi) any diversity of medical opinion about the proposed intervention</w:t>
                  </w:r>
                </w:p>
                <w:p w:rsidRPr="00131F04" w:rsidR="00725B37" w:rsidP="00725B37" w:rsidRDefault="00725B37" w14:paraId="23B3B5D6" w14:textId="164B54F7">
                  <w:pPr>
                    <w:ind w:right="-108"/>
                    <w:rPr>
                      <w:rFonts w:cs="Open Sans"/>
                    </w:rPr>
                  </w:pPr>
                  <w:r w:rsidRPr="00131F04">
                    <w:rPr>
                      <w:rFonts w:cs="Open Sans"/>
                    </w:rPr>
                    <w:t xml:space="preserve">   (vii) the benefits of peer support, and contact information for relevant groups.</w:t>
                  </w:r>
                </w:p>
                <w:p w:rsidRPr="00131F04" w:rsidR="00725B37" w:rsidP="00725B37" w:rsidRDefault="00725B37" w14:paraId="62E5DAC2" w14:textId="3549DB8B">
                  <w:pPr>
                    <w:ind w:right="-108"/>
                    <w:rPr>
                      <w:rFonts w:cs="Open Sans"/>
                    </w:rPr>
                  </w:pPr>
                  <w:r w:rsidRPr="00131F04">
                    <w:rPr>
                      <w:rFonts w:cs="Open Sans"/>
                    </w:rPr>
                    <w:lastRenderedPageBreak/>
                    <w:t xml:space="preserve">(b) Treating practitioners document fully the information provided, how they have included children in decision-making processes and the steps they have taken to effectively communicate the information, taking into account the age, decision-making ability or other characteristics of the person. </w:t>
                  </w:r>
                </w:p>
                <w:p w:rsidRPr="00131F04" w:rsidR="00725B37" w:rsidP="00725B37" w:rsidRDefault="00725B37" w14:paraId="34EA8B61" w14:textId="6D7825F4">
                  <w:pPr>
                    <w:ind w:right="-108"/>
                    <w:rPr>
                      <w:rFonts w:cs="Open Sans"/>
                    </w:rPr>
                  </w:pPr>
                  <w:r w:rsidRPr="00131F04">
                    <w:rPr>
                      <w:rFonts w:cs="Open Sans"/>
                    </w:rPr>
                    <w:t xml:space="preserve">(c) </w:t>
                  </w:r>
                  <w:r w:rsidRPr="00131F04">
                    <w:t xml:space="preserve"> </w:t>
                  </w:r>
                  <w:r w:rsidRPr="00131F04">
                    <w:rPr>
                      <w:rFonts w:cs="Open Sans"/>
                    </w:rPr>
                    <w:t xml:space="preserve">people born with variations in sex characteristics and, where they are children, their </w:t>
                  </w:r>
                  <w:r w:rsidR="0096689F">
                    <w:rPr>
                      <w:rFonts w:cs="Open Sans"/>
                    </w:rPr>
                    <w:t xml:space="preserve">parents and other </w:t>
                  </w:r>
                  <w:r w:rsidRPr="00131F04">
                    <w:rPr>
                      <w:rFonts w:cs="Open Sans"/>
                    </w:rPr>
                    <w:t>famil</w:t>
                  </w:r>
                  <w:r w:rsidR="0096689F">
                    <w:rPr>
                      <w:rFonts w:cs="Open Sans"/>
                    </w:rPr>
                    <w:t>y members</w:t>
                  </w:r>
                  <w:r w:rsidRPr="00131F04">
                    <w:rPr>
                      <w:rFonts w:cs="Open Sans"/>
                    </w:rPr>
                    <w:t>, are provided information in clear, accessible, non-technical language that they can understand</w:t>
                  </w:r>
                </w:p>
                <w:p w:rsidRPr="00131F04" w:rsidR="00725B37" w:rsidP="00725B37" w:rsidRDefault="00725B37" w14:paraId="24F1C921" w14:textId="35550644">
                  <w:pPr>
                    <w:ind w:right="-108"/>
                    <w:rPr>
                      <w:rFonts w:cs="Open Sans"/>
                    </w:rPr>
                  </w:pPr>
                  <w:r w:rsidRPr="00131F04">
                    <w:rPr>
                      <w:rFonts w:cs="Open Sans"/>
                    </w:rPr>
                    <w:t>(d) Treating practitioners refer people born with variations in sex characteristics, and where relevant their</w:t>
                  </w:r>
                  <w:r w:rsidR="001D7D07">
                    <w:rPr>
                      <w:rFonts w:cs="Open Sans"/>
                    </w:rPr>
                    <w:t xml:space="preserve"> parents and other</w:t>
                  </w:r>
                  <w:r w:rsidRPr="00131F04">
                    <w:rPr>
                      <w:rFonts w:cs="Open Sans"/>
                    </w:rPr>
                    <w:t xml:space="preserve"> famil</w:t>
                  </w:r>
                  <w:r w:rsidR="001D7D07">
                    <w:rPr>
                      <w:rFonts w:cs="Open Sans"/>
                    </w:rPr>
                    <w:t>y members</w:t>
                  </w:r>
                  <w:r w:rsidRPr="00131F04">
                    <w:rPr>
                      <w:rFonts w:cs="Open Sans"/>
                    </w:rPr>
                    <w:t xml:space="preserve">, to peer support and advocacy organisations, and services such as psychologists and social workers, who can provide further information to help inform their decision-making.  </w:t>
                  </w:r>
                </w:p>
                <w:p w:rsidRPr="00131F04" w:rsidR="00725B37" w:rsidP="00725B37" w:rsidRDefault="00725B37" w14:paraId="6ABDB600" w14:textId="77777777">
                  <w:pPr>
                    <w:ind w:right="-108"/>
                    <w:rPr>
                      <w:rFonts w:cs="Open Sans"/>
                      <w:b/>
                      <w:bCs/>
                    </w:rPr>
                  </w:pPr>
                  <w:r w:rsidRPr="00131F04">
                    <w:rPr>
                      <w:rFonts w:cs="Open Sans"/>
                    </w:rPr>
                    <w:t xml:space="preserve">(e) </w:t>
                  </w:r>
                  <w:r w:rsidRPr="00131F04">
                    <w:rPr>
                      <w:rFonts w:cs="Open Sans"/>
                      <w:b/>
                      <w:bCs/>
                    </w:rPr>
                    <w:t xml:space="preserve"> </w:t>
                  </w:r>
                  <w:r w:rsidRPr="00131F04">
                    <w:rPr>
                      <w:rFonts w:cs="Open Sans"/>
                    </w:rPr>
                    <w:t>children are included in decision making in an age-appropriate way, including by being given support to understand any medical advice and to express their views, with due weight being given to those views according to their age and capacity. Where a child has sufficient understanding, the child’s informed consent should be sought. Where the view is formed that the child does not have sufficient understanding for their consent to be sought, the reasons and evidence for this should be documented along with a description of any attempts made to seek the views of the child</w:t>
                  </w:r>
                  <w:r w:rsidRPr="00131F04">
                    <w:rPr>
                      <w:rFonts w:cs="Open Sans"/>
                      <w:b/>
                      <w:bCs/>
                    </w:rPr>
                    <w:t xml:space="preserve"> </w:t>
                  </w:r>
                </w:p>
                <w:p w:rsidRPr="00131F04" w:rsidR="00725B37" w:rsidP="00725B37" w:rsidRDefault="00725B37" w14:paraId="290BC727" w14:textId="19DE25AA">
                  <w:pPr>
                    <w:ind w:right="-108"/>
                    <w:rPr>
                      <w:rFonts w:cs="Open Sans"/>
                    </w:rPr>
                  </w:pPr>
                  <w:r w:rsidRPr="00131F04">
                    <w:rPr>
                      <w:rFonts w:cs="Open Sans"/>
                    </w:rPr>
                    <w:t xml:space="preserve">(f) people with variations in sex characteristics and, where they are children, their </w:t>
                  </w:r>
                  <w:r w:rsidR="001D7D07">
                    <w:rPr>
                      <w:rFonts w:cs="Open Sans"/>
                    </w:rPr>
                    <w:t xml:space="preserve">parents and other </w:t>
                  </w:r>
                  <w:r w:rsidRPr="00131F04">
                    <w:rPr>
                      <w:rFonts w:cs="Open Sans"/>
                    </w:rPr>
                    <w:t>famil</w:t>
                  </w:r>
                  <w:r w:rsidR="001D7D07">
                    <w:rPr>
                      <w:rFonts w:cs="Open Sans"/>
                    </w:rPr>
                    <w:t>y members</w:t>
                  </w:r>
                  <w:r w:rsidRPr="00131F04">
                    <w:rPr>
                      <w:rFonts w:cs="Open Sans"/>
                    </w:rPr>
                    <w:t>, are provided with adequate time to make treatment decisions, with access to necessary support, to ensure they do not feel undue pressure to consent.</w:t>
                  </w:r>
                </w:p>
              </w:tc>
            </w:tr>
            <w:tr w:rsidRPr="00131F04" w:rsidR="00725B37" w:rsidTr="00D33412" w14:paraId="73EB4668" w14:textId="77777777">
              <w:tc>
                <w:tcPr>
                  <w:tcW w:w="9072" w:type="dxa"/>
                </w:tcPr>
                <w:p w:rsidRPr="00131F04" w:rsidR="00725B37" w:rsidP="00725B37" w:rsidRDefault="00725B37" w14:paraId="198868C4" w14:textId="07194705">
                  <w:pPr>
                    <w:ind w:right="-108"/>
                    <w:rPr>
                      <w:rFonts w:cs="Open Sans"/>
                    </w:rPr>
                  </w:pPr>
                  <w:r w:rsidRPr="00131F04">
                    <w:rPr>
                      <w:rFonts w:cs="Open Sans"/>
                      <w:b/>
                      <w:bCs/>
                    </w:rPr>
                    <w:lastRenderedPageBreak/>
                    <w:t xml:space="preserve">Recommendation 4: </w:t>
                  </w:r>
                  <w:r w:rsidRPr="00131F04">
                    <w:rPr>
                      <w:rFonts w:cs="Open Sans"/>
                    </w:rPr>
                    <w:t xml:space="preserve">Medical interventions </w:t>
                  </w:r>
                  <w:r w:rsidR="00DA7394">
                    <w:rPr>
                      <w:rFonts w:cs="Open Sans"/>
                    </w:rPr>
                    <w:t>modifying</w:t>
                  </w:r>
                  <w:r w:rsidRPr="00131F04">
                    <w:rPr>
                      <w:rFonts w:cs="Open Sans"/>
                    </w:rPr>
                    <w:t xml:space="preserve"> sex characteristics of children may be conducted without personal consent only in circumstances of medical necessity. Circumstances of medical necessity exist only where all of the following factors are present:</w:t>
                  </w:r>
                </w:p>
                <w:p w:rsidRPr="00131F04" w:rsidR="00725B37" w:rsidP="00725B37" w:rsidRDefault="00725B37" w14:paraId="2127F5A8" w14:textId="60F0A97A">
                  <w:pPr>
                    <w:ind w:right="-108"/>
                    <w:rPr>
                      <w:rFonts w:cs="Open Sans"/>
                    </w:rPr>
                  </w:pPr>
                  <w:r w:rsidRPr="00131F04">
                    <w:rPr>
                      <w:rFonts w:cs="Open Sans"/>
                    </w:rPr>
                    <w:lastRenderedPageBreak/>
                    <w:t>(a) the medical intervention is required urgently to avoid serious harm</w:t>
                  </w:r>
                </w:p>
                <w:p w:rsidRPr="00131F04" w:rsidR="00725B37" w:rsidP="00725B37" w:rsidRDefault="00725B37" w14:paraId="1507E854" w14:textId="6CD75FF2">
                  <w:pPr>
                    <w:ind w:right="-108"/>
                    <w:rPr>
                      <w:rFonts w:cs="Open Sans"/>
                    </w:rPr>
                  </w:pPr>
                  <w:r w:rsidRPr="00131F04">
                    <w:rPr>
                      <w:rFonts w:cs="Open Sans"/>
                    </w:rPr>
                    <w:t>(b) the risk of harm cannot be mitigated in another less intrusive way, and intervention cannot be further delayed</w:t>
                  </w:r>
                </w:p>
                <w:p w:rsidRPr="00131F04" w:rsidR="00725B37" w:rsidP="00725B37" w:rsidRDefault="00725B37" w14:paraId="09C8B598" w14:textId="203933B0">
                  <w:pPr>
                    <w:ind w:right="-108"/>
                    <w:rPr>
                      <w:rFonts w:cs="Open Sans"/>
                    </w:rPr>
                  </w:pPr>
                  <w:r w:rsidRPr="00131F04">
                    <w:rPr>
                      <w:rFonts w:cs="Open Sans"/>
                    </w:rPr>
                    <w:t>(c) the risk of harm outweighs the significant limitation on human rights that is occasioned by medical intervention without personal consent.</w:t>
                  </w:r>
                </w:p>
              </w:tc>
            </w:tr>
            <w:tr w:rsidRPr="00131F04" w:rsidR="00725B37" w:rsidTr="00D33412" w14:paraId="5F845A85" w14:textId="77777777">
              <w:tc>
                <w:tcPr>
                  <w:tcW w:w="9072" w:type="dxa"/>
                </w:tcPr>
                <w:p w:rsidRPr="00131F04" w:rsidR="00725B37" w:rsidP="00725B37" w:rsidRDefault="00725B37" w14:paraId="43C222F1" w14:textId="7DF2D55D">
                  <w:pPr>
                    <w:ind w:right="-108"/>
                    <w:rPr>
                      <w:rFonts w:cs="Open Sans"/>
                    </w:rPr>
                  </w:pPr>
                  <w:r w:rsidRPr="00131F04">
                    <w:rPr>
                      <w:rFonts w:cs="Open Sans"/>
                      <w:b/>
                      <w:bCs/>
                    </w:rPr>
                    <w:lastRenderedPageBreak/>
                    <w:t xml:space="preserve">Recommendation 5: </w:t>
                  </w:r>
                  <w:r w:rsidRPr="00131F04">
                    <w:rPr>
                      <w:rFonts w:cs="Open Sans"/>
                    </w:rPr>
                    <w:t xml:space="preserve">All people born with variations in sex characteristics should have access to comprehensive, appropriately qualified multidisciplinary care, with input from mental health and other key professionals, and other people with variations. Care should be available across their lifespan and regardless of where they live. </w:t>
                  </w:r>
                </w:p>
                <w:p w:rsidRPr="00131F04" w:rsidR="00725B37" w:rsidP="00725B37" w:rsidRDefault="00725B37" w14:paraId="09C360AE" w14:textId="56967C49">
                  <w:pPr>
                    <w:ind w:right="-108"/>
                    <w:rPr>
                      <w:rFonts w:eastAsia="Calibri" w:cs="Open Sans"/>
                    </w:rPr>
                  </w:pPr>
                  <w:r w:rsidRPr="00131F04">
                    <w:rPr>
                      <w:rFonts w:eastAsia="Calibri" w:cs="Open Sans"/>
                      <w:b/>
                      <w:bCs/>
                    </w:rPr>
                    <w:t>Recommendation 6:</w:t>
                  </w:r>
                  <w:r w:rsidRPr="00131F04">
                    <w:rPr>
                      <w:rFonts w:eastAsia="Calibri" w:cs="Open Sans"/>
                    </w:rPr>
                    <w:t xml:space="preserve"> </w:t>
                  </w:r>
                </w:p>
                <w:p w:rsidRPr="00131F04" w:rsidR="00725B37" w:rsidP="00725B37" w:rsidRDefault="00725B37" w14:paraId="2760A09F" w14:textId="13B38181">
                  <w:pPr>
                    <w:ind w:right="-108"/>
                    <w:rPr>
                      <w:rFonts w:eastAsia="Calibri" w:cs="Open Sans"/>
                    </w:rPr>
                  </w:pPr>
                  <w:r>
                    <w:rPr>
                      <w:rFonts w:eastAsia="Calibri" w:cs="Open Sans"/>
                    </w:rPr>
                    <w:t>(</w:t>
                  </w:r>
                  <w:r w:rsidRPr="00131F04">
                    <w:rPr>
                      <w:rFonts w:eastAsia="Calibri" w:cs="Open Sans"/>
                    </w:rPr>
                    <w:t xml:space="preserve">a) The Australian Government should convene and fund a national multidisciplinary expert group to develop </w:t>
                  </w:r>
                  <w:r w:rsidRPr="00131F04">
                    <w:rPr>
                      <w:rFonts w:eastAsia="Times New Roman" w:cs="Open Sans"/>
                      <w:i/>
                      <w:iCs/>
                    </w:rPr>
                    <w:t xml:space="preserve">National Guidelines on medical interventions for people born with variations of sex characteristics </w:t>
                  </w:r>
                  <w:r w:rsidRPr="00131F04">
                    <w:rPr>
                      <w:rFonts w:eastAsia="Times New Roman" w:cs="Open Sans"/>
                    </w:rPr>
                    <w:t>(National Guidelines)</w:t>
                  </w:r>
                  <w:r w:rsidRPr="00131F04">
                    <w:rPr>
                      <w:rFonts w:eastAsia="Calibri" w:cs="Open Sans"/>
                    </w:rPr>
                    <w:t xml:space="preserve">, with input from specialist clinicians and health professional bodies, people with lived experience and their parents and carers, advocacy and peer-support groups, and human rights organisations. </w:t>
                  </w:r>
                </w:p>
                <w:p w:rsidRPr="00131F04" w:rsidR="00725B37" w:rsidP="00725B37" w:rsidRDefault="00725B37" w14:paraId="04CFDBEC" w14:textId="3035A4D3">
                  <w:pPr>
                    <w:ind w:right="-108"/>
                    <w:rPr>
                      <w:rFonts w:eastAsia="Calibri" w:cs="Open Sans"/>
                    </w:rPr>
                  </w:pPr>
                  <w:r w:rsidRPr="00131F04">
                    <w:rPr>
                      <w:rFonts w:eastAsia="Calibri" w:cs="Open Sans"/>
                    </w:rPr>
                    <w:t xml:space="preserve">(b) The National Guidelines should reflect human rights principles including in relation to medical necessity (see Recommendation 4) and the provision of adequate information for informed consent (see Recommendation 3), as well as include best practice and treatment protocols for the management of different variations in sex characteristics and reviews of existing and emerging evidence-based research. </w:t>
                  </w:r>
                </w:p>
                <w:p w:rsidRPr="00483E72" w:rsidR="00725B37" w:rsidP="00725B37" w:rsidRDefault="00725B37" w14:paraId="3E690F7F" w14:textId="2B2C12BC">
                  <w:pPr>
                    <w:ind w:right="-108"/>
                    <w:rPr>
                      <w:rFonts w:eastAsia="Calibri" w:cs="Open Sans"/>
                    </w:rPr>
                  </w:pPr>
                  <w:r w:rsidRPr="00131F04">
                    <w:rPr>
                      <w:rFonts w:eastAsia="Calibri" w:cs="Open Sans"/>
                    </w:rPr>
                    <w:t>(c) The National Guidelines</w:t>
                  </w:r>
                  <w:r w:rsidRPr="00131F04">
                    <w:rPr>
                      <w:rFonts w:eastAsia="Times New Roman" w:cs="Open Sans"/>
                      <w:i/>
                      <w:iCs/>
                    </w:rPr>
                    <w:t xml:space="preserve"> </w:t>
                  </w:r>
                  <w:r w:rsidRPr="00131F04">
                    <w:rPr>
                      <w:rFonts w:eastAsia="Calibri" w:cs="Open Sans"/>
                    </w:rPr>
                    <w:t>should be reviewed periodically, to ensure guidance is based on the best available data and evidence.</w:t>
                  </w:r>
                </w:p>
              </w:tc>
            </w:tr>
            <w:tr w:rsidRPr="00131F04" w:rsidR="00725B37" w:rsidTr="00D33412" w14:paraId="40B6ECDB" w14:textId="77777777">
              <w:tc>
                <w:tcPr>
                  <w:tcW w:w="9072" w:type="dxa"/>
                </w:tcPr>
                <w:p w:rsidRPr="00131F04" w:rsidR="00725B37" w:rsidP="00725B37" w:rsidRDefault="00725B37" w14:paraId="739182EB" w14:textId="77777777">
                  <w:pPr>
                    <w:ind w:right="-108"/>
                    <w:rPr>
                      <w:rFonts w:cs="Open Sans"/>
                      <w:b/>
                      <w:bCs/>
                    </w:rPr>
                  </w:pPr>
                  <w:r w:rsidRPr="00131F04">
                    <w:rPr>
                      <w:rFonts w:cs="Open Sans"/>
                      <w:b/>
                      <w:bCs/>
                    </w:rPr>
                    <w:t>Recommendation 7:</w:t>
                  </w:r>
                </w:p>
                <w:p w:rsidRPr="00131F04" w:rsidR="00725B37" w:rsidP="00725B37" w:rsidRDefault="00725B37" w14:paraId="30587313" w14:textId="61921CD8">
                  <w:pPr>
                    <w:ind w:right="-108"/>
                    <w:rPr>
                      <w:rFonts w:cs="Open Sans"/>
                    </w:rPr>
                  </w:pPr>
                  <w:r w:rsidRPr="00131F04">
                    <w:rPr>
                      <w:rFonts w:cs="Open Sans"/>
                    </w:rPr>
                    <w:t xml:space="preserve">(a) The Australian Government and state and territory governments should legislate to establish one or more independent panels with responsibility to </w:t>
                  </w:r>
                  <w:r w:rsidRPr="00131F04">
                    <w:rPr>
                      <w:rFonts w:cs="Open Sans"/>
                    </w:rPr>
                    <w:lastRenderedPageBreak/>
                    <w:t xml:space="preserve">decide whether to authorise medical interventions </w:t>
                  </w:r>
                  <w:r w:rsidR="00DA7394">
                    <w:rPr>
                      <w:rFonts w:cs="Open Sans"/>
                    </w:rPr>
                    <w:t>modifying</w:t>
                  </w:r>
                  <w:r w:rsidRPr="00131F04">
                    <w:rPr>
                      <w:rFonts w:cs="Open Sans"/>
                    </w:rPr>
                    <w:t xml:space="preserve"> sex characteristics of people under the age of 18 years born with variations (Independent Panels). </w:t>
                  </w:r>
                </w:p>
                <w:p w:rsidRPr="00131F04" w:rsidR="00725B37" w:rsidP="00725B37" w:rsidRDefault="00725B37" w14:paraId="4C436390" w14:textId="3B503778">
                  <w:pPr>
                    <w:ind w:right="-108"/>
                    <w:rPr>
                      <w:rFonts w:cs="Open Sans"/>
                    </w:rPr>
                  </w:pPr>
                  <w:r w:rsidRPr="00131F04">
                    <w:rPr>
                      <w:rFonts w:cs="Open Sans"/>
                    </w:rPr>
                    <w:t xml:space="preserve">(b) Whenever a clinician or clinical treatment team intends to make such a medical intervention, they should be required to apply to an Independent Panel prior to performing the intervention. </w:t>
                  </w:r>
                </w:p>
                <w:p w:rsidRPr="00483E72" w:rsidR="00725B37" w:rsidP="00725B37" w:rsidRDefault="00725B37" w14:paraId="1107F96C" w14:textId="0C049F11">
                  <w:pPr>
                    <w:ind w:right="-108"/>
                    <w:rPr>
                      <w:rFonts w:cs="Open Sans"/>
                    </w:rPr>
                  </w:pPr>
                  <w:r w:rsidRPr="00131F04">
                    <w:rPr>
                      <w:rFonts w:cs="Open Sans"/>
                    </w:rPr>
                    <w:t>(c) Independent Panels should be constituted by members with expertise that includes relevant clinical expertise, lived experience of being born with variations in sex characteristics, and human rights.</w:t>
                  </w:r>
                  <w:r w:rsidR="00483E72">
                    <w:rPr>
                      <w:rFonts w:cs="Open Sans"/>
                    </w:rPr>
                    <w:br/>
                  </w:r>
                </w:p>
                <w:p w:rsidRPr="00131F04" w:rsidR="00725B37" w:rsidP="00725B37" w:rsidRDefault="00725B37" w14:paraId="79F8504A" w14:textId="77777777">
                  <w:pPr>
                    <w:ind w:right="-108"/>
                    <w:rPr>
                      <w:rFonts w:cs="Open Sans"/>
                      <w:b/>
                      <w:bCs/>
                    </w:rPr>
                  </w:pPr>
                  <w:r w:rsidRPr="00131F04">
                    <w:rPr>
                      <w:rFonts w:cs="Open Sans"/>
                      <w:b/>
                      <w:bCs/>
                    </w:rPr>
                    <w:t xml:space="preserve">Recommendation 8: </w:t>
                  </w:r>
                </w:p>
                <w:p w:rsidRPr="00131F04" w:rsidR="00725B37" w:rsidP="00725B37" w:rsidRDefault="00725B37" w14:paraId="462D1F98" w14:textId="77777777">
                  <w:pPr>
                    <w:ind w:right="-108"/>
                    <w:rPr>
                      <w:rFonts w:cs="Open Sans"/>
                    </w:rPr>
                  </w:pPr>
                  <w:r w:rsidRPr="00131F04">
                    <w:rPr>
                      <w:rFonts w:cs="Open Sans"/>
                    </w:rPr>
                    <w:t>(a) An Independent Panel should only authorise a medical intervention for a person under the age of 18 years where it is satisfied that the person concerned either:</w:t>
                  </w:r>
                </w:p>
                <w:p w:rsidRPr="00131F04" w:rsidR="00725B37" w:rsidP="00725B37" w:rsidRDefault="00725B37" w14:paraId="4C21D5AC" w14:textId="77777777">
                  <w:pPr>
                    <w:ind w:left="321" w:right="-108"/>
                    <w:rPr>
                      <w:rFonts w:cs="Open Sans"/>
                    </w:rPr>
                  </w:pPr>
                  <w:r w:rsidRPr="00131F04">
                    <w:rPr>
                      <w:rFonts w:cs="Open Sans"/>
                    </w:rPr>
                    <w:t xml:space="preserve">      (i) has the ability to provide personal consent and has provided such consent, or</w:t>
                  </w:r>
                </w:p>
                <w:p w:rsidRPr="00131F04" w:rsidR="00725B37" w:rsidP="00725B37" w:rsidRDefault="00725B37" w14:paraId="490EFDF4" w14:textId="153421E2">
                  <w:pPr>
                    <w:ind w:left="321" w:right="-108"/>
                    <w:rPr>
                      <w:rFonts w:cs="Open Sans"/>
                    </w:rPr>
                  </w:pPr>
                  <w:r w:rsidRPr="00131F04">
                    <w:rPr>
                      <w:rFonts w:cs="Open Sans"/>
                    </w:rPr>
                    <w:t xml:space="preserve">     (ii) is not able to provide personal consent and the intervention is a medical necessity. </w:t>
                  </w:r>
                </w:p>
                <w:p w:rsidRPr="00131F04" w:rsidR="00725B37" w:rsidP="00725B37" w:rsidRDefault="00725B37" w14:paraId="5F3144A4" w14:textId="742356B4">
                  <w:pPr>
                    <w:ind w:right="-108"/>
                    <w:rPr>
                      <w:rFonts w:cs="Open Sans"/>
                    </w:rPr>
                  </w:pPr>
                  <w:r w:rsidRPr="00131F04">
                    <w:rPr>
                      <w:rFonts w:cs="Open Sans"/>
                    </w:rPr>
                    <w:t>(b) In rare emergency situations, where there would be a real risk of serious and irreparable harm to the person if the intervention were not carried out immediately, the Independent Panel should have an expedited process to consider the request for authorisation. Only where this still does not provide enough time to address the emergency, should an intervention proceed without authorisation. In those circumstances the relevant Independent Panel must be notified promptly following the conduct of the medical intervention.</w:t>
                  </w:r>
                </w:p>
                <w:p w:rsidRPr="00131F04" w:rsidR="00725B37" w:rsidP="00725B37" w:rsidRDefault="00725B37" w14:paraId="63800118" w14:textId="6B389119">
                  <w:pPr>
                    <w:ind w:right="-108"/>
                    <w:rPr>
                      <w:rFonts w:cs="Open Sans"/>
                      <w:b/>
                      <w:bCs/>
                    </w:rPr>
                  </w:pPr>
                  <w:r w:rsidRPr="00131F04">
                    <w:rPr>
                      <w:rFonts w:cs="Open Sans"/>
                    </w:rPr>
                    <w:t xml:space="preserve">(c)  Independent Panels, in determining whether a medical intervention is authorised, should be informed by the </w:t>
                  </w:r>
                  <w:r w:rsidRPr="00131F04">
                    <w:rPr>
                      <w:rFonts w:eastAsia="Times New Roman" w:cs="Open Sans"/>
                      <w:i/>
                      <w:iCs/>
                    </w:rPr>
                    <w:t xml:space="preserve">National Guidelines on medical interventions for people born with variations of sex characteristics. </w:t>
                  </w:r>
                </w:p>
              </w:tc>
            </w:tr>
            <w:tr w:rsidRPr="00131F04" w:rsidR="00725B37" w:rsidTr="00D33412" w14:paraId="7121EBAE" w14:textId="77777777">
              <w:tc>
                <w:tcPr>
                  <w:tcW w:w="9072" w:type="dxa"/>
                </w:tcPr>
                <w:p w:rsidRPr="0067389B" w:rsidR="00725B37" w:rsidP="00725B37" w:rsidRDefault="00725B37" w14:paraId="32FEB992" w14:textId="2310097B">
                  <w:pPr>
                    <w:ind w:right="-108"/>
                    <w:rPr>
                      <w:rFonts w:cs="Open Sans"/>
                    </w:rPr>
                  </w:pPr>
                  <w:r w:rsidRPr="00131F04">
                    <w:rPr>
                      <w:rFonts w:cs="Open Sans"/>
                      <w:b/>
                      <w:bCs/>
                    </w:rPr>
                    <w:lastRenderedPageBreak/>
                    <w:t xml:space="preserve">Recommendation 9: </w:t>
                  </w:r>
                  <w:r w:rsidRPr="00131F04">
                    <w:rPr>
                      <w:rFonts w:cs="Open Sans"/>
                    </w:rPr>
                    <w:t xml:space="preserve">The Australian Government and state and territory governments should legislate to prohibit medical interventions for people born with variations in sex characteristics otherwise than in accordance with Recommendations 7 </w:t>
                  </w:r>
                  <w:r w:rsidR="000F04B3">
                    <w:rPr>
                      <w:rFonts w:cs="Open Sans"/>
                    </w:rPr>
                    <w:t>and</w:t>
                  </w:r>
                  <w:r w:rsidRPr="00131F04">
                    <w:rPr>
                      <w:rFonts w:cs="Open Sans"/>
                    </w:rPr>
                    <w:t xml:space="preserve"> 8. There should be appropriate criminal penalties for breaching this legislative prohibition. </w:t>
                  </w:r>
                </w:p>
              </w:tc>
            </w:tr>
            <w:tr w:rsidRPr="00131F04" w:rsidR="00725B37" w:rsidTr="00D33412" w14:paraId="6FB5634D" w14:textId="77777777">
              <w:tc>
                <w:tcPr>
                  <w:tcW w:w="9072" w:type="dxa"/>
                </w:tcPr>
                <w:p w:rsidRPr="00131F04" w:rsidR="00725B37" w:rsidP="00725B37" w:rsidRDefault="00725B37" w14:paraId="3D5B63A7" w14:textId="77777777">
                  <w:pPr>
                    <w:spacing w:after="160" w:line="254" w:lineRule="auto"/>
                    <w:ind w:right="-108"/>
                    <w:rPr>
                      <w:rFonts w:cs="Open Sans"/>
                      <w:color w:val="000000"/>
                    </w:rPr>
                  </w:pPr>
                  <w:r w:rsidRPr="00131F04">
                    <w:rPr>
                      <w:rFonts w:cs="Open Sans"/>
                      <w:b/>
                      <w:bCs/>
                      <w:color w:val="000000" w:themeColor="text1"/>
                    </w:rPr>
                    <w:t xml:space="preserve">Recommendation 10: </w:t>
                  </w:r>
                  <w:r w:rsidRPr="00131F04">
                    <w:rPr>
                      <w:rFonts w:cs="Open Sans"/>
                      <w:color w:val="000000" w:themeColor="text1"/>
                    </w:rPr>
                    <w:t>The Australian Government and state and territory governments should provide sufficient public funding for: </w:t>
                  </w:r>
                </w:p>
                <w:p w:rsidRPr="00131F04" w:rsidR="00725B37" w:rsidP="00725B37" w:rsidRDefault="00725B37" w14:paraId="760AD7CE" w14:textId="77777777">
                  <w:pPr>
                    <w:spacing w:after="160" w:line="254" w:lineRule="auto"/>
                    <w:ind w:right="-108"/>
                    <w:rPr>
                      <w:rFonts w:cs="Open Sans"/>
                      <w:color w:val="000000"/>
                    </w:rPr>
                  </w:pPr>
                  <w:r w:rsidRPr="00131F04">
                    <w:rPr>
                      <w:rFonts w:cs="Open Sans"/>
                      <w:color w:val="000000" w:themeColor="text1"/>
                    </w:rPr>
                    <w:t>(a) sustainable operation of advocacy and</w:t>
                  </w:r>
                  <w:r w:rsidRPr="00131F04">
                    <w:rPr>
                      <w:rFonts w:cs="Open Sans"/>
                      <w:color w:val="000000"/>
                    </w:rPr>
                    <w:t xml:space="preserve"> </w:t>
                  </w:r>
                  <w:r w:rsidRPr="00131F04">
                    <w:rPr>
                      <w:rFonts w:cs="Open Sans"/>
                      <w:color w:val="000000" w:themeColor="text1"/>
                    </w:rPr>
                    <w:t>peer support organisations </w:t>
                  </w:r>
                  <w:r w:rsidRPr="00131F04">
                    <w:rPr>
                      <w:rFonts w:cs="Open Sans"/>
                      <w:color w:val="000000"/>
                    </w:rPr>
                    <w:t>led by people born with variations of sex characteristics</w:t>
                  </w:r>
                </w:p>
                <w:p w:rsidRPr="00131F04" w:rsidR="00725B37" w:rsidP="00725B37" w:rsidRDefault="00725B37" w14:paraId="1905E762" w14:textId="48EE4A46">
                  <w:pPr>
                    <w:spacing w:after="160" w:line="254" w:lineRule="auto"/>
                    <w:ind w:right="-108"/>
                    <w:rPr>
                      <w:rFonts w:cs="Open Sans"/>
                      <w:color w:val="000000"/>
                    </w:rPr>
                  </w:pPr>
                  <w:r w:rsidRPr="00131F04">
                    <w:rPr>
                      <w:rFonts w:cs="Open Sans"/>
                      <w:color w:val="000000" w:themeColor="text1"/>
                    </w:rPr>
                    <w:t>(b) comprehensive psychological and psychiatric health services,</w:t>
                  </w:r>
                  <w:r w:rsidRPr="00131F04">
                    <w:t xml:space="preserve"> </w:t>
                  </w:r>
                  <w:r w:rsidRPr="00131F04">
                    <w:rPr>
                      <w:rFonts w:cs="Open Sans"/>
                      <w:color w:val="000000" w:themeColor="text1"/>
                    </w:rPr>
                    <w:t>for people born with variations of sex characteristics</w:t>
                  </w:r>
                  <w:r w:rsidR="00D5721A">
                    <w:rPr>
                      <w:rFonts w:cs="Open Sans"/>
                      <w:color w:val="000000" w:themeColor="text1"/>
                    </w:rPr>
                    <w:t xml:space="preserve">, </w:t>
                  </w:r>
                  <w:r w:rsidR="007C1F76">
                    <w:rPr>
                      <w:rFonts w:cs="Open Sans"/>
                      <w:color w:val="000000" w:themeColor="text1"/>
                    </w:rPr>
                    <w:t xml:space="preserve">their </w:t>
                  </w:r>
                  <w:r w:rsidR="00D5721A">
                    <w:rPr>
                      <w:rFonts w:cs="Open Sans"/>
                      <w:color w:val="000000" w:themeColor="text1"/>
                    </w:rPr>
                    <w:t>parents</w:t>
                  </w:r>
                  <w:r w:rsidRPr="00131F04">
                    <w:rPr>
                      <w:rFonts w:cs="Open Sans"/>
                      <w:color w:val="000000" w:themeColor="text1"/>
                    </w:rPr>
                    <w:t xml:space="preserve"> and </w:t>
                  </w:r>
                  <w:r w:rsidR="00D9732D">
                    <w:rPr>
                      <w:rFonts w:cs="Open Sans"/>
                      <w:color w:val="000000" w:themeColor="text1"/>
                    </w:rPr>
                    <w:t>other</w:t>
                  </w:r>
                  <w:r w:rsidRPr="00131F04" w:rsidR="00D9732D">
                    <w:rPr>
                      <w:rFonts w:cs="Open Sans"/>
                      <w:color w:val="000000" w:themeColor="text1"/>
                    </w:rPr>
                    <w:t xml:space="preserve"> </w:t>
                  </w:r>
                  <w:r w:rsidRPr="00131F04">
                    <w:rPr>
                      <w:rFonts w:cs="Open Sans"/>
                      <w:color w:val="000000" w:themeColor="text1"/>
                    </w:rPr>
                    <w:t>famil</w:t>
                  </w:r>
                  <w:r w:rsidR="00D9732D">
                    <w:rPr>
                      <w:rFonts w:cs="Open Sans"/>
                      <w:color w:val="000000" w:themeColor="text1"/>
                    </w:rPr>
                    <w:t>y members</w:t>
                  </w:r>
                  <w:r w:rsidRPr="00131F04">
                    <w:rPr>
                      <w:rFonts w:cs="Open Sans"/>
                      <w:color w:val="000000" w:themeColor="text1"/>
                    </w:rPr>
                    <w:t xml:space="preserve">  </w:t>
                  </w:r>
                </w:p>
                <w:p w:rsidRPr="00131F04" w:rsidR="00725B37" w:rsidP="00725B37" w:rsidRDefault="00725B37" w14:paraId="128A63A9" w14:textId="77777777">
                  <w:pPr>
                    <w:spacing w:after="160" w:line="254" w:lineRule="auto"/>
                    <w:ind w:right="-108"/>
                    <w:rPr>
                      <w:rFonts w:cs="Open Sans"/>
                      <w:color w:val="000000"/>
                    </w:rPr>
                  </w:pPr>
                  <w:r w:rsidRPr="00131F04">
                    <w:rPr>
                      <w:rFonts w:cs="Open Sans"/>
                      <w:color w:val="000000" w:themeColor="text1"/>
                    </w:rPr>
                    <w:t>(c) improved access to peer support and health services, including online and by telephone</w:t>
                  </w:r>
                </w:p>
                <w:p w:rsidRPr="00131F04" w:rsidR="00725B37" w:rsidP="00725B37" w:rsidRDefault="00725B37" w14:paraId="3433BF17" w14:textId="4DD4EB01">
                  <w:pPr>
                    <w:spacing w:after="160" w:line="254" w:lineRule="auto"/>
                    <w:ind w:right="-108"/>
                    <w:rPr>
                      <w:rFonts w:cs="Open Sans"/>
                      <w:color w:val="000000"/>
                    </w:rPr>
                  </w:pPr>
                  <w:r w:rsidRPr="00131F04">
                    <w:rPr>
                      <w:rFonts w:cs="Open Sans"/>
                      <w:color w:val="000000" w:themeColor="text1"/>
                    </w:rPr>
                    <w:t>(d) comprehen</w:t>
                  </w:r>
                  <w:r w:rsidRPr="00FD0D65">
                    <w:rPr>
                      <w:rFonts w:cs="Open Sans"/>
                      <w:color w:val="000000" w:themeColor="text1"/>
                    </w:rPr>
                    <w:t xml:space="preserve">sive and up-to-date consumer resources </w:t>
                  </w:r>
                  <w:r w:rsidRPr="00FD0D65" w:rsidR="00FD0D65">
                    <w:rPr>
                      <w:rFonts w:cs="Open Sans"/>
                      <w:color w:val="000000" w:themeColor="text1"/>
                    </w:rPr>
                    <w:t xml:space="preserve">for </w:t>
                  </w:r>
                  <w:r w:rsidR="005464A4">
                    <w:rPr>
                      <w:rFonts w:cs="Open Sans"/>
                      <w:color w:val="000000" w:themeColor="text1"/>
                    </w:rPr>
                    <w:t xml:space="preserve">people born with variations in sex characteristics, their </w:t>
                  </w:r>
                  <w:r w:rsidRPr="00FD0D65" w:rsidR="00FD0D65">
                    <w:t>parents and other family members</w:t>
                  </w:r>
                  <w:r w:rsidR="00FD0D65">
                    <w:rPr>
                      <w:b/>
                      <w:bCs/>
                    </w:rPr>
                    <w:t xml:space="preserve"> </w:t>
                  </w:r>
                  <w:r w:rsidRPr="00131F04">
                    <w:rPr>
                      <w:rFonts w:cs="Open Sans"/>
                      <w:color w:val="000000" w:themeColor="text1"/>
                    </w:rPr>
                    <w:t>informed by clinical, peer support and human rights expert</w:t>
                  </w:r>
                  <w:r w:rsidR="00FD0D65">
                    <w:rPr>
                      <w:rFonts w:cs="Open Sans"/>
                      <w:color w:val="000000" w:themeColor="text1"/>
                    </w:rPr>
                    <w:t>s</w:t>
                  </w:r>
                  <w:r w:rsidR="00C2447C">
                    <w:rPr>
                      <w:rFonts w:cs="Open Sans"/>
                      <w:color w:val="000000" w:themeColor="text1"/>
                    </w:rPr>
                    <w:t>.</w:t>
                  </w:r>
                  <w:r w:rsidR="00FC2CCF">
                    <w:rPr>
                      <w:rFonts w:cs="Open Sans"/>
                      <w:color w:val="000000" w:themeColor="text1"/>
                    </w:rPr>
                    <w:br/>
                  </w:r>
                  <w:r w:rsidR="00FC2CCF">
                    <w:rPr>
                      <w:rFonts w:cs="Open Sans"/>
                      <w:color w:val="000000" w:themeColor="text1"/>
                    </w:rPr>
                    <w:br/>
                  </w:r>
                  <w:r w:rsidRPr="00131F04">
                    <w:rPr>
                      <w:rFonts w:cs="Open Sans"/>
                      <w:color w:val="000000" w:themeColor="text1"/>
                    </w:rPr>
                    <w:t>The Australian Government and state and territory governments should also consult on establishing and funding coordinator positions to integrate care across multiple specialties and institutions. </w:t>
                  </w:r>
                </w:p>
                <w:p w:rsidRPr="00131F04" w:rsidR="00725B37" w:rsidP="00725B37" w:rsidRDefault="00725B37" w14:paraId="40369C63" w14:textId="77777777">
                  <w:pPr>
                    <w:spacing w:after="160" w:line="254" w:lineRule="auto"/>
                    <w:ind w:right="-108"/>
                    <w:rPr>
                      <w:rFonts w:cs="Open Sans"/>
                      <w:color w:val="000000"/>
                    </w:rPr>
                  </w:pPr>
                  <w:r w:rsidRPr="00131F04">
                    <w:rPr>
                      <w:rFonts w:cs="Open Sans"/>
                      <w:b/>
                      <w:bCs/>
                      <w:color w:val="000000" w:themeColor="text1"/>
                    </w:rPr>
                    <w:t xml:space="preserve">Recommendation 11: </w:t>
                  </w:r>
                  <w:r w:rsidRPr="00131F04">
                    <w:rPr>
                      <w:rFonts w:cs="Open Sans"/>
                      <w:color w:val="000000" w:themeColor="text1"/>
                    </w:rPr>
                    <w:t>The Australian Government should facilitate the establishment of a national databank to assist research on: </w:t>
                  </w:r>
                </w:p>
                <w:p w:rsidRPr="00131F04" w:rsidR="00725B37" w:rsidP="00725B37" w:rsidRDefault="00725B37" w14:paraId="0A1A634D" w14:textId="77777777">
                  <w:pPr>
                    <w:spacing w:after="160" w:line="254" w:lineRule="auto"/>
                    <w:ind w:right="-108"/>
                    <w:rPr>
                      <w:rFonts w:cs="Open Sans"/>
                      <w:color w:val="000000"/>
                    </w:rPr>
                  </w:pPr>
                  <w:r w:rsidRPr="00131F04">
                    <w:rPr>
                      <w:rFonts w:cs="Open Sans"/>
                      <w:color w:val="000000" w:themeColor="text1"/>
                    </w:rPr>
                    <w:t>(a) the frequency of variations in sex characteristics, including specific variations  </w:t>
                  </w:r>
                </w:p>
                <w:p w:rsidRPr="00131F04" w:rsidR="00725B37" w:rsidP="00725B37" w:rsidRDefault="00725B37" w14:paraId="31603294" w14:textId="77777777">
                  <w:pPr>
                    <w:spacing w:after="160" w:line="254" w:lineRule="auto"/>
                    <w:ind w:right="-108"/>
                    <w:rPr>
                      <w:rFonts w:cs="Open Sans"/>
                      <w:color w:val="000000"/>
                    </w:rPr>
                  </w:pPr>
                  <w:r w:rsidRPr="00131F04">
                    <w:rPr>
                      <w:rFonts w:cs="Open Sans"/>
                      <w:color w:val="000000" w:themeColor="text1"/>
                    </w:rPr>
                    <w:t>(b) the short-, medium- and long-term effects of medical interventions and non-intervention.</w:t>
                  </w:r>
                </w:p>
                <w:p w:rsidRPr="00131F04" w:rsidR="00725B37" w:rsidP="00725B37" w:rsidRDefault="00725B37" w14:paraId="528114AE" w14:textId="77777777">
                  <w:pPr>
                    <w:spacing w:after="160" w:line="254" w:lineRule="auto"/>
                    <w:ind w:right="-108"/>
                    <w:rPr>
                      <w:rFonts w:cs="Open Sans"/>
                      <w:color w:val="000000"/>
                    </w:rPr>
                  </w:pPr>
                  <w:r w:rsidRPr="00131F04">
                    <w:rPr>
                      <w:rFonts w:cs="Open Sans"/>
                      <w:b/>
                      <w:bCs/>
                      <w:color w:val="000000" w:themeColor="text1"/>
                    </w:rPr>
                    <w:lastRenderedPageBreak/>
                    <w:t xml:space="preserve">Recommendation 12: </w:t>
                  </w:r>
                  <w:r w:rsidRPr="00131F04">
                    <w:rPr>
                      <w:rFonts w:cs="Open Sans"/>
                      <w:color w:val="000000" w:themeColor="text1"/>
                    </w:rPr>
                    <w:t>The</w:t>
                  </w:r>
                  <w:r w:rsidRPr="00131F04">
                    <w:rPr>
                      <w:rFonts w:ascii="Calibri" w:hAnsi="Calibri" w:eastAsia="Times New Roman" w:cs="Calibri"/>
                    </w:rPr>
                    <w:t xml:space="preserve"> </w:t>
                  </w:r>
                  <w:r w:rsidRPr="00131F04">
                    <w:rPr>
                      <w:rFonts w:cs="Open Sans"/>
                      <w:color w:val="000000" w:themeColor="text1"/>
                    </w:rPr>
                    <w:t>Australian Government and state and territory governments should fund and facilitate collaborative research, co-designed by community organisations led by people born with variations of sex characteristics, including:</w:t>
                  </w:r>
                </w:p>
                <w:p w:rsidRPr="00131F04" w:rsidR="00725B37" w:rsidP="00725B37" w:rsidRDefault="00725B37" w14:paraId="3D034AE7" w14:textId="77777777">
                  <w:pPr>
                    <w:spacing w:after="160" w:line="254" w:lineRule="auto"/>
                    <w:ind w:right="-108"/>
                    <w:rPr>
                      <w:rFonts w:cs="Open Sans"/>
                      <w:color w:val="000000"/>
                    </w:rPr>
                  </w:pPr>
                  <w:r w:rsidRPr="00131F04">
                    <w:rPr>
                      <w:rFonts w:cs="Open Sans"/>
                      <w:color w:val="000000" w:themeColor="text1"/>
                    </w:rPr>
                    <w:t>(a) medical, psychological, health and wellbeing research, across the lifespan, that affirms human rights norms and helps people born with variations of sex characteristics to flourish</w:t>
                  </w:r>
                </w:p>
                <w:p w:rsidRPr="00131F04" w:rsidR="00725B37" w:rsidP="00725B37" w:rsidRDefault="00725B37" w14:paraId="425D44C7" w14:textId="77777777">
                  <w:pPr>
                    <w:spacing w:after="160" w:line="254" w:lineRule="auto"/>
                    <w:ind w:right="-108"/>
                    <w:rPr>
                      <w:rFonts w:cs="Open Sans"/>
                      <w:color w:val="000000"/>
                    </w:rPr>
                  </w:pPr>
                  <w:r w:rsidRPr="00131F04">
                    <w:rPr>
                      <w:rFonts w:cs="Open Sans"/>
                      <w:color w:val="000000" w:themeColor="text1"/>
                    </w:rPr>
                    <w:t>(b) socio-economic factors that put people born with variations in sex characteristics that risk leading to stigma and disadvantage, including emerging issues such as social exclusion in schooling and employment.</w:t>
                  </w:r>
                </w:p>
                <w:p w:rsidRPr="00131F04" w:rsidR="00725B37" w:rsidP="00725B37" w:rsidRDefault="00725B37" w14:paraId="0F245D5D" w14:textId="7BB10E1C">
                  <w:pPr>
                    <w:spacing w:after="160" w:line="254" w:lineRule="auto"/>
                    <w:ind w:right="-108"/>
                    <w:rPr>
                      <w:rFonts w:cs="Open Sans"/>
                      <w:color w:val="000000"/>
                    </w:rPr>
                  </w:pPr>
                  <w:r w:rsidRPr="00131F04">
                    <w:rPr>
                      <w:rFonts w:cs="Open Sans"/>
                      <w:color w:val="000000" w:themeColor="text1"/>
                    </w:rPr>
                    <w:t xml:space="preserve">(c) any research that investigates the circumstances and needs of all sexual and gender minorities should disaggregate data on people born with variations of sex characteristics. </w:t>
                  </w:r>
                </w:p>
                <w:p w:rsidRPr="00131F04" w:rsidR="00725B37" w:rsidP="00725B37" w:rsidRDefault="00725B37" w14:paraId="011E6ED0" w14:textId="77777777">
                  <w:pPr>
                    <w:spacing w:after="160" w:line="254" w:lineRule="auto"/>
                    <w:ind w:right="-108"/>
                    <w:rPr>
                      <w:rFonts w:cs="Open Sans"/>
                      <w:color w:val="000000"/>
                    </w:rPr>
                  </w:pPr>
                </w:p>
                <w:p w:rsidRPr="00131F04" w:rsidR="00725B37" w:rsidP="00725B37" w:rsidRDefault="00725B37" w14:paraId="078DD39E" w14:textId="77777777">
                  <w:pPr>
                    <w:spacing w:after="160" w:line="254" w:lineRule="auto"/>
                    <w:ind w:right="-108"/>
                    <w:rPr>
                      <w:rFonts w:cs="Open Sans"/>
                      <w:color w:val="000000"/>
                    </w:rPr>
                  </w:pPr>
                </w:p>
                <w:p w:rsidRPr="00131F04" w:rsidR="00725B37" w:rsidP="00725B37" w:rsidRDefault="00725B37" w14:paraId="66FC14C3" w14:textId="77777777">
                  <w:pPr>
                    <w:ind w:right="-108"/>
                    <w:rPr>
                      <w:rFonts w:cs="Open Sans"/>
                    </w:rPr>
                  </w:pPr>
                </w:p>
              </w:tc>
            </w:tr>
          </w:tbl>
          <w:p w:rsidRPr="00A4039E" w:rsidR="00725B37" w:rsidP="00725B37" w:rsidRDefault="00725B37" w14:paraId="721D4BA5" w14:textId="1CAF7D0E">
            <w:pPr>
              <w:ind w:right="-108"/>
              <w:rPr>
                <w:rFonts w:cs="Open Sans"/>
              </w:rPr>
            </w:pPr>
            <w:r w:rsidRPr="00131F04">
              <w:rPr>
                <w:rFonts w:cs="Open Sans"/>
              </w:rPr>
              <w:lastRenderedPageBreak/>
              <w:br w:type="textWrapping" w:clear="all"/>
            </w:r>
          </w:p>
        </w:tc>
      </w:tr>
      <w:tr w:rsidRPr="00801B19" w:rsidR="00725B37" w:rsidTr="00725B37" w14:paraId="7219A269" w14:textId="77777777">
        <w:tc>
          <w:tcPr>
            <w:tcW w:w="9288" w:type="dxa"/>
          </w:tcPr>
          <w:p w:rsidRPr="00801B19" w:rsidR="00725B37" w:rsidP="00725B37" w:rsidRDefault="00725B37" w14:paraId="44CC710C" w14:textId="6137AE53">
            <w:pPr>
              <w:ind w:right="-108"/>
              <w:rPr>
                <w:rFonts w:cs="Open Sans"/>
                <w:b/>
                <w:bCs/>
              </w:rPr>
            </w:pPr>
          </w:p>
        </w:tc>
      </w:tr>
    </w:tbl>
    <w:p w:rsidR="00A12F22" w:rsidRDefault="00A12F22" w14:paraId="4B7C77E1" w14:textId="77777777">
      <w:pPr>
        <w:spacing w:before="0" w:after="0"/>
        <w:rPr>
          <w:b/>
          <w:bCs/>
          <w:sz w:val="36"/>
          <w:szCs w:val="28"/>
        </w:rPr>
      </w:pPr>
      <w:r>
        <w:br w:type="page"/>
      </w:r>
    </w:p>
    <w:p w:rsidR="00F737A2" w:rsidP="00DA6168" w:rsidRDefault="00F737A2" w14:paraId="78645D82" w14:textId="77777777">
      <w:pPr>
        <w:pStyle w:val="AHRCHeading1"/>
        <w:numPr>
          <w:ilvl w:val="0"/>
          <w:numId w:val="0"/>
        </w:numPr>
      </w:pPr>
    </w:p>
    <w:p w:rsidR="001F7794" w:rsidP="001F7794" w:rsidRDefault="001F7794" w14:paraId="3E16941D" w14:textId="02586EF4">
      <w:pPr>
        <w:pStyle w:val="AHRCHeading1"/>
      </w:pPr>
      <w:bookmarkStart w:name="_Toc85541369" w:id="6"/>
      <w:r>
        <w:t>Executive Summary</w:t>
      </w:r>
      <w:bookmarkEnd w:id="6"/>
    </w:p>
    <w:p w:rsidR="006D1CB7" w:rsidP="001F7794" w:rsidRDefault="006D1CB7" w14:paraId="69ED3193" w14:textId="0BCC77A4">
      <w:pPr>
        <w:pStyle w:val="AHRCHeading2"/>
      </w:pPr>
      <w:bookmarkStart w:name="_Toc85541370" w:id="7"/>
      <w:r>
        <w:t>Towards a human rights approach for people born with variations in sex characteristics</w:t>
      </w:r>
      <w:bookmarkEnd w:id="0"/>
      <w:bookmarkEnd w:id="7"/>
    </w:p>
    <w:p w:rsidRPr="00E152C5" w:rsidR="003F7DF5" w:rsidP="006D1CB7" w:rsidRDefault="009244BB" w14:paraId="52D38585" w14:textId="3A8E7356">
      <w:pPr>
        <w:rPr>
          <w:rFonts w:ascii="Calibri" w:hAnsi="Calibri" w:eastAsia="Times New Roman"/>
          <w:sz w:val="22"/>
          <w:szCs w:val="22"/>
        </w:rPr>
      </w:pPr>
      <w:r>
        <w:rPr>
          <w:rFonts w:eastAsia="Times New Roman"/>
          <w:i/>
          <w:iCs/>
        </w:rPr>
        <w:t>“</w:t>
      </w:r>
      <w:r w:rsidRPr="00E152C5" w:rsidR="003F7DF5">
        <w:rPr>
          <w:rFonts w:eastAsia="Times New Roman"/>
          <w:i/>
          <w:iCs/>
        </w:rPr>
        <w:t>The effects of having the reali</w:t>
      </w:r>
      <w:r w:rsidR="00EE69C3">
        <w:rPr>
          <w:rFonts w:eastAsia="Times New Roman"/>
          <w:i/>
          <w:iCs/>
        </w:rPr>
        <w:t>s</w:t>
      </w:r>
      <w:r w:rsidRPr="00E152C5" w:rsidR="003F7DF5">
        <w:rPr>
          <w:rFonts w:eastAsia="Times New Roman"/>
          <w:i/>
          <w:iCs/>
        </w:rPr>
        <w:t>ation that my body was at the whim of others is a reali</w:t>
      </w:r>
      <w:r>
        <w:rPr>
          <w:rFonts w:eastAsia="Times New Roman"/>
          <w:i/>
          <w:iCs/>
        </w:rPr>
        <w:t>s</w:t>
      </w:r>
      <w:r w:rsidRPr="00E152C5" w:rsidR="003F7DF5">
        <w:rPr>
          <w:rFonts w:eastAsia="Times New Roman"/>
          <w:i/>
          <w:iCs/>
        </w:rPr>
        <w:t>ation of the gross indifference in power and this has led to me being diagnosed with Post Traumatic Stress Disorder and impacts on my ability to form relationships and gel with society</w:t>
      </w:r>
      <w:r>
        <w:rPr>
          <w:rFonts w:eastAsia="Times New Roman"/>
          <w:i/>
          <w:iCs/>
        </w:rPr>
        <w:t>”</w:t>
      </w:r>
      <w:r w:rsidRPr="00E152C5" w:rsidR="003F7DF5">
        <w:rPr>
          <w:rFonts w:eastAsia="Times New Roman"/>
          <w:i/>
          <w:iCs/>
        </w:rPr>
        <w:t>.</w:t>
      </w:r>
      <w:r w:rsidRPr="00375EDB" w:rsidR="00AF61DF">
        <w:rPr>
          <w:rStyle w:val="EndnoteReference"/>
          <w:rFonts w:eastAsia="Times New Roman"/>
        </w:rPr>
        <w:endnoteReference w:id="2"/>
      </w:r>
    </w:p>
    <w:p w:rsidRPr="00B03457" w:rsidR="006D1CB7" w:rsidP="006D1CB7" w:rsidRDefault="006D1CB7" w14:paraId="4B93C924" w14:textId="37F736CB">
      <w:pPr>
        <w:rPr>
          <w:rFonts w:cs="Open Sans"/>
        </w:rPr>
      </w:pPr>
      <w:r w:rsidRPr="00B03457">
        <w:rPr>
          <w:rFonts w:cs="Open Sans"/>
        </w:rPr>
        <w:t xml:space="preserve">People born with variations in sex characteristics in Australia have increasingly raised concerns with the Australian Human Rights Commission </w:t>
      </w:r>
      <w:r>
        <w:rPr>
          <w:rFonts w:cs="Open Sans"/>
        </w:rPr>
        <w:t xml:space="preserve">(the </w:t>
      </w:r>
      <w:r w:rsidRPr="00B03457">
        <w:rPr>
          <w:rFonts w:cs="Open Sans"/>
        </w:rPr>
        <w:t>Commission</w:t>
      </w:r>
      <w:r>
        <w:rPr>
          <w:rFonts w:cs="Open Sans"/>
        </w:rPr>
        <w:t>)</w:t>
      </w:r>
      <w:r w:rsidRPr="00B03457">
        <w:rPr>
          <w:rFonts w:cs="Open Sans"/>
        </w:rPr>
        <w:t xml:space="preserve">, the Australian Government and the United Nations, </w:t>
      </w:r>
      <w:r w:rsidRPr="00B03457">
        <w:rPr>
          <w:rFonts w:eastAsia="Open Sans" w:cs="Open Sans"/>
        </w:rPr>
        <w:t>about human rights violations</w:t>
      </w:r>
      <w:r w:rsidRPr="00B03457">
        <w:rPr>
          <w:rFonts w:cs="Open Sans"/>
        </w:rPr>
        <w:t xml:space="preserve"> in relation to medical interventions conducted without the full and informed consent of the person involved. These </w:t>
      </w:r>
      <w:r w:rsidR="00A92916">
        <w:rPr>
          <w:rFonts w:cs="Open Sans"/>
        </w:rPr>
        <w:t>interventions</w:t>
      </w:r>
      <w:r w:rsidRPr="00B03457">
        <w:rPr>
          <w:rFonts w:cs="Open Sans"/>
        </w:rPr>
        <w:t xml:space="preserve"> are of particular concern in relation to infants and children.</w:t>
      </w:r>
      <w:r w:rsidRPr="0117CC5D">
        <w:rPr>
          <w:rStyle w:val="EndnoteReference"/>
        </w:rPr>
        <w:endnoteReference w:id="3"/>
      </w:r>
    </w:p>
    <w:p w:rsidR="006D1CB7" w:rsidP="006D1CB7" w:rsidRDefault="006D1CB7" w14:paraId="7F984F3A" w14:textId="77777777">
      <w:pPr>
        <w:rPr>
          <w:rFonts w:cs="Open Sans"/>
        </w:rPr>
      </w:pPr>
      <w:r w:rsidRPr="00B03457">
        <w:rPr>
          <w:rFonts w:cs="Open Sans"/>
        </w:rPr>
        <w:t>This Report provides recommendations for how Australia should protect and promote the human rights of people born with variations in sex characteristics in the context of medical interventions to modify these characteristics.</w:t>
      </w:r>
      <w:r>
        <w:rPr>
          <w:rFonts w:cs="Open Sans"/>
        </w:rPr>
        <w:t xml:space="preserve"> </w:t>
      </w:r>
    </w:p>
    <w:p w:rsidR="006D1CB7" w:rsidP="2B74C02E" w:rsidRDefault="006D1CB7" w14:paraId="139D3386" w14:textId="5E0E2BB2">
      <w:pPr>
        <w:rPr>
          <w:rFonts w:cs="Open Sans"/>
        </w:rPr>
      </w:pPr>
      <w:r w:rsidRPr="2DDBDD12">
        <w:rPr>
          <w:rFonts w:cs="Open Sans"/>
        </w:rPr>
        <w:t xml:space="preserve">These recommendations are framed by principles derived from international human rights law. </w:t>
      </w:r>
    </w:p>
    <w:p w:rsidR="006D1CB7" w:rsidP="006D1CB7" w:rsidRDefault="5F8D16A0" w14:paraId="62F1C314" w14:textId="6F0A9118">
      <w:r>
        <w:t>Applying a human rights analysis to medical interventions in relation to people born with variations in sex characteristics has three principal benefits</w:t>
      </w:r>
      <w:r w:rsidR="00A75E93">
        <w:t>:</w:t>
      </w:r>
      <w:r>
        <w:t xml:space="preserve"> </w:t>
      </w:r>
    </w:p>
    <w:p w:rsidR="006D1CB7" w:rsidP="27D8745B" w:rsidRDefault="5F8D16A0" w14:paraId="58F67A72" w14:textId="77777777">
      <w:pPr>
        <w:pStyle w:val="ListParagraph"/>
        <w:numPr>
          <w:ilvl w:val="0"/>
          <w:numId w:val="30"/>
        </w:numPr>
      </w:pPr>
      <w:r>
        <w:t>it promotes compliance with international and domestic law</w:t>
      </w:r>
    </w:p>
    <w:p w:rsidR="006D1CB7" w:rsidP="27D8745B" w:rsidRDefault="5F8D16A0" w14:paraId="52BB6748" w14:textId="77777777">
      <w:pPr>
        <w:pStyle w:val="ListParagraph"/>
        <w:numPr>
          <w:ilvl w:val="0"/>
          <w:numId w:val="30"/>
        </w:numPr>
      </w:pPr>
      <w:r>
        <w:t>the human rights framework provides a near-universal set of norms by which to answer questions regarding medical interventions in relation to people born with variations in sex characteristics</w:t>
      </w:r>
    </w:p>
    <w:p w:rsidR="006D1CB7" w:rsidP="27D8745B" w:rsidRDefault="5F8D16A0" w14:paraId="6331BE37" w14:textId="6C196FD9">
      <w:pPr>
        <w:pStyle w:val="ListParagraph"/>
        <w:numPr>
          <w:ilvl w:val="0"/>
          <w:numId w:val="30"/>
        </w:numPr>
      </w:pPr>
      <w:r>
        <w:t>it provides a framework to consider the claimed benefits of performing these medical interventions without a person’s personal consent, against any impingement on human rights.</w:t>
      </w:r>
    </w:p>
    <w:p w:rsidR="006D1CB7" w:rsidP="006D1CB7" w:rsidRDefault="005560C5" w14:paraId="11246C85" w14:textId="70FC542D">
      <w:pPr>
        <w:rPr>
          <w:rFonts w:cs="Open Sans"/>
        </w:rPr>
      </w:pPr>
      <w:r>
        <w:rPr>
          <w:rFonts w:cs="Open Sans"/>
        </w:rPr>
        <w:lastRenderedPageBreak/>
        <w:t>These principles are</w:t>
      </w:r>
      <w:r w:rsidRPr="2DDBDD12" w:rsidR="006D1CB7">
        <w:rPr>
          <w:rFonts w:cs="Open Sans"/>
        </w:rPr>
        <w:t xml:space="preserve"> set out in Chapter 2:</w:t>
      </w:r>
    </w:p>
    <w:p w:rsidR="006D1CB7" w:rsidP="00170878" w:rsidRDefault="006D1CB7" w14:paraId="3D63D4F3" w14:textId="77777777">
      <w:pPr>
        <w:pStyle w:val="xmsolistparagraph"/>
        <w:numPr>
          <w:ilvl w:val="0"/>
          <w:numId w:val="23"/>
        </w:numPr>
        <w:spacing w:after="240" w:line="252" w:lineRule="auto"/>
        <w:rPr>
          <w:rFonts w:ascii="Open Sans" w:hAnsi="Open Sans" w:eastAsia="Times New Roman" w:cs="Open Sans"/>
          <w:sz w:val="24"/>
          <w:szCs w:val="24"/>
        </w:rPr>
      </w:pPr>
      <w:r w:rsidRPr="2DDBDD12">
        <w:rPr>
          <w:rFonts w:ascii="Open Sans" w:hAnsi="Open Sans" w:eastAsia="Times New Roman" w:cs="Open Sans"/>
          <w:i/>
          <w:iCs/>
          <w:sz w:val="24"/>
          <w:szCs w:val="24"/>
        </w:rPr>
        <w:t>Bodily integrity principle</w:t>
      </w:r>
      <w:r w:rsidRPr="2DDBDD12">
        <w:rPr>
          <w:rFonts w:ascii="Open Sans" w:hAnsi="Open Sans" w:eastAsia="Times New Roman" w:cs="Open Sans"/>
          <w:sz w:val="24"/>
          <w:szCs w:val="24"/>
        </w:rPr>
        <w:t>: All people have the right to autonomy and bodily integrity. Medical interventions on people without their personal consent have the potential to seriously infringe these rights.</w:t>
      </w:r>
    </w:p>
    <w:p w:rsidR="006D1CB7" w:rsidP="00170878" w:rsidRDefault="006D1CB7" w14:paraId="39ED55AE" w14:textId="77777777">
      <w:pPr>
        <w:pStyle w:val="xmsolistparagraph"/>
        <w:numPr>
          <w:ilvl w:val="0"/>
          <w:numId w:val="23"/>
        </w:numPr>
        <w:spacing w:after="240" w:line="252" w:lineRule="auto"/>
        <w:rPr>
          <w:rFonts w:ascii="Open Sans" w:hAnsi="Open Sans" w:eastAsia="Times New Roman" w:cs="Open Sans"/>
          <w:sz w:val="24"/>
          <w:szCs w:val="24"/>
        </w:rPr>
      </w:pPr>
      <w:r w:rsidRPr="2DDBDD12">
        <w:rPr>
          <w:rFonts w:ascii="Open Sans" w:hAnsi="Open Sans" w:eastAsia="Times New Roman" w:cs="Open Sans"/>
          <w:i/>
          <w:iCs/>
          <w:sz w:val="24"/>
          <w:szCs w:val="24"/>
        </w:rPr>
        <w:t>Children’s agency principle</w:t>
      </w:r>
      <w:r w:rsidRPr="2DDBDD12">
        <w:rPr>
          <w:rFonts w:ascii="Open Sans" w:hAnsi="Open Sans" w:eastAsia="Times New Roman" w:cs="Open Sans"/>
          <w:sz w:val="24"/>
          <w:szCs w:val="24"/>
        </w:rPr>
        <w:t xml:space="preserve">: Children and young people have the right to express their views in relation to decisions that affect them, and those views must be given due weight in accordance with their age and maturity. The ability of children to consent to medical interventions generally increases as they grow older. Children and young people who are able to understand fully the nature and consequences of proposed medical interventions should be able to make their own decisions about whether those interventions proceed. </w:t>
      </w:r>
    </w:p>
    <w:p w:rsidR="006D1CB7" w:rsidP="00170878" w:rsidRDefault="006D1CB7" w14:paraId="60FCC129" w14:textId="791AB24F">
      <w:pPr>
        <w:pStyle w:val="xmsolistparagraph"/>
        <w:numPr>
          <w:ilvl w:val="0"/>
          <w:numId w:val="23"/>
        </w:numPr>
        <w:spacing w:after="240" w:line="252" w:lineRule="auto"/>
        <w:rPr>
          <w:rFonts w:ascii="Open Sans" w:hAnsi="Open Sans" w:eastAsia="Times New Roman" w:cs="Open Sans"/>
          <w:sz w:val="24"/>
          <w:szCs w:val="24"/>
        </w:rPr>
      </w:pPr>
      <w:r w:rsidRPr="2DDBDD12">
        <w:rPr>
          <w:rFonts w:ascii="Open Sans" w:hAnsi="Open Sans" w:eastAsia="Times New Roman" w:cs="Open Sans"/>
          <w:i/>
          <w:iCs/>
          <w:sz w:val="24"/>
          <w:szCs w:val="24"/>
        </w:rPr>
        <w:t>Precautionary principle</w:t>
      </w:r>
      <w:r w:rsidRPr="2DDBDD12">
        <w:rPr>
          <w:rFonts w:ascii="Open Sans" w:hAnsi="Open Sans" w:eastAsia="Times New Roman" w:cs="Open Sans"/>
          <w:sz w:val="24"/>
          <w:szCs w:val="24"/>
        </w:rPr>
        <w:t xml:space="preserve">: </w:t>
      </w:r>
      <w:r w:rsidRPr="00EA18DF" w:rsidR="00EA18DF">
        <w:rPr>
          <w:rFonts w:ascii="Open Sans" w:hAnsi="Open Sans" w:eastAsia="Times New Roman" w:cs="Open Sans"/>
          <w:sz w:val="24"/>
          <w:szCs w:val="24"/>
        </w:rPr>
        <w:t xml:space="preserve">Where safe to do so, medical interventions to </w:t>
      </w:r>
      <w:r w:rsidR="00591A65">
        <w:rPr>
          <w:rFonts w:ascii="Open Sans" w:hAnsi="Open Sans" w:eastAsia="Times New Roman" w:cs="Open Sans"/>
          <w:sz w:val="24"/>
          <w:szCs w:val="24"/>
        </w:rPr>
        <w:t>modify</w:t>
      </w:r>
      <w:r w:rsidRPr="00EA18DF" w:rsidR="00EA18DF">
        <w:rPr>
          <w:rFonts w:ascii="Open Sans" w:hAnsi="Open Sans" w:eastAsia="Times New Roman" w:cs="Open Sans"/>
          <w:sz w:val="24"/>
          <w:szCs w:val="24"/>
        </w:rPr>
        <w:t xml:space="preserve"> the sex characteristics of a child born with variations in sex characteristics should be deferred until a time when the child is able to make their own decisions about what happens to their body</w:t>
      </w:r>
      <w:r w:rsidRPr="2DDBDD12">
        <w:rPr>
          <w:rFonts w:ascii="Open Sans" w:hAnsi="Open Sans" w:eastAsia="Times New Roman" w:cs="Open Sans"/>
          <w:sz w:val="24"/>
          <w:szCs w:val="24"/>
        </w:rPr>
        <w:t xml:space="preserve">. </w:t>
      </w:r>
    </w:p>
    <w:p w:rsidR="006D1CB7" w:rsidP="00170878" w:rsidRDefault="006D1CB7" w14:paraId="5B8B30A3" w14:textId="72496B68">
      <w:pPr>
        <w:pStyle w:val="xmsolistparagraph"/>
        <w:numPr>
          <w:ilvl w:val="0"/>
          <w:numId w:val="23"/>
        </w:numPr>
        <w:spacing w:after="240" w:line="252" w:lineRule="auto"/>
        <w:rPr>
          <w:rFonts w:ascii="Open Sans" w:hAnsi="Open Sans" w:eastAsia="Times New Roman" w:cs="Open Sans"/>
          <w:sz w:val="24"/>
          <w:szCs w:val="24"/>
        </w:rPr>
      </w:pPr>
      <w:r w:rsidRPr="2DDBDD12">
        <w:rPr>
          <w:rFonts w:ascii="Open Sans" w:hAnsi="Open Sans" w:eastAsia="Times New Roman" w:cs="Open Sans"/>
          <w:i/>
          <w:iCs/>
          <w:sz w:val="24"/>
          <w:szCs w:val="24"/>
        </w:rPr>
        <w:t>Medical necessity principle</w:t>
      </w:r>
      <w:r w:rsidRPr="2DDBDD12">
        <w:rPr>
          <w:rFonts w:ascii="Open Sans" w:hAnsi="Open Sans" w:eastAsia="Times New Roman" w:cs="Open Sans"/>
          <w:sz w:val="24"/>
          <w:szCs w:val="24"/>
        </w:rPr>
        <w:t>:</w:t>
      </w:r>
      <w:r w:rsidRPr="2DDBDD12">
        <w:rPr>
          <w:rFonts w:ascii="Open Sans" w:hAnsi="Open Sans" w:eastAsia="Times New Roman" w:cs="Open Sans"/>
          <w:i/>
          <w:iCs/>
          <w:sz w:val="24"/>
          <w:szCs w:val="24"/>
        </w:rPr>
        <w:t xml:space="preserve"> </w:t>
      </w:r>
      <w:r w:rsidRPr="2DDBDD12">
        <w:rPr>
          <w:rFonts w:ascii="Open Sans" w:hAnsi="Open Sans" w:eastAsia="Times New Roman" w:cs="Open Sans"/>
          <w:sz w:val="24"/>
          <w:szCs w:val="24"/>
        </w:rPr>
        <w:t xml:space="preserve">In some cases, to protect the child’s rights to life or health, it may be medically necessary for a medical intervention to </w:t>
      </w:r>
      <w:r w:rsidR="00591A65">
        <w:rPr>
          <w:rFonts w:ascii="Open Sans" w:hAnsi="Open Sans" w:eastAsia="Times New Roman" w:cs="Open Sans"/>
          <w:sz w:val="24"/>
          <w:szCs w:val="24"/>
        </w:rPr>
        <w:t>modify</w:t>
      </w:r>
      <w:r w:rsidRPr="2DDBDD12">
        <w:rPr>
          <w:rFonts w:ascii="Open Sans" w:hAnsi="Open Sans" w:eastAsia="Times New Roman" w:cs="Open Sans"/>
          <w:sz w:val="24"/>
          <w:szCs w:val="24"/>
        </w:rPr>
        <w:t xml:space="preserve"> the sex characteristics of a child born with variations in sex characteristics to occur, before a child can make their own decision. An intervention will be medically necessary if it is required urgently to avoid serious harm to the child. </w:t>
      </w:r>
    </w:p>
    <w:p w:rsidR="006D1CB7" w:rsidP="00170878" w:rsidRDefault="006D1CB7" w14:paraId="05D5C8E4" w14:textId="54EFCFAA">
      <w:pPr>
        <w:pStyle w:val="xmsolistparagraph"/>
        <w:numPr>
          <w:ilvl w:val="0"/>
          <w:numId w:val="23"/>
        </w:numPr>
        <w:spacing w:after="240" w:line="252" w:lineRule="auto"/>
        <w:rPr>
          <w:rFonts w:ascii="Open Sans" w:hAnsi="Open Sans" w:eastAsia="Times New Roman" w:cs="Open Sans"/>
          <w:sz w:val="24"/>
          <w:szCs w:val="24"/>
        </w:rPr>
      </w:pPr>
      <w:r w:rsidRPr="2DDBDD12">
        <w:rPr>
          <w:rFonts w:ascii="Open Sans" w:hAnsi="Open Sans" w:eastAsia="Times New Roman" w:cs="Open Sans"/>
          <w:i/>
          <w:iCs/>
          <w:sz w:val="24"/>
          <w:szCs w:val="24"/>
        </w:rPr>
        <w:t>Independent oversight principle</w:t>
      </w:r>
      <w:r w:rsidRPr="2DDBDD12">
        <w:rPr>
          <w:rFonts w:ascii="Open Sans" w:hAnsi="Open Sans" w:eastAsia="Times New Roman" w:cs="Open Sans"/>
          <w:sz w:val="24"/>
          <w:szCs w:val="24"/>
        </w:rPr>
        <w:t xml:space="preserve">: Given the risk of making a wrong decision, decisions about whether a medical intervention to </w:t>
      </w:r>
      <w:r w:rsidR="00591A65">
        <w:rPr>
          <w:rFonts w:ascii="Open Sans" w:hAnsi="Open Sans" w:eastAsia="Times New Roman" w:cs="Open Sans"/>
          <w:sz w:val="24"/>
          <w:szCs w:val="24"/>
        </w:rPr>
        <w:t>modify</w:t>
      </w:r>
      <w:r w:rsidRPr="2DDBDD12">
        <w:rPr>
          <w:rFonts w:ascii="Open Sans" w:hAnsi="Open Sans" w:eastAsia="Times New Roman" w:cs="Open Sans"/>
          <w:sz w:val="24"/>
          <w:szCs w:val="24"/>
        </w:rPr>
        <w:t xml:space="preserve"> the sex characteristics of a child born with variations in sex characteristics is medically necessary should be subject to effective independent oversight.</w:t>
      </w:r>
    </w:p>
    <w:p w:rsidR="006D1CB7" w:rsidP="006D1CB7" w:rsidRDefault="006D1CB7" w14:paraId="758886FA" w14:textId="77777777">
      <w:pPr>
        <w:rPr>
          <w:rFonts w:cs="Open Sans"/>
        </w:rPr>
      </w:pPr>
      <w:r w:rsidRPr="00B03457">
        <w:rPr>
          <w:rFonts w:cs="Open Sans"/>
        </w:rPr>
        <w:t>The Commission recommends new legislative protections</w:t>
      </w:r>
      <w:r w:rsidRPr="2DDBDD12">
        <w:rPr>
          <w:rFonts w:cs="Open Sans"/>
        </w:rPr>
        <w:t>, guidance and oversight processes when there is consideration of</w:t>
      </w:r>
      <w:r w:rsidRPr="00B03457">
        <w:rPr>
          <w:rFonts w:cs="Open Sans"/>
        </w:rPr>
        <w:t xml:space="preserve"> medical interventions for people </w:t>
      </w:r>
      <w:r>
        <w:rPr>
          <w:rFonts w:cs="Open Sans"/>
        </w:rPr>
        <w:t xml:space="preserve">under the age of 18 years born </w:t>
      </w:r>
      <w:r w:rsidRPr="00B03457">
        <w:rPr>
          <w:rFonts w:cs="Open Sans"/>
        </w:rPr>
        <w:t xml:space="preserve">with variations in sex characteristics. </w:t>
      </w:r>
      <w:r w:rsidRPr="00B03457">
        <w:rPr>
          <w:rFonts w:cs="Open Sans"/>
        </w:rPr>
        <w:lastRenderedPageBreak/>
        <w:t xml:space="preserve">Legislation should </w:t>
      </w:r>
      <w:r>
        <w:rPr>
          <w:rFonts w:cs="Open Sans"/>
        </w:rPr>
        <w:t>enforce</w:t>
      </w:r>
      <w:r w:rsidRPr="00B03457">
        <w:rPr>
          <w:rFonts w:cs="Open Sans"/>
        </w:rPr>
        <w:t xml:space="preserve"> a general requirement that medical interventions take place only with the prior, informed, personal consent of the person </w:t>
      </w:r>
      <w:r>
        <w:rPr>
          <w:rFonts w:cs="Open Sans"/>
        </w:rPr>
        <w:t>concerned –</w:t>
      </w:r>
      <w:r w:rsidRPr="00B03457">
        <w:rPr>
          <w:rFonts w:cs="Open Sans"/>
        </w:rPr>
        <w:t xml:space="preserve"> subject to an exception in the case of medical necessity</w:t>
      </w:r>
      <w:r>
        <w:rPr>
          <w:rFonts w:cs="Open Sans"/>
        </w:rPr>
        <w:t>.</w:t>
      </w:r>
      <w:r w:rsidRPr="00B03457">
        <w:rPr>
          <w:rFonts w:cs="Open Sans"/>
        </w:rPr>
        <w:t xml:space="preserve"> </w:t>
      </w:r>
    </w:p>
    <w:p w:rsidRPr="00B03457" w:rsidR="006D1CB7" w:rsidP="006D1CB7" w:rsidRDefault="006D1CB7" w14:paraId="11AF0ED9" w14:textId="77777777">
      <w:pPr>
        <w:rPr>
          <w:rFonts w:cs="Open Sans"/>
        </w:rPr>
      </w:pPr>
      <w:r w:rsidRPr="00B03457">
        <w:rPr>
          <w:rFonts w:cs="Open Sans"/>
        </w:rPr>
        <w:t xml:space="preserve">The Commission is Australia’s national human rights institution. The Commission is independent and impartial. It aims to promote and protect human rights in Australia. </w:t>
      </w:r>
      <w:r>
        <w:t>The Commission has previously highlighted some of the human rights issues experienced by people born with variations in sex characteristics, in reports,</w:t>
      </w:r>
      <w:r w:rsidRPr="006739C2">
        <w:rPr>
          <w:sz w:val="20"/>
          <w:szCs w:val="20"/>
          <w:vertAlign w:val="superscript"/>
        </w:rPr>
        <w:endnoteReference w:id="4"/>
      </w:r>
      <w:r>
        <w:t xml:space="preserve"> discussion papers,</w:t>
      </w:r>
      <w:r w:rsidRPr="006739C2">
        <w:rPr>
          <w:sz w:val="20"/>
          <w:szCs w:val="20"/>
          <w:vertAlign w:val="superscript"/>
        </w:rPr>
        <w:endnoteReference w:id="5"/>
      </w:r>
      <w:r>
        <w:t xml:space="preserve"> and submissions to government and the UN.</w:t>
      </w:r>
      <w:r w:rsidRPr="006739C2">
        <w:rPr>
          <w:sz w:val="20"/>
          <w:szCs w:val="20"/>
          <w:vertAlign w:val="superscript"/>
        </w:rPr>
        <w:endnoteReference w:id="6"/>
      </w:r>
    </w:p>
    <w:p w:rsidRPr="00B03457" w:rsidR="006D1CB7" w:rsidP="006D1CB7" w:rsidRDefault="006D1CB7" w14:paraId="03D94F36" w14:textId="77777777">
      <w:pPr>
        <w:rPr>
          <w:rFonts w:cs="Open Sans"/>
        </w:rPr>
      </w:pPr>
      <w:r w:rsidRPr="00B03457">
        <w:rPr>
          <w:rFonts w:cs="Open Sans"/>
        </w:rPr>
        <w:t xml:space="preserve">The recommendations in this Report are informed by the Commission’s expertise, our research and extensive public consultation with people born with variations in sex characteristics, peer-support and advocacy organisations, medical professionals, civil society organisations and representatives from federal, state and territory governments. </w:t>
      </w:r>
    </w:p>
    <w:p w:rsidR="006D1CB7" w:rsidP="006D1CB7" w:rsidRDefault="006D1CB7" w14:paraId="42C07CD2" w14:textId="77777777">
      <w:pPr>
        <w:rPr>
          <w:rFonts w:cs="Open Sans"/>
        </w:rPr>
      </w:pPr>
      <w:r w:rsidRPr="00B03457">
        <w:rPr>
          <w:rFonts w:cs="Open Sans"/>
        </w:rPr>
        <w:t>All views are the Commission’s, and the Commission is responsible for this Report and other Project outputs and statements.</w:t>
      </w:r>
    </w:p>
    <w:p w:rsidRPr="00B03457" w:rsidR="006D1CB7" w:rsidP="006D1CB7" w:rsidRDefault="006D1CB7" w14:paraId="6D815296" w14:textId="77777777">
      <w:pPr>
        <w:pStyle w:val="AHRCHeading3"/>
      </w:pPr>
      <w:bookmarkStart w:name="_Toc80094127" w:id="8"/>
      <w:bookmarkStart w:name="_Toc85541371" w:id="9"/>
      <w:r w:rsidRPr="00B03457">
        <w:t xml:space="preserve">Consent and </w:t>
      </w:r>
      <w:r w:rsidRPr="005B1D97">
        <w:t>decision</w:t>
      </w:r>
      <w:r w:rsidRPr="00B03457">
        <w:t xml:space="preserve"> making</w:t>
      </w:r>
      <w:bookmarkEnd w:id="8"/>
      <w:bookmarkEnd w:id="9"/>
    </w:p>
    <w:p w:rsidRPr="00B03457" w:rsidR="006D1CB7" w:rsidP="006D1CB7" w:rsidRDefault="006D1CB7" w14:paraId="154A3D94" w14:textId="77777777">
      <w:pPr>
        <w:rPr>
          <w:rFonts w:cs="Open Sans"/>
        </w:rPr>
      </w:pPr>
      <w:r w:rsidRPr="00B03457">
        <w:rPr>
          <w:rFonts w:cs="Open Sans"/>
        </w:rPr>
        <w:t xml:space="preserve">Under international human rights law, a medical intervention may </w:t>
      </w:r>
      <w:r>
        <w:rPr>
          <w:rFonts w:cs="Open Sans"/>
        </w:rPr>
        <w:t xml:space="preserve">only </w:t>
      </w:r>
      <w:r w:rsidRPr="00B03457">
        <w:rPr>
          <w:rFonts w:cs="Open Sans"/>
        </w:rPr>
        <w:t>take place without the individual’s personal consent where this is a medical</w:t>
      </w:r>
      <w:r>
        <w:rPr>
          <w:rFonts w:cs="Open Sans"/>
        </w:rPr>
        <w:t xml:space="preserve"> </w:t>
      </w:r>
      <w:r w:rsidRPr="00B03457">
        <w:rPr>
          <w:rFonts w:cs="Open Sans"/>
        </w:rPr>
        <w:t xml:space="preserve">necessity or medical emergency. </w:t>
      </w:r>
      <w:r>
        <w:rPr>
          <w:rFonts w:cs="Open Sans"/>
        </w:rPr>
        <w:t>The Commission</w:t>
      </w:r>
      <w:r w:rsidRPr="00B03457">
        <w:rPr>
          <w:rFonts w:cs="Open Sans"/>
        </w:rPr>
        <w:t xml:space="preserve"> </w:t>
      </w:r>
      <w:r>
        <w:rPr>
          <w:rFonts w:cs="Open Sans"/>
        </w:rPr>
        <w:t>recommends that this approach be taken in relation to medical interventions for people under the age of 18 years</w:t>
      </w:r>
      <w:r w:rsidRPr="00B03457">
        <w:rPr>
          <w:rFonts w:cs="Open Sans"/>
        </w:rPr>
        <w:t xml:space="preserve"> </w:t>
      </w:r>
      <w:r>
        <w:rPr>
          <w:rFonts w:cs="Open Sans"/>
        </w:rPr>
        <w:t xml:space="preserve">who are born with variations in sex characteristics. </w:t>
      </w:r>
      <w:r w:rsidRPr="00B03457">
        <w:rPr>
          <w:rFonts w:cs="Open Sans"/>
        </w:rPr>
        <w:t xml:space="preserve">This general legal rule reflects a person’s rights of autonomy </w:t>
      </w:r>
      <w:r>
        <w:rPr>
          <w:rFonts w:cs="Open Sans"/>
        </w:rPr>
        <w:t xml:space="preserve">and agency </w:t>
      </w:r>
      <w:r w:rsidRPr="00B03457">
        <w:rPr>
          <w:rFonts w:cs="Open Sans"/>
        </w:rPr>
        <w:t xml:space="preserve">over their body. </w:t>
      </w:r>
    </w:p>
    <w:p w:rsidR="006D1CB7" w:rsidP="006D1CB7" w:rsidRDefault="006D1CB7" w14:paraId="5C291E9F" w14:textId="1159E97C">
      <w:r w:rsidRPr="00B03457">
        <w:rPr>
          <w:rFonts w:cs="Open Sans"/>
        </w:rPr>
        <w:t xml:space="preserve">A range of practical problems regarding obtaining consent to medical interventions </w:t>
      </w:r>
      <w:r>
        <w:rPr>
          <w:rFonts w:cs="Open Sans"/>
        </w:rPr>
        <w:t>are considered in Chapter 4</w:t>
      </w:r>
      <w:r w:rsidRPr="00B03457">
        <w:rPr>
          <w:rFonts w:cs="Open Sans"/>
        </w:rPr>
        <w:t xml:space="preserve">. To address these problems, the Commission recommends </w:t>
      </w:r>
      <w:r>
        <w:rPr>
          <w:rFonts w:cs="Open Sans"/>
        </w:rPr>
        <w:t xml:space="preserve">the development of new guidance setting out what </w:t>
      </w:r>
      <w:r w:rsidRPr="00A4039E">
        <w:rPr>
          <w:rFonts w:cs="Open Sans"/>
        </w:rPr>
        <w:t xml:space="preserve">is required to obtain informed consent </w:t>
      </w:r>
      <w:r w:rsidRPr="064EBE31">
        <w:rPr>
          <w:rFonts w:cs="Open Sans"/>
        </w:rPr>
        <w:t xml:space="preserve">from people under the age of 18 years </w:t>
      </w:r>
      <w:r w:rsidRPr="00A4039E">
        <w:rPr>
          <w:rFonts w:cs="Open Sans"/>
        </w:rPr>
        <w:t xml:space="preserve">before performing a medical intervention </w:t>
      </w:r>
      <w:r>
        <w:rPr>
          <w:rFonts w:cs="Open Sans"/>
        </w:rPr>
        <w:t xml:space="preserve">for a person </w:t>
      </w:r>
      <w:r w:rsidRPr="00A4039E">
        <w:rPr>
          <w:rFonts w:cs="Open Sans"/>
        </w:rPr>
        <w:t>born with variation</w:t>
      </w:r>
      <w:r>
        <w:rPr>
          <w:rFonts w:cs="Open Sans"/>
        </w:rPr>
        <w:t xml:space="preserve">s in sex characteristics. This guidance should </w:t>
      </w:r>
      <w:r>
        <w:t>ensure that</w:t>
      </w:r>
    </w:p>
    <w:p w:rsidRPr="00B03457" w:rsidR="006D1CB7" w:rsidP="00170878" w:rsidRDefault="006D1CB7" w14:paraId="30889B05" w14:textId="77777777">
      <w:pPr>
        <w:pStyle w:val="ListParagraph"/>
        <w:numPr>
          <w:ilvl w:val="0"/>
          <w:numId w:val="19"/>
        </w:numPr>
        <w:rPr>
          <w:rFonts w:cs="Open Sans"/>
        </w:rPr>
      </w:pPr>
      <w:r w:rsidRPr="00B03457">
        <w:rPr>
          <w:rFonts w:cs="Open Sans"/>
        </w:rPr>
        <w:t>medical interventions are proposed only when medically necessary</w:t>
      </w:r>
    </w:p>
    <w:p w:rsidRPr="00B03457" w:rsidR="006D1CB7" w:rsidP="00170878" w:rsidRDefault="006D1CB7" w14:paraId="03AFDFD1" w14:textId="17371EAB">
      <w:pPr>
        <w:pStyle w:val="ListParagraph"/>
        <w:numPr>
          <w:ilvl w:val="0"/>
          <w:numId w:val="19"/>
        </w:numPr>
        <w:rPr>
          <w:rFonts w:cs="Open Sans"/>
        </w:rPr>
      </w:pPr>
      <w:r w:rsidRPr="00B03457">
        <w:rPr>
          <w:rFonts w:cs="Open Sans"/>
        </w:rPr>
        <w:t>consent in all cases is fully informed, and</w:t>
      </w:r>
    </w:p>
    <w:p w:rsidR="006D1CB7" w:rsidP="00170878" w:rsidRDefault="006D1CB7" w14:paraId="0D2A15F8" w14:textId="77777777">
      <w:pPr>
        <w:pStyle w:val="ListParagraph"/>
        <w:numPr>
          <w:ilvl w:val="0"/>
          <w:numId w:val="19"/>
        </w:numPr>
        <w:rPr>
          <w:rFonts w:cs="Open Sans"/>
        </w:rPr>
      </w:pPr>
      <w:r w:rsidRPr="00B03457">
        <w:rPr>
          <w:rFonts w:cs="Open Sans"/>
        </w:rPr>
        <w:lastRenderedPageBreak/>
        <w:t>children and younger people are empowered to participate in decision making in a manner consistent with their evolving capacities.</w:t>
      </w:r>
    </w:p>
    <w:p w:rsidRPr="0066148E" w:rsidR="006D1CB7" w:rsidP="006D1CB7" w:rsidRDefault="006D1CB7" w14:paraId="229971AF" w14:textId="77777777">
      <w:pPr>
        <w:rPr>
          <w:rFonts w:cs="Open Sans"/>
        </w:rPr>
      </w:pPr>
      <w:r>
        <w:t>Questions raised in this report regarding adequacy of</w:t>
      </w:r>
      <w:r w:rsidRPr="00096810">
        <w:t xml:space="preserve"> current oversight mechanisms are not intended to suggest parents or doctors are not acting in good faith. Stakeholder submissions indicate quite the opposite. However, as the High Court observed in </w:t>
      </w:r>
      <w:r w:rsidRPr="0066148E">
        <w:rPr>
          <w:i/>
          <w:iCs/>
        </w:rPr>
        <w:t>Marion’s case</w:t>
      </w:r>
      <w:r w:rsidRPr="00096810">
        <w:t>, good intentions may not be enough to protect childr</w:t>
      </w:r>
      <w:r>
        <w:t>en.</w:t>
      </w:r>
    </w:p>
    <w:p w:rsidRPr="00B03457" w:rsidR="006D1CB7" w:rsidP="006D1CB7" w:rsidRDefault="006D1CB7" w14:paraId="73AB0EF4" w14:textId="77777777">
      <w:pPr>
        <w:pStyle w:val="AHRCHeading3"/>
      </w:pPr>
      <w:bookmarkStart w:name="_Toc80094128" w:id="10"/>
      <w:bookmarkStart w:name="_Toc85541372" w:id="11"/>
      <w:r>
        <w:t>Medical necessity</w:t>
      </w:r>
      <w:bookmarkEnd w:id="10"/>
      <w:bookmarkEnd w:id="11"/>
    </w:p>
    <w:p w:rsidR="006D1CB7" w:rsidP="006D1CB7" w:rsidRDefault="006D1CB7" w14:paraId="04699251" w14:textId="77777777">
      <w:r>
        <w:t xml:space="preserve">The Commission recommends that medical interventions in relation to a person under the age of 18 without their personal consent should only take place where the intervention is required urgently to avoid serious harm to the person concerned (the ‘medical necessity’ principle). An intervention is ‘required urgently’ if it cannot be deferred without a significant risk of serious harm. </w:t>
      </w:r>
    </w:p>
    <w:p w:rsidR="00EB7C0B" w:rsidP="006D1CB7" w:rsidRDefault="00EB7C0B" w14:paraId="6A1485F4" w14:textId="23CCA7A7">
      <w:r>
        <w:t xml:space="preserve">The Commission notes </w:t>
      </w:r>
      <w:r w:rsidR="0025151F">
        <w:t>(</w:t>
      </w:r>
      <w:r w:rsidR="00717BB7">
        <w:t xml:space="preserve">in more detail at </w:t>
      </w:r>
      <w:r w:rsidR="00285DC4">
        <w:t>2.</w:t>
      </w:r>
      <w:r w:rsidR="009270B7">
        <w:t xml:space="preserve">3 </w:t>
      </w:r>
      <w:r w:rsidR="009270B7">
        <w:rPr>
          <w:i/>
          <w:iCs/>
        </w:rPr>
        <w:t>Applicable human right</w:t>
      </w:r>
      <w:r w:rsidR="0025151F">
        <w:rPr>
          <w:i/>
          <w:iCs/>
        </w:rPr>
        <w:t>s)</w:t>
      </w:r>
      <w:r w:rsidR="009270B7">
        <w:t>, the</w:t>
      </w:r>
      <w:r>
        <w:t xml:space="preserve"> various UN treaty body committee</w:t>
      </w:r>
      <w:r w:rsidR="00E84D5C">
        <w:t xml:space="preserve"> comments to Australia to limit intervention without personal consent to circumstances of medical necessity. </w:t>
      </w:r>
    </w:p>
    <w:p w:rsidR="006D1CB7" w:rsidP="006D1CB7" w:rsidRDefault="006D1CB7" w14:paraId="611EE1A6" w14:textId="77777777">
      <w:r>
        <w:t>Chapter 5 considers the different rationales put forward for medical interventions in relation to children born with variations in sex characteristics and concludes that such medical interventions should only be permissible if all of the following factors are present:</w:t>
      </w:r>
    </w:p>
    <w:p w:rsidR="006D1CB7" w:rsidP="00170878" w:rsidRDefault="006D1CB7" w14:paraId="78C38E4B" w14:textId="77777777">
      <w:pPr>
        <w:pStyle w:val="ListParagraph"/>
        <w:numPr>
          <w:ilvl w:val="0"/>
          <w:numId w:val="20"/>
        </w:numPr>
      </w:pPr>
      <w:r>
        <w:t>the medical intervention is required urgently to avoid serious harm</w:t>
      </w:r>
    </w:p>
    <w:p w:rsidR="006D1CB7" w:rsidP="00170878" w:rsidRDefault="006D1CB7" w14:paraId="0136D028" w14:textId="77777777">
      <w:pPr>
        <w:pStyle w:val="ListParagraph"/>
        <w:numPr>
          <w:ilvl w:val="0"/>
          <w:numId w:val="20"/>
        </w:numPr>
      </w:pPr>
      <w:r>
        <w:t>the risk of harm cannot be mitigated in another less intrusive way, and intervention cannot be further delayed</w:t>
      </w:r>
    </w:p>
    <w:p w:rsidR="006D1CB7" w:rsidP="00170878" w:rsidRDefault="006D1CB7" w14:paraId="2EDC3A37" w14:textId="77777777">
      <w:pPr>
        <w:pStyle w:val="ListParagraph"/>
        <w:numPr>
          <w:ilvl w:val="0"/>
          <w:numId w:val="20"/>
        </w:numPr>
      </w:pPr>
      <w:r>
        <w:t>the risk of harm outweighs the significant limitation on human rights that is occasioned by medical intervention without personal consent.</w:t>
      </w:r>
    </w:p>
    <w:p w:rsidR="006D1CB7" w:rsidP="006D1CB7" w:rsidRDefault="006D1CB7" w14:paraId="51B225D9" w14:textId="77777777">
      <w:r>
        <w:t xml:space="preserve">Chapter 5 applies the principle of medical necessity to the situation of medical interventions for people born with variations in sex characteristics. The </w:t>
      </w:r>
      <w:r>
        <w:lastRenderedPageBreak/>
        <w:t xml:space="preserve">Commission concludes that some rationales used to justify medical interventions are not consistent with this principle including, for example, </w:t>
      </w:r>
      <w:r w:rsidRPr="00AB7846">
        <w:t xml:space="preserve">psychosocial rationales </w:t>
      </w:r>
      <w:r>
        <w:t>based on</w:t>
      </w:r>
      <w:r w:rsidRPr="00AB7846">
        <w:t xml:space="preserve"> ‘normalis</w:t>
      </w:r>
      <w:r>
        <w:t>ing</w:t>
      </w:r>
      <w:r w:rsidRPr="00AB7846">
        <w:t>’ genitalia</w:t>
      </w:r>
      <w:r>
        <w:t xml:space="preserve">. </w:t>
      </w:r>
    </w:p>
    <w:p w:rsidRPr="00B03457" w:rsidR="006D1CB7" w:rsidP="006D1CB7" w:rsidRDefault="006D1CB7" w14:paraId="3A62E151" w14:textId="77777777">
      <w:pPr>
        <w:pStyle w:val="AHRCHeading3"/>
      </w:pPr>
      <w:bookmarkStart w:name="_Toc80094129" w:id="12"/>
      <w:bookmarkStart w:name="_Toc85541373" w:id="13"/>
      <w:r w:rsidRPr="00B03457">
        <w:t xml:space="preserve">Clinical practice and </w:t>
      </w:r>
      <w:r>
        <w:t>n</w:t>
      </w:r>
      <w:r w:rsidRPr="00B03457">
        <w:t xml:space="preserve">ew National </w:t>
      </w:r>
      <w:r w:rsidRPr="00457E9A">
        <w:t>Guidelines</w:t>
      </w:r>
      <w:bookmarkEnd w:id="12"/>
      <w:bookmarkEnd w:id="13"/>
    </w:p>
    <w:p w:rsidR="006D1CB7" w:rsidP="006D1CB7" w:rsidRDefault="006D1CB7" w14:paraId="7E6ABCBC" w14:textId="77777777">
      <w:r>
        <w:t>The Commission recommends the development of new National Guidelines to guide decision-making processes to ensure that medical interventions modifying sex characteristics are not undertaken unless intervention is a medical necessity. These are considered in Chapter 6.</w:t>
      </w:r>
    </w:p>
    <w:p w:rsidR="006D1CB7" w:rsidP="006D1CB7" w:rsidRDefault="006D1CB7" w14:paraId="5FD7701B" w14:textId="67B1B651">
      <w:r>
        <w:t>The recommended National Guidelines should include guidance on</w:t>
      </w:r>
    </w:p>
    <w:p w:rsidR="006D1CB7" w:rsidP="00170878" w:rsidRDefault="006D1CB7" w14:paraId="66F4A6BB" w14:textId="77777777">
      <w:pPr>
        <w:pStyle w:val="ListParagraph"/>
        <w:numPr>
          <w:ilvl w:val="0"/>
          <w:numId w:val="21"/>
        </w:numPr>
      </w:pPr>
      <w:r>
        <w:t>obtaining informed consent and ensuring affected children and younger people are involved in decisions (see Chapter 4)</w:t>
      </w:r>
    </w:p>
    <w:p w:rsidR="006D1CB7" w:rsidP="00170878" w:rsidRDefault="006D1CB7" w14:paraId="52AD357D" w14:textId="70A87865">
      <w:pPr>
        <w:pStyle w:val="ListParagraph"/>
        <w:numPr>
          <w:ilvl w:val="0"/>
          <w:numId w:val="21"/>
        </w:numPr>
      </w:pPr>
      <w:r>
        <w:t>the application of human rights principles in determining whether a medical intervention is a medical necessity (see Chapter 5)</w:t>
      </w:r>
    </w:p>
    <w:p w:rsidR="006D1CB7" w:rsidP="00170878" w:rsidRDefault="006D1CB7" w14:paraId="59E9E948" w14:textId="77777777">
      <w:pPr>
        <w:pStyle w:val="ListParagraph"/>
        <w:numPr>
          <w:ilvl w:val="0"/>
          <w:numId w:val="21"/>
        </w:numPr>
      </w:pPr>
      <w:r>
        <w:t>requirements for independent authorisation of certain medical interventions (see Chapter 7).</w:t>
      </w:r>
    </w:p>
    <w:p w:rsidR="006D1CB7" w:rsidP="006D1CB7" w:rsidRDefault="006D1CB7" w14:paraId="7DA74612" w14:textId="77777777">
      <w:r>
        <w:t>The Commission recommends that the National Guidelines be developed by a national multidisciplinary expert group convened by the Australian Government and should complement legislative reforms recommended in Chapter 7.</w:t>
      </w:r>
    </w:p>
    <w:p w:rsidRPr="00A45753" w:rsidR="006D1CB7" w:rsidP="006D1CB7" w:rsidRDefault="006D1CB7" w14:paraId="1538155B" w14:textId="77777777">
      <w:pPr>
        <w:rPr>
          <w:rFonts w:cs="Open Sans"/>
        </w:rPr>
      </w:pPr>
      <w:r w:rsidRPr="18B294E8">
        <w:rPr>
          <w:rFonts w:cs="Open Sans"/>
        </w:rPr>
        <w:t xml:space="preserve">The </w:t>
      </w:r>
      <w:r>
        <w:rPr>
          <w:rFonts w:cs="Open Sans"/>
        </w:rPr>
        <w:t>National Guidelines</w:t>
      </w:r>
      <w:r w:rsidRPr="18B294E8">
        <w:rPr>
          <w:rFonts w:cs="Open Sans"/>
        </w:rPr>
        <w:t xml:space="preserve"> </w:t>
      </w:r>
      <w:r>
        <w:rPr>
          <w:rFonts w:cs="Open Sans"/>
        </w:rPr>
        <w:t>sh</w:t>
      </w:r>
      <w:r w:rsidRPr="18B294E8">
        <w:rPr>
          <w:rFonts w:cs="Open Sans"/>
        </w:rPr>
        <w:t>ould also promote the best standards of clinical care generally. The national multidisciplinary expert group should develop clinical guidelines</w:t>
      </w:r>
      <w:r>
        <w:rPr>
          <w:rFonts w:cs="Open Sans"/>
        </w:rPr>
        <w:t xml:space="preserve"> and</w:t>
      </w:r>
      <w:r w:rsidRPr="18B294E8">
        <w:rPr>
          <w:rFonts w:cs="Open Sans"/>
        </w:rPr>
        <w:t xml:space="preserve"> best practice and treatment protocols, including in relation to the provision of psychological and peer support.</w:t>
      </w:r>
    </w:p>
    <w:p w:rsidRPr="00B03457" w:rsidR="006D1CB7" w:rsidP="006D1CB7" w:rsidRDefault="006D1CB7" w14:paraId="2397FE6E" w14:textId="77777777">
      <w:pPr>
        <w:pStyle w:val="AHRCHeading3"/>
      </w:pPr>
      <w:bookmarkStart w:name="_Toc80094130" w:id="14"/>
      <w:bookmarkStart w:name="_Toc85541374" w:id="15"/>
      <w:r w:rsidRPr="00B03457">
        <w:t>Oversight of medical interventions</w:t>
      </w:r>
      <w:bookmarkEnd w:id="14"/>
      <w:bookmarkEnd w:id="15"/>
    </w:p>
    <w:p w:rsidRPr="00B03457" w:rsidR="006D1CB7" w:rsidP="006D1CB7" w:rsidRDefault="006D1CB7" w14:paraId="1908888C" w14:textId="77777777">
      <w:r>
        <w:t xml:space="preserve">The Commission recommends the establishment of Independent Panels to provide appropriate oversight of medical interventions in relation to children born with variations in sex characteristics, through the application of a human rights framework. </w:t>
      </w:r>
      <w:r w:rsidRPr="00865452">
        <w:t>Chapter 7</w:t>
      </w:r>
      <w:r w:rsidRPr="00B03457">
        <w:t xml:space="preserve"> discusses how a human rights framework for decision making about medical interventions should be incorporated </w:t>
      </w:r>
      <w:r>
        <w:t>into</w:t>
      </w:r>
      <w:r w:rsidRPr="00B03457">
        <w:t xml:space="preserve"> </w:t>
      </w:r>
      <w:r w:rsidRPr="00B03457">
        <w:lastRenderedPageBreak/>
        <w:t>Australian domestic law and policy, and what independent oversight mechanisms should be established.</w:t>
      </w:r>
    </w:p>
    <w:p w:rsidRPr="00B03457" w:rsidR="006D1CB7" w:rsidP="006D1CB7" w:rsidRDefault="006D1CB7" w14:paraId="776B1A61" w14:textId="77777777">
      <w:r w:rsidRPr="00B03457">
        <w:t xml:space="preserve">Oversight, in this context, refers to mechanisms by which an independent decision maker determines whether a medical intervention </w:t>
      </w:r>
      <w:r>
        <w:t xml:space="preserve">may </w:t>
      </w:r>
      <w:r w:rsidRPr="00B03457">
        <w:t xml:space="preserve">be carried out </w:t>
      </w:r>
      <w:r>
        <w:t xml:space="preserve">on a person under the age of 18 </w:t>
      </w:r>
      <w:r w:rsidRPr="00B03457">
        <w:t xml:space="preserve">without personal consent. </w:t>
      </w:r>
    </w:p>
    <w:p w:rsidRPr="00B03457" w:rsidR="006D1CB7" w:rsidP="006D1CB7" w:rsidRDefault="006D1CB7" w14:paraId="62DFEBEE" w14:textId="27AC38F0">
      <w:r w:rsidRPr="00B03457">
        <w:t xml:space="preserve">The Commission recommends reform of oversight mechanisms by legislation </w:t>
      </w:r>
      <w:r>
        <w:t>by</w:t>
      </w:r>
    </w:p>
    <w:p w:rsidR="006D1CB7" w:rsidP="00170878" w:rsidRDefault="006D1CB7" w14:paraId="436AEA7E" w14:textId="77777777">
      <w:pPr>
        <w:pStyle w:val="ListParagraph"/>
        <w:numPr>
          <w:ilvl w:val="0"/>
          <w:numId w:val="22"/>
        </w:numPr>
      </w:pPr>
      <w:r>
        <w:t>establishing Independent Panels with responsibility to decide whether to authorise medical interventions in respect of people born with variations in sex characteristics</w:t>
      </w:r>
    </w:p>
    <w:p w:rsidR="006D1CB7" w:rsidP="00170878" w:rsidRDefault="006D1CB7" w14:paraId="77B2C63A" w14:textId="77777777">
      <w:pPr>
        <w:pStyle w:val="ListParagraph"/>
        <w:numPr>
          <w:ilvl w:val="0"/>
          <w:numId w:val="22"/>
        </w:numPr>
      </w:pPr>
      <w:r>
        <w:t>defining the circumstances in which interventions without personal consent may be authorised, which should be limited to circumstances of medical necessity</w:t>
      </w:r>
    </w:p>
    <w:p w:rsidRPr="00B03457" w:rsidR="006D1CB7" w:rsidP="00170878" w:rsidRDefault="006D1CB7" w14:paraId="206B92D6" w14:textId="77777777">
      <w:pPr>
        <w:pStyle w:val="ListParagraph"/>
        <w:numPr>
          <w:ilvl w:val="0"/>
          <w:numId w:val="22"/>
        </w:numPr>
      </w:pPr>
      <w:r>
        <w:t>recognising that in emergency situations there should be an expedited authorisation process or, where this still does not provide time to deal with the emergency, a requirement for subsequent notification of the Independent Panel.</w:t>
      </w:r>
    </w:p>
    <w:p w:rsidRPr="00B03457" w:rsidR="006D1CB7" w:rsidP="006D1CB7" w:rsidRDefault="006D1CB7" w14:paraId="59ECE7A5" w14:textId="77777777">
      <w:pPr>
        <w:pStyle w:val="AHRCHeading3"/>
      </w:pPr>
      <w:bookmarkStart w:name="_Toc80094131" w:id="16"/>
      <w:bookmarkStart w:name="_Toc85541375" w:id="17"/>
      <w:r w:rsidRPr="00457E9A">
        <w:t>Enforcement</w:t>
      </w:r>
      <w:bookmarkEnd w:id="16"/>
      <w:bookmarkEnd w:id="17"/>
    </w:p>
    <w:p w:rsidRPr="00003CFD" w:rsidR="006D1CB7" w:rsidP="006D1CB7" w:rsidRDefault="006D1CB7" w14:paraId="707F7EDA" w14:textId="2FFF0ABD">
      <w:pPr>
        <w:rPr>
          <w:rFonts w:cs="Open Sans"/>
        </w:rPr>
      </w:pPr>
      <w:r>
        <w:rPr>
          <w:rFonts w:cs="Open Sans"/>
        </w:rPr>
        <w:t xml:space="preserve">The </w:t>
      </w:r>
      <w:r w:rsidRPr="00003CFD">
        <w:rPr>
          <w:rFonts w:cs="Open Sans"/>
        </w:rPr>
        <w:t xml:space="preserve">Commission </w:t>
      </w:r>
      <w:r>
        <w:rPr>
          <w:rFonts w:cs="Open Sans"/>
        </w:rPr>
        <w:t xml:space="preserve">recommends </w:t>
      </w:r>
      <w:r w:rsidRPr="00003CFD">
        <w:rPr>
          <w:rStyle w:val="normaltextrun"/>
          <w:rFonts w:cs="Open Sans"/>
          <w:color w:val="000000"/>
          <w:shd w:val="clear" w:color="auto" w:fill="FFFFFF"/>
        </w:rPr>
        <w:t>legislat</w:t>
      </w:r>
      <w:r>
        <w:rPr>
          <w:rStyle w:val="normaltextrun"/>
          <w:rFonts w:cs="Open Sans"/>
          <w:color w:val="000000"/>
          <w:shd w:val="clear" w:color="auto" w:fill="FFFFFF"/>
        </w:rPr>
        <w:t>ion</w:t>
      </w:r>
      <w:r w:rsidRPr="00003CFD">
        <w:rPr>
          <w:rStyle w:val="normaltextrun"/>
          <w:rFonts w:cs="Open Sans"/>
          <w:color w:val="000000"/>
          <w:shd w:val="clear" w:color="auto" w:fill="FFFFFF"/>
        </w:rPr>
        <w:t xml:space="preserve"> to prohibit medical interventions </w:t>
      </w:r>
      <w:r>
        <w:rPr>
          <w:rStyle w:val="normaltextrun"/>
          <w:rFonts w:cs="Open Sans"/>
          <w:color w:val="000000"/>
          <w:shd w:val="clear" w:color="auto" w:fill="FFFFFF"/>
        </w:rPr>
        <w:t xml:space="preserve">in relation to people under the age of 18 years born </w:t>
      </w:r>
      <w:r w:rsidRPr="00003CFD">
        <w:rPr>
          <w:rStyle w:val="normaltextrun"/>
          <w:rFonts w:cs="Open Sans"/>
          <w:color w:val="000000"/>
          <w:shd w:val="clear" w:color="auto" w:fill="FFFFFF"/>
        </w:rPr>
        <w:t xml:space="preserve">with variations in sex characteristics otherwise than in accordance with </w:t>
      </w:r>
      <w:r>
        <w:rPr>
          <w:rStyle w:val="normaltextrun"/>
          <w:rFonts w:cs="Open Sans"/>
          <w:color w:val="000000"/>
          <w:shd w:val="clear" w:color="auto" w:fill="FFFFFF"/>
        </w:rPr>
        <w:t>the medical necessity principle.</w:t>
      </w:r>
      <w:r w:rsidRPr="00003CFD">
        <w:rPr>
          <w:rStyle w:val="normaltextrun"/>
          <w:rFonts w:cs="Open Sans"/>
          <w:color w:val="000000"/>
          <w:shd w:val="clear" w:color="auto" w:fill="FFFFFF"/>
        </w:rPr>
        <w:t xml:space="preserve"> Additionally, there should be appropriate criminal penalties </w:t>
      </w:r>
      <w:r w:rsidR="00646B64">
        <w:rPr>
          <w:rStyle w:val="normaltextrun"/>
          <w:rFonts w:cs="Open Sans"/>
          <w:color w:val="000000"/>
          <w:shd w:val="clear" w:color="auto" w:fill="FFFFFF"/>
        </w:rPr>
        <w:t>for carrying out a</w:t>
      </w:r>
      <w:r w:rsidR="00F44443">
        <w:rPr>
          <w:rStyle w:val="normaltextrun"/>
          <w:rFonts w:cs="Open Sans"/>
          <w:color w:val="000000"/>
          <w:shd w:val="clear" w:color="auto" w:fill="FFFFFF"/>
        </w:rPr>
        <w:t xml:space="preserve"> relevant</w:t>
      </w:r>
      <w:r w:rsidR="00646B64">
        <w:rPr>
          <w:rStyle w:val="normaltextrun"/>
          <w:rFonts w:cs="Open Sans"/>
          <w:color w:val="000000"/>
          <w:shd w:val="clear" w:color="auto" w:fill="FFFFFF"/>
        </w:rPr>
        <w:t xml:space="preserve"> intervention </w:t>
      </w:r>
      <w:r w:rsidR="00133800">
        <w:rPr>
          <w:rStyle w:val="normaltextrun"/>
          <w:rFonts w:cs="Open Sans"/>
          <w:color w:val="000000"/>
          <w:shd w:val="clear" w:color="auto" w:fill="FFFFFF"/>
        </w:rPr>
        <w:t xml:space="preserve">without </w:t>
      </w:r>
      <w:r w:rsidR="00643A0E">
        <w:rPr>
          <w:rStyle w:val="normaltextrun"/>
          <w:rFonts w:cs="Open Sans"/>
          <w:color w:val="000000"/>
          <w:shd w:val="clear" w:color="auto" w:fill="FFFFFF"/>
        </w:rPr>
        <w:t xml:space="preserve">authorisation </w:t>
      </w:r>
      <w:r w:rsidR="00870A37">
        <w:rPr>
          <w:rStyle w:val="normaltextrun"/>
          <w:rFonts w:cs="Open Sans"/>
          <w:color w:val="000000"/>
          <w:shd w:val="clear" w:color="auto" w:fill="FFFFFF"/>
        </w:rPr>
        <w:t xml:space="preserve">from </w:t>
      </w:r>
      <w:r w:rsidR="003C23C9">
        <w:rPr>
          <w:rStyle w:val="normaltextrun"/>
          <w:rFonts w:cs="Open Sans"/>
          <w:color w:val="000000"/>
          <w:shd w:val="clear" w:color="auto" w:fill="FFFFFF"/>
        </w:rPr>
        <w:t>an Independent Panel</w:t>
      </w:r>
      <w:r w:rsidR="001F5F60">
        <w:rPr>
          <w:rStyle w:val="normaltextrun"/>
          <w:rFonts w:cs="Open Sans"/>
          <w:color w:val="000000"/>
          <w:shd w:val="clear" w:color="auto" w:fill="FFFFFF"/>
        </w:rPr>
        <w:t xml:space="preserve">. </w:t>
      </w:r>
      <w:r w:rsidRPr="00C55B89">
        <w:rPr>
          <w:rFonts w:cs="Open Sans"/>
        </w:rPr>
        <w:t>Chapter 8 discusses</w:t>
      </w:r>
      <w:r w:rsidRPr="00003CFD">
        <w:rPr>
          <w:rFonts w:cs="Open Sans"/>
        </w:rPr>
        <w:t xml:space="preserve"> how obligations placed on health practitioners and others to apply to an Independent Panel prior to performing medical interventions might be enforced in practice, under criminal and civil law, and through regulation of health professionals. </w:t>
      </w:r>
    </w:p>
    <w:p w:rsidRPr="00B03457" w:rsidR="006D1CB7" w:rsidP="006D1CB7" w:rsidRDefault="006D1CB7" w14:paraId="66327032" w14:textId="77777777">
      <w:pPr>
        <w:pStyle w:val="AHRCHeading3"/>
      </w:pPr>
      <w:bookmarkStart w:name="_Toc80094132" w:id="18"/>
      <w:bookmarkStart w:name="_Toc85541376" w:id="19"/>
      <w:r w:rsidRPr="00B03457">
        <w:lastRenderedPageBreak/>
        <w:t xml:space="preserve">Support, </w:t>
      </w:r>
      <w:r w:rsidRPr="00457E9A">
        <w:t>health</w:t>
      </w:r>
      <w:r w:rsidRPr="00B03457">
        <w:t xml:space="preserve"> records and data collection</w:t>
      </w:r>
      <w:bookmarkEnd w:id="18"/>
      <w:bookmarkEnd w:id="19"/>
    </w:p>
    <w:p w:rsidRPr="00B03457" w:rsidR="006D1CB7" w:rsidP="006D1CB7" w:rsidRDefault="006D1CB7" w14:paraId="380729DF" w14:textId="46AAFF4A">
      <w:r w:rsidRPr="00B03457">
        <w:t xml:space="preserve">People affected by medical interventions modifying sex characteristics need adequate support. </w:t>
      </w:r>
      <w:r w:rsidR="00F64AAB">
        <w:t xml:space="preserve">This includes people born with variations and their parents or guardians. </w:t>
      </w:r>
      <w:r w:rsidRPr="00B03457">
        <w:t xml:space="preserve">Stakeholders raised concerns about records having been destroyed, failure to appropriately share records between treating health professionals, and inadequate record security. </w:t>
      </w:r>
    </w:p>
    <w:p w:rsidRPr="00B03457" w:rsidR="006D1CB7" w:rsidP="006D1CB7" w:rsidRDefault="006D1CB7" w14:paraId="05DE2595" w14:textId="134E6BA2">
      <w:r w:rsidRPr="00B03457">
        <w:t xml:space="preserve">The Commission recommends </w:t>
      </w:r>
      <w:r>
        <w:t xml:space="preserve">in Chapter 9 </w:t>
      </w:r>
      <w:r w:rsidRPr="00B03457">
        <w:t>that governments provide sufficient public funding for peer support organisations, comprehensive psychological and psychiatric health services, and comprehensive and up-to-date consumer resources</w:t>
      </w:r>
      <w:r w:rsidR="009D34E7">
        <w:t xml:space="preserve"> for people born with variations, and their parents or guardians</w:t>
      </w:r>
      <w:r w:rsidRPr="00B03457">
        <w:t xml:space="preserve">. </w:t>
      </w:r>
      <w:r w:rsidR="00D40E03">
        <w:t xml:space="preserve">While support for individuals born with variations is central, supports </w:t>
      </w:r>
      <w:r w:rsidR="00B12755">
        <w:t xml:space="preserve">for parents or guardians is </w:t>
      </w:r>
      <w:r w:rsidR="005345AD">
        <w:t xml:space="preserve">also </w:t>
      </w:r>
      <w:r w:rsidR="00B12755">
        <w:t xml:space="preserve">crucial to </w:t>
      </w:r>
      <w:r w:rsidR="005345AD">
        <w:t>enable</w:t>
      </w:r>
      <w:r w:rsidR="00B12755">
        <w:t xml:space="preserve"> families to best </w:t>
      </w:r>
      <w:r w:rsidR="00DE7B54">
        <w:t xml:space="preserve">understand all the considerations in caring for a child born with </w:t>
      </w:r>
      <w:r w:rsidR="00EA1178">
        <w:t xml:space="preserve">a </w:t>
      </w:r>
      <w:r w:rsidR="00DE7B54">
        <w:t>variation</w:t>
      </w:r>
      <w:r w:rsidR="00B12755">
        <w:t xml:space="preserve">. </w:t>
      </w:r>
      <w:r w:rsidRPr="00B03457">
        <w:t>Australian governments should also consult on establishing and funding coordinator positions to integrate care across multiple specialties and institutions.</w:t>
      </w:r>
    </w:p>
    <w:p w:rsidRPr="00B03457" w:rsidR="006D1CB7" w:rsidP="006D1CB7" w:rsidRDefault="006D1CB7" w14:paraId="3654893D" w14:textId="77777777">
      <w:r>
        <w:t xml:space="preserve">The Commission considers that </w:t>
      </w:r>
      <w:r w:rsidRPr="00B03457">
        <w:t xml:space="preserve">there is a need for long-term, longitudinal data on past and current practices to better understand the health and psychosocial effects of different interventions. </w:t>
      </w:r>
    </w:p>
    <w:p w:rsidR="006D1CB7" w:rsidP="006D1CB7" w:rsidRDefault="006D1CB7" w14:paraId="6421C745" w14:textId="6F409514">
      <w:r w:rsidRPr="00B03457">
        <w:t xml:space="preserve">The Commission </w:t>
      </w:r>
      <w:r>
        <w:t xml:space="preserve">therefore </w:t>
      </w:r>
      <w:r w:rsidRPr="00B03457">
        <w:t xml:space="preserve">recommends the Australian Government facilitate the establishment of a national databank to assist research on the </w:t>
      </w:r>
      <w:r>
        <w:t>frequency</w:t>
      </w:r>
      <w:r w:rsidRPr="00B03457">
        <w:t xml:space="preserve"> of variations in sex characteristics</w:t>
      </w:r>
      <w:r>
        <w:t xml:space="preserve"> and</w:t>
      </w:r>
      <w:r w:rsidRPr="00B03457">
        <w:t xml:space="preserve"> the effects of medical interventions and non-intervention</w:t>
      </w:r>
      <w:r>
        <w:t xml:space="preserve">. </w:t>
      </w:r>
      <w:r w:rsidRPr="00691065">
        <w:t xml:space="preserve">The Australian Government and state and territory governments should </w:t>
      </w:r>
      <w:r>
        <w:t xml:space="preserve">also </w:t>
      </w:r>
      <w:r w:rsidRPr="00691065">
        <w:t xml:space="preserve">fund and facilitate collaborative medical, psychological, health and wellbeing research, </w:t>
      </w:r>
      <w:r>
        <w:t xml:space="preserve">and </w:t>
      </w:r>
      <w:r w:rsidRPr="00691065">
        <w:t>socio-economic research to tackle stigma and disadvantage</w:t>
      </w:r>
      <w:r w:rsidR="00E32D19">
        <w:t xml:space="preserve"> </w:t>
      </w:r>
      <w:r w:rsidR="00D92588">
        <w:t xml:space="preserve">as relates to </w:t>
      </w:r>
      <w:r w:rsidRPr="5488933C" w:rsidR="00E32D19">
        <w:rPr>
          <w:rFonts w:cs="Open Sans"/>
          <w:color w:val="000000" w:themeColor="text1"/>
        </w:rPr>
        <w:t>exclusion in schooling and employment</w:t>
      </w:r>
      <w:r>
        <w:t>.</w:t>
      </w:r>
    </w:p>
    <w:p w:rsidR="006D1CB7" w:rsidP="006D1CB7" w:rsidRDefault="006D1CB7" w14:paraId="7EE6814C" w14:textId="77777777">
      <w:pPr>
        <w:pStyle w:val="AHRCHeading2"/>
      </w:pPr>
      <w:bookmarkStart w:name="_Toc77612630" w:id="20"/>
      <w:bookmarkStart w:name="_Toc80094133" w:id="21"/>
      <w:bookmarkStart w:name="_Toc85541377" w:id="22"/>
      <w:r>
        <w:t>Developments around Australia</w:t>
      </w:r>
      <w:bookmarkEnd w:id="20"/>
      <w:bookmarkEnd w:id="21"/>
      <w:bookmarkEnd w:id="22"/>
    </w:p>
    <w:p w:rsidR="006D1CB7" w:rsidP="006D1CB7" w:rsidRDefault="006D1CB7" w14:paraId="6BFB3BA4" w14:textId="77777777">
      <w:r>
        <w:t>In 2013, the Senate Community Affairs References Committee (Senate Committee) conducted an inquiry into the involuntary or coerced sterilisation of intersex people in Australia (Senate Committee Inquiry). In its final report, the Senate Committee made a number of recommendations to better protect the human rights of intersex people.</w:t>
      </w:r>
      <w:r w:rsidRPr="006739C2">
        <w:rPr>
          <w:sz w:val="20"/>
          <w:szCs w:val="20"/>
          <w:vertAlign w:val="superscript"/>
        </w:rPr>
        <w:endnoteReference w:id="7"/>
      </w:r>
    </w:p>
    <w:p w:rsidR="006D1CB7" w:rsidP="006D1CB7" w:rsidRDefault="006D1CB7" w14:paraId="202BE64F" w14:textId="77777777">
      <w:r w:rsidRPr="00E47CDC">
        <w:lastRenderedPageBreak/>
        <w:t xml:space="preserve">In its formal response in May 2015, the Australian Government welcomed the report and recognised the harm experienced by many people subjected to forced sterilisation. It committed to raising with the states and territories the Senate Committee’s recommendations regarding the legal framework regulating sterilisation for people with disability, with a view to promoting consistency between Australian jurisdictions. </w:t>
      </w:r>
    </w:p>
    <w:p w:rsidR="006D1CB7" w:rsidP="006D1CB7" w:rsidRDefault="006D1CB7" w14:paraId="4F2F358C" w14:textId="77777777">
      <w:r w:rsidRPr="00E47CDC">
        <w:t xml:space="preserve">In respect of ‘involuntary or coerced sterilisation of intersex people’, the Government acknowledged the report’s main recommendations and specifically noted the benefit of further research on the desirability of ‘bringing the medical treatment of intersex variations into the jurisdiction of guardianship tribunals’ and/or the Family Court of Australia, but did not support amending the </w:t>
      </w:r>
      <w:r w:rsidRPr="00F409C0">
        <w:rPr>
          <w:i/>
        </w:rPr>
        <w:t>Family Law Act 1975</w:t>
      </w:r>
      <w:r w:rsidRPr="00E47CDC">
        <w:t xml:space="preserve"> (Cth) to expand the Family Court’s role at that time.</w:t>
      </w:r>
      <w:r w:rsidRPr="2DDBDD12">
        <w:rPr>
          <w:rStyle w:val="EndnoteReference"/>
        </w:rPr>
        <w:endnoteReference w:id="8"/>
      </w:r>
      <w:r w:rsidRPr="00E47CDC">
        <w:t xml:space="preserve"> Broadly speaking, the Australian Government has emphasised the responsibility of the states and territories and has not committed to the implementation of particular reform in this area.</w:t>
      </w:r>
      <w:r w:rsidRPr="2DDBDD12">
        <w:rPr>
          <w:rStyle w:val="EndnoteReference"/>
        </w:rPr>
        <w:endnoteReference w:id="9"/>
      </w:r>
    </w:p>
    <w:p w:rsidRPr="00B03457" w:rsidR="006D1CB7" w:rsidP="006D1CB7" w:rsidRDefault="006D1CB7" w14:paraId="61261552" w14:textId="77777777">
      <w:bookmarkStart w:name="_Toc536701321" w:id="23"/>
      <w:r w:rsidRPr="00B03457">
        <w:t xml:space="preserve">During the </w:t>
      </w:r>
      <w:r>
        <w:t>Commission’s inquiry</w:t>
      </w:r>
      <w:r w:rsidRPr="00B03457">
        <w:t>, state governments ha</w:t>
      </w:r>
      <w:r>
        <w:t>d</w:t>
      </w:r>
      <w:r w:rsidRPr="00B03457">
        <w:t xml:space="preserve"> also been considering how to better </w:t>
      </w:r>
      <w:r w:rsidRPr="00B03457">
        <w:rPr>
          <w:rFonts w:cs="Open Sans"/>
        </w:rPr>
        <w:t>protect the rights of people</w:t>
      </w:r>
      <w:r>
        <w:rPr>
          <w:rFonts w:cs="Open Sans"/>
        </w:rPr>
        <w:t xml:space="preserve"> born</w:t>
      </w:r>
      <w:r w:rsidRPr="00B03457">
        <w:rPr>
          <w:rFonts w:cs="Open Sans"/>
        </w:rPr>
        <w:t xml:space="preserve"> with variations in sex characteristics and provide better support to them and their families.</w:t>
      </w:r>
      <w:r w:rsidRPr="00B03457">
        <w:t xml:space="preserve"> </w:t>
      </w:r>
    </w:p>
    <w:bookmarkEnd w:id="23"/>
    <w:p w:rsidRPr="009817C7" w:rsidR="006D1CB7" w:rsidP="006D1CB7" w:rsidRDefault="006D1CB7" w14:paraId="0D0CE659" w14:textId="38244FEF">
      <w:pPr>
        <w:rPr>
          <w:rFonts w:cs="Open Sans"/>
        </w:rPr>
      </w:pPr>
      <w:r>
        <w:rPr>
          <w:rFonts w:cs="Open Sans"/>
        </w:rPr>
        <w:t xml:space="preserve">In July 2021, the </w:t>
      </w:r>
      <w:r w:rsidRPr="009817C7">
        <w:rPr>
          <w:rFonts w:cs="Open Sans"/>
        </w:rPr>
        <w:t xml:space="preserve">Victorian </w:t>
      </w:r>
      <w:r w:rsidRPr="0117CC5D">
        <w:rPr>
          <w:rFonts w:cs="Open Sans"/>
        </w:rPr>
        <w:t>Government</w:t>
      </w:r>
      <w:r w:rsidRPr="0117CC5D" w:rsidR="537BEE9B">
        <w:rPr>
          <w:rFonts w:cs="Open Sans"/>
        </w:rPr>
        <w:t xml:space="preserve"> </w:t>
      </w:r>
      <w:r>
        <w:rPr>
          <w:rFonts w:cs="Open Sans"/>
        </w:rPr>
        <w:t>committed</w:t>
      </w:r>
      <w:r w:rsidRPr="009817C7">
        <w:rPr>
          <w:rFonts w:cs="Open Sans"/>
        </w:rPr>
        <w:t xml:space="preserve"> to prohibit</w:t>
      </w:r>
      <w:r>
        <w:rPr>
          <w:rFonts w:cs="Open Sans"/>
        </w:rPr>
        <w:t>ing</w:t>
      </w:r>
      <w:r w:rsidRPr="009817C7">
        <w:rPr>
          <w:rFonts w:cs="Open Sans"/>
        </w:rPr>
        <w:t xml:space="preserve"> deferrable medical interventions on intersex people without personal consent, and introducing an oversight panel to ensure compliance with the prohibition. </w:t>
      </w:r>
      <w:r>
        <w:rPr>
          <w:rFonts w:cs="Open Sans"/>
        </w:rPr>
        <w:t>The Commission welcomes this commitment.</w:t>
      </w:r>
    </w:p>
    <w:p w:rsidRPr="009817C7" w:rsidR="006D1CB7" w:rsidP="006D1CB7" w:rsidRDefault="006D1CB7" w14:paraId="42EDABF7" w14:textId="77777777">
      <w:pPr>
        <w:rPr>
          <w:rFonts w:cs="Open Sans"/>
        </w:rPr>
      </w:pPr>
      <w:r>
        <w:rPr>
          <w:rFonts w:cs="Open Sans"/>
        </w:rPr>
        <w:t>In</w:t>
      </w:r>
      <w:r w:rsidRPr="009817C7">
        <w:rPr>
          <w:rFonts w:cs="Open Sans"/>
        </w:rPr>
        <w:t xml:space="preserve"> July 2021</w:t>
      </w:r>
      <w:r>
        <w:rPr>
          <w:rFonts w:cs="Open Sans"/>
        </w:rPr>
        <w:t>, the report</w:t>
      </w:r>
      <w:r w:rsidRPr="009817C7">
        <w:rPr>
          <w:rFonts w:cs="Open Sans"/>
        </w:rPr>
        <w:t xml:space="preserve"> </w:t>
      </w:r>
      <w:r w:rsidRPr="009817C7">
        <w:rPr>
          <w:rFonts w:cs="Open Sans"/>
          <w:i/>
          <w:iCs/>
        </w:rPr>
        <w:t>(i) Am Equal: Future Directions for Victoria’s Intersex community</w:t>
      </w:r>
      <w:r w:rsidRPr="00666ED5">
        <w:rPr>
          <w:rFonts w:cs="Open Sans"/>
        </w:rPr>
        <w:t>,</w:t>
      </w:r>
      <w:r w:rsidRPr="009817C7">
        <w:rPr>
          <w:rFonts w:cs="Open Sans"/>
        </w:rPr>
        <w:t xml:space="preserve"> outline</w:t>
      </w:r>
      <w:r>
        <w:rPr>
          <w:rFonts w:cs="Open Sans"/>
        </w:rPr>
        <w:t>d</w:t>
      </w:r>
      <w:r w:rsidRPr="009817C7">
        <w:rPr>
          <w:rFonts w:cs="Open Sans"/>
        </w:rPr>
        <w:t xml:space="preserve"> a collaborative approach that importantly includes people born with variations in sex characteristics and their advocacy and peer support organisations.</w:t>
      </w:r>
      <w:r>
        <w:rPr>
          <w:rStyle w:val="EndnoteReference"/>
          <w:rFonts w:cs="Open Sans"/>
        </w:rPr>
        <w:endnoteReference w:id="10"/>
      </w:r>
      <w:r w:rsidRPr="009817C7">
        <w:rPr>
          <w:rFonts w:cs="Open Sans"/>
        </w:rPr>
        <w:t xml:space="preserve"> </w:t>
      </w:r>
    </w:p>
    <w:p w:rsidRPr="009817C7" w:rsidR="006D1CB7" w:rsidP="006D1CB7" w:rsidRDefault="006D1CB7" w14:paraId="32EAEF15" w14:textId="77777777">
      <w:pPr>
        <w:rPr>
          <w:rFonts w:cs="Open Sans"/>
        </w:rPr>
      </w:pPr>
      <w:r w:rsidRPr="009817C7">
        <w:rPr>
          <w:rFonts w:cs="Open Sans"/>
        </w:rPr>
        <w:t>Its three main focus area</w:t>
      </w:r>
      <w:r>
        <w:rPr>
          <w:rFonts w:cs="Open Sans"/>
        </w:rPr>
        <w:t>s –</w:t>
      </w:r>
      <w:r>
        <w:t xml:space="preserve"> </w:t>
      </w:r>
      <w:r w:rsidRPr="009817C7">
        <w:rPr>
          <w:rFonts w:cs="Open Sans"/>
        </w:rPr>
        <w:t>Future Intersex Resourcing, Future Intersex Health and Wellbeing Centre, and Improving Future Treatment</w:t>
      </w:r>
      <w:r>
        <w:rPr>
          <w:rFonts w:cs="Open Sans"/>
        </w:rPr>
        <w:t xml:space="preserve"> – </w:t>
      </w:r>
      <w:r w:rsidRPr="009817C7">
        <w:rPr>
          <w:rFonts w:cs="Open Sans"/>
        </w:rPr>
        <w:t xml:space="preserve">are consistent with the Commission’s </w:t>
      </w:r>
      <w:r w:rsidRPr="2CF8324B">
        <w:rPr>
          <w:rFonts w:cs="Open Sans"/>
        </w:rPr>
        <w:t>views</w:t>
      </w:r>
      <w:r w:rsidRPr="009817C7">
        <w:rPr>
          <w:rFonts w:cs="Open Sans"/>
        </w:rPr>
        <w:t xml:space="preserve"> reflected in this </w:t>
      </w:r>
      <w:r>
        <w:rPr>
          <w:rFonts w:cs="Open Sans"/>
        </w:rPr>
        <w:t>R</w:t>
      </w:r>
      <w:r w:rsidRPr="009817C7">
        <w:rPr>
          <w:rFonts w:cs="Open Sans"/>
        </w:rPr>
        <w:t>eport. The proposal</w:t>
      </w:r>
      <w:r>
        <w:rPr>
          <w:rFonts w:cs="Open Sans"/>
        </w:rPr>
        <w:t>s</w:t>
      </w:r>
      <w:r w:rsidRPr="009817C7">
        <w:rPr>
          <w:rFonts w:cs="Open Sans"/>
        </w:rPr>
        <w:t xml:space="preserve"> to develop: a mechanism to prohibit deferrable medical interventions modifying a person’s sex characteristics without personal consent; an oversight panel to ensure </w:t>
      </w:r>
      <w:r w:rsidRPr="009817C7">
        <w:rPr>
          <w:rFonts w:cs="Open Sans"/>
        </w:rPr>
        <w:lastRenderedPageBreak/>
        <w:t>compliance with the prohibition; provisions which ensure the collection of data and transparency over what treatments are being performed and support for the development of National Guidelines</w:t>
      </w:r>
      <w:r w:rsidRPr="2CF8324B">
        <w:rPr>
          <w:rFonts w:cs="Open Sans"/>
        </w:rPr>
        <w:t>,</w:t>
      </w:r>
      <w:r w:rsidRPr="009817C7">
        <w:rPr>
          <w:rFonts w:cs="Open Sans"/>
        </w:rPr>
        <w:t xml:space="preserve"> are welcome and consistent with key recommendations</w:t>
      </w:r>
      <w:r>
        <w:rPr>
          <w:rFonts w:cs="Open Sans"/>
        </w:rPr>
        <w:t xml:space="preserve"> in this Report</w:t>
      </w:r>
      <w:r w:rsidRPr="009817C7">
        <w:rPr>
          <w:rFonts w:cs="Open Sans"/>
        </w:rPr>
        <w:t xml:space="preserve">. </w:t>
      </w:r>
    </w:p>
    <w:p w:rsidRPr="009817C7" w:rsidR="006D1CB7" w:rsidP="006D1CB7" w:rsidRDefault="006D1CB7" w14:paraId="79E2D5FD" w14:textId="77777777">
      <w:pPr>
        <w:rPr>
          <w:rFonts w:cs="Open Sans"/>
        </w:rPr>
      </w:pPr>
      <w:r>
        <w:rPr>
          <w:rFonts w:cs="Open Sans"/>
        </w:rPr>
        <w:t>The Commission also welcomes</w:t>
      </w:r>
      <w:r w:rsidRPr="009817C7">
        <w:rPr>
          <w:rFonts w:cs="Open Sans"/>
        </w:rPr>
        <w:t xml:space="preserve"> </w:t>
      </w:r>
      <w:r>
        <w:rPr>
          <w:rFonts w:cs="Open Sans"/>
        </w:rPr>
        <w:t xml:space="preserve">the </w:t>
      </w:r>
      <w:r w:rsidRPr="009817C7">
        <w:rPr>
          <w:rFonts w:cs="Open Sans"/>
        </w:rPr>
        <w:t xml:space="preserve">ACT </w:t>
      </w:r>
      <w:r>
        <w:rPr>
          <w:rFonts w:cs="Open Sans"/>
        </w:rPr>
        <w:t>G</w:t>
      </w:r>
      <w:r w:rsidRPr="009817C7">
        <w:rPr>
          <w:rFonts w:cs="Open Sans"/>
        </w:rPr>
        <w:t>overnment</w:t>
      </w:r>
      <w:r>
        <w:rPr>
          <w:rFonts w:cs="Open Sans"/>
        </w:rPr>
        <w:t>’s</w:t>
      </w:r>
      <w:r w:rsidRPr="009817C7">
        <w:rPr>
          <w:rFonts w:cs="Open Sans"/>
        </w:rPr>
        <w:t xml:space="preserve"> </w:t>
      </w:r>
      <w:r>
        <w:rPr>
          <w:rFonts w:cs="Open Sans"/>
        </w:rPr>
        <w:t>work</w:t>
      </w:r>
      <w:r w:rsidRPr="009817C7">
        <w:rPr>
          <w:rFonts w:cs="Open Sans"/>
        </w:rPr>
        <w:t xml:space="preserve"> to protect the rights of people </w:t>
      </w:r>
      <w:r>
        <w:rPr>
          <w:rFonts w:cs="Open Sans"/>
        </w:rPr>
        <w:t xml:space="preserve">born </w:t>
      </w:r>
      <w:r w:rsidRPr="009817C7">
        <w:rPr>
          <w:rFonts w:cs="Open Sans"/>
        </w:rPr>
        <w:t>with variations in sex characteristics</w:t>
      </w:r>
      <w:r>
        <w:rPr>
          <w:rFonts w:cs="Open Sans"/>
        </w:rPr>
        <w:t xml:space="preserve"> </w:t>
      </w:r>
      <w:r w:rsidRPr="009817C7">
        <w:rPr>
          <w:rFonts w:cs="Open Sans"/>
        </w:rPr>
        <w:t xml:space="preserve">and provide better support to them and their families. </w:t>
      </w:r>
      <w:r>
        <w:rPr>
          <w:rFonts w:cs="Open Sans"/>
        </w:rPr>
        <w:t>In</w:t>
      </w:r>
      <w:r w:rsidRPr="009817C7">
        <w:rPr>
          <w:rFonts w:cs="Open Sans"/>
        </w:rPr>
        <w:t xml:space="preserve"> October 2019, the </w:t>
      </w:r>
      <w:r>
        <w:rPr>
          <w:rFonts w:cs="Open Sans"/>
        </w:rPr>
        <w:t>ACT G</w:t>
      </w:r>
      <w:r w:rsidRPr="009817C7">
        <w:rPr>
          <w:rFonts w:cs="Open Sans"/>
        </w:rPr>
        <w:t xml:space="preserve">overnment committed to developing a plan for managing </w:t>
      </w:r>
      <w:r>
        <w:rPr>
          <w:rFonts w:cs="Open Sans"/>
        </w:rPr>
        <w:t>deferrable</w:t>
      </w:r>
      <w:r w:rsidRPr="009817C7">
        <w:rPr>
          <w:rFonts w:cs="Open Sans"/>
        </w:rPr>
        <w:t xml:space="preserve"> medical interventions for </w:t>
      </w:r>
      <w:r>
        <w:rPr>
          <w:rFonts w:cs="Open Sans"/>
        </w:rPr>
        <w:t>people born with variations in sex characteristics</w:t>
      </w:r>
      <w:r w:rsidRPr="009817C7">
        <w:rPr>
          <w:rFonts w:cs="Open Sans"/>
        </w:rPr>
        <w:t>. This has involved consulting with intersex people and experts in the field; reviewing the existing literature and initiatives in other countries; and testing key issues with stakeholder individuals and organisations.</w:t>
      </w:r>
    </w:p>
    <w:p w:rsidRPr="00582F05" w:rsidR="006D1CB7" w:rsidP="006D1CB7" w:rsidRDefault="006D1CB7" w14:paraId="0E383131" w14:textId="7712E6F6">
      <w:pPr>
        <w:rPr>
          <w:rFonts w:cs="Open Sans"/>
        </w:rPr>
      </w:pPr>
      <w:r>
        <w:rPr>
          <w:rFonts w:cs="Open Sans"/>
        </w:rPr>
        <w:t>The Commission has engaged with the</w:t>
      </w:r>
      <w:r w:rsidRPr="009817C7">
        <w:rPr>
          <w:rFonts w:cs="Open Sans"/>
        </w:rPr>
        <w:t xml:space="preserve"> ACT</w:t>
      </w:r>
      <w:r w:rsidR="00833C29">
        <w:rPr>
          <w:rFonts w:cs="Open Sans"/>
        </w:rPr>
        <w:t xml:space="preserve">’s efforts </w:t>
      </w:r>
      <w:r w:rsidRPr="009817C7">
        <w:rPr>
          <w:rFonts w:cs="Open Sans"/>
        </w:rPr>
        <w:t xml:space="preserve"> </w:t>
      </w:r>
      <w:r>
        <w:rPr>
          <w:rFonts w:cs="Open Sans"/>
        </w:rPr>
        <w:t xml:space="preserve">to formulate a proposal to develop such protections. There is congruence in the approach proposed by the ACT Government and that of the Commission’s, as articulated in this report. </w:t>
      </w:r>
    </w:p>
    <w:p w:rsidR="006D1CB7" w:rsidP="006D1CB7" w:rsidRDefault="006D1CB7" w14:paraId="1CC3D608" w14:textId="77777777">
      <w:pPr>
        <w:pStyle w:val="AHRCHeading2"/>
      </w:pPr>
      <w:bookmarkStart w:name="_Toc80094134" w:id="24"/>
      <w:bookmarkStart w:name="_Toc85541378" w:id="25"/>
      <w:r>
        <w:t>Methodology</w:t>
      </w:r>
      <w:bookmarkEnd w:id="24"/>
      <w:bookmarkEnd w:id="25"/>
    </w:p>
    <w:p w:rsidRPr="00B03457" w:rsidR="006D1CB7" w:rsidP="006D1CB7" w:rsidRDefault="006D1CB7" w14:paraId="1FF6B159" w14:textId="77777777">
      <w:pPr>
        <w:pStyle w:val="AHRCHeading3"/>
      </w:pPr>
      <w:bookmarkStart w:name="_Toc80094135" w:id="26"/>
      <w:bookmarkStart w:name="_Toc85541379" w:id="27"/>
      <w:r>
        <w:t>Objects</w:t>
      </w:r>
      <w:bookmarkEnd w:id="26"/>
      <w:bookmarkEnd w:id="27"/>
    </w:p>
    <w:p w:rsidRPr="00B03457" w:rsidR="006D1CB7" w:rsidP="006D1CB7" w:rsidRDefault="006D1CB7" w14:paraId="55FE5EE6" w14:textId="77777777">
      <w:r w:rsidRPr="00B03457">
        <w:t>The Project was undertaken to evaluate the current approaches taken to medical interventions in Australia and other jurisdictions using a human rights-based framework, and to develop recommendations for a nationally consistent human-rights based approach to decision making about medical interventions.</w:t>
      </w:r>
    </w:p>
    <w:p w:rsidRPr="003E5114" w:rsidR="006D1CB7" w:rsidP="006D1CB7" w:rsidRDefault="006D1CB7" w14:paraId="1A8B86E8" w14:textId="5FF49D95">
      <w:pPr>
        <w:keepNext/>
      </w:pPr>
      <w:r>
        <w:t>This project aimed to</w:t>
      </w:r>
    </w:p>
    <w:p w:rsidRPr="003E5114" w:rsidR="006D1CB7" w:rsidP="00170878" w:rsidRDefault="006D1CB7" w14:paraId="75C33497" w14:textId="77777777">
      <w:pPr>
        <w:numPr>
          <w:ilvl w:val="0"/>
          <w:numId w:val="18"/>
        </w:numPr>
      </w:pPr>
      <w:r w:rsidRPr="003E5114">
        <w:t>identify key issues and obtain perspectives on current practice by consulting with various stakeholders, including individuals born with variations in sex characteristics, advocacy groups, medical professionals and representatives from federal, state and territory governments</w:t>
      </w:r>
    </w:p>
    <w:p w:rsidRPr="003E5114" w:rsidR="006D1CB7" w:rsidP="00170878" w:rsidRDefault="006D1CB7" w14:paraId="5CC57B8A" w14:textId="387FC148">
      <w:pPr>
        <w:numPr>
          <w:ilvl w:val="0"/>
          <w:numId w:val="18"/>
        </w:numPr>
      </w:pPr>
      <w:r w:rsidRPr="003E5114">
        <w:t>evaluate the current approaches taken to medical interventions in Australia and other jurisdictions using a human rights-based framework</w:t>
      </w:r>
    </w:p>
    <w:p w:rsidRPr="003E5114" w:rsidR="006D1CB7" w:rsidP="00170878" w:rsidRDefault="006D1CB7" w14:paraId="1F21528C" w14:textId="77777777">
      <w:pPr>
        <w:numPr>
          <w:ilvl w:val="0"/>
          <w:numId w:val="18"/>
        </w:numPr>
      </w:pPr>
      <w:r>
        <w:t>develop recommendations for a nationally consistent human-rights based approach to decision-making about medical interventions.</w:t>
      </w:r>
    </w:p>
    <w:p w:rsidR="00876250" w:rsidP="00B16B5D" w:rsidRDefault="002E2C3C" w14:paraId="5DD1B69D" w14:textId="0175F6FA">
      <w:pPr>
        <w:pStyle w:val="AHRCHeading3"/>
        <w:tabs>
          <w:tab w:val="clear" w:pos="851"/>
          <w:tab w:val="num" w:pos="142"/>
        </w:tabs>
        <w:ind w:left="0" w:firstLine="0"/>
        <w:rPr/>
      </w:pPr>
      <w:bookmarkStart w:name="_Toc80094136" w:id="28"/>
      <w:bookmarkStart w:name="_Toc85541380" w:id="29"/>
      <w:r w:rsidR="002E2C3C">
        <w:rPr/>
        <w:t xml:space="preserve">Expert </w:t>
      </w:r>
      <w:r w:rsidR="009D73F1">
        <w:rPr/>
        <w:t>r</w:t>
      </w:r>
      <w:r w:rsidR="002E2C3C">
        <w:rPr/>
        <w:t xml:space="preserve">eference </w:t>
      </w:r>
      <w:r w:rsidR="009D73F1">
        <w:rPr/>
        <w:t>g</w:t>
      </w:r>
      <w:r w:rsidR="002E2C3C">
        <w:rPr/>
        <w:t>roup</w:t>
      </w:r>
      <w:r>
        <w:br/>
      </w:r>
      <w:r>
        <w:br/>
      </w:r>
      <w:r w:rsidR="00876250">
        <w:rPr/>
        <w:t xml:space="preserve">The Commission convened an expert reference group to help guide the consultation process. </w:t>
      </w:r>
      <w:r w:rsidR="00876250">
        <w:rPr/>
        <w:t>The Expert Reference Group</w:t>
      </w:r>
      <w:r w:rsidR="00876250">
        <w:rPr/>
        <w:t xml:space="preserve"> w</w:t>
      </w:r>
      <w:r w:rsidR="00876250">
        <w:rPr/>
        <w:t xml:space="preserve">as constituted of </w:t>
      </w:r>
      <w:r w:rsidR="00876250">
        <w:rPr/>
        <w:t xml:space="preserve">a range of human rights, clinical and peer support and advocacy groups. The Commission </w:t>
      </w:r>
      <w:r w:rsidR="00BD0A0F">
        <w:rPr/>
        <w:t>greatly appreciates</w:t>
      </w:r>
      <w:r w:rsidR="00876250">
        <w:rPr/>
        <w:t xml:space="preserve"> the significant time and intellectual contribution of group members, including </w:t>
      </w:r>
      <w:r w:rsidR="009A4D6D">
        <w:rPr/>
        <w:t xml:space="preserve">Tony Briffa and Morgan Carpenter from </w:t>
      </w:r>
      <w:r w:rsidR="00876250">
        <w:rPr/>
        <w:t>Intersex Human Rights Australia,</w:t>
      </w:r>
      <w:r w:rsidR="009A4D6D">
        <w:rPr/>
        <w:t xml:space="preserve"> Bonnie Hart from</w:t>
      </w:r>
      <w:r w:rsidR="00876250">
        <w:rPr/>
        <w:t xml:space="preserve"> the Androgen Insensitivity Syndrome Support Group Australia (AISSGA) – now Intersex Peer Support Australia</w:t>
      </w:r>
      <w:r w:rsidR="00876250">
        <w:rPr/>
        <w:t>,</w:t>
      </w:r>
      <w:r w:rsidR="00876250">
        <w:rPr/>
        <w:t xml:space="preserve"> and </w:t>
      </w:r>
      <w:r w:rsidR="00875E8A">
        <w:rPr/>
        <w:t xml:space="preserve">Anna Brown from </w:t>
      </w:r>
      <w:r w:rsidR="00876250">
        <w:rPr/>
        <w:t>Equality Australia</w:t>
      </w:r>
      <w:r w:rsidR="00E3137E">
        <w:rPr/>
        <w:t>.</w:t>
      </w:r>
      <w:bookmarkEnd w:id="29"/>
    </w:p>
    <w:p w:rsidR="006D1CB7" w:rsidP="006D1CB7" w:rsidRDefault="006D1CB7" w14:paraId="5C689089" w14:textId="0FDD80EE">
      <w:pPr>
        <w:pStyle w:val="AHRCHeading3"/>
      </w:pPr>
      <w:bookmarkStart w:name="_Toc85541381" w:id="30"/>
      <w:r>
        <w:t>Consultation process</w:t>
      </w:r>
      <w:bookmarkEnd w:id="28"/>
      <w:bookmarkEnd w:id="30"/>
    </w:p>
    <w:p w:rsidRPr="00B03457" w:rsidR="002E2C3C" w:rsidP="006D1CB7" w:rsidRDefault="006D1CB7" w14:paraId="210ADDDA" w14:textId="431A6C28">
      <w:r>
        <w:t>The Commission released a Consultation Paper in 2018,</w:t>
      </w:r>
      <w:r w:rsidRPr="1A25A707">
        <w:rPr>
          <w:rStyle w:val="EndnoteReference"/>
        </w:rPr>
        <w:endnoteReference w:id="11"/>
      </w:r>
      <w:r w:rsidRPr="00B03457">
        <w:t xml:space="preserve"> received written submissions</w:t>
      </w:r>
      <w:r w:rsidRPr="00B03457" w:rsidR="3A0318C3">
        <w:t>,</w:t>
      </w:r>
      <w:r w:rsidR="00833C29">
        <w:t xml:space="preserve"> </w:t>
      </w:r>
      <w:r w:rsidRPr="00B03457">
        <w:t>and conducted roundtable consultations and individual interviews with people with lived experience</w:t>
      </w:r>
      <w:r>
        <w:t xml:space="preserve"> of variations in sex characteristics</w:t>
      </w:r>
      <w:r w:rsidRPr="00B03457">
        <w:t xml:space="preserve">. </w:t>
      </w:r>
    </w:p>
    <w:p w:rsidRPr="003E5114" w:rsidR="00126CC7" w:rsidP="003C23AE" w:rsidRDefault="006D1CB7" w14:paraId="07FEB432" w14:textId="573148D1">
      <w:r>
        <w:t>The Commission received 48 written submissions. Organisational submissions which consented to be identified, have been cited.</w:t>
      </w:r>
      <w:r>
        <w:rPr>
          <w:rStyle w:val="EndnoteReference"/>
        </w:rPr>
        <w:endnoteReference w:id="12"/>
      </w:r>
      <w:r>
        <w:t xml:space="preserve"> All other organisational and individual submissions that were provided in confidence are not identified.  The Commission conducted roundtable consultations in Sydney, Melbourne, Brisbane and Perth with people with lived experience, medical specialists, and government, academic and civil society stakeholders. The Commission conducted 17 individual interviews with people with lived experience</w:t>
      </w:r>
      <w:r w:rsidR="00140398">
        <w:rPr>
          <w:rFonts w:cs="Open Sans"/>
        </w:rPr>
        <w:t>;</w:t>
      </w:r>
      <w:r w:rsidRPr="009A267C" w:rsidR="000E1D69">
        <w:rPr>
          <w:rFonts w:cs="Open Sans"/>
        </w:rPr>
        <w:t xml:space="preserve">13 </w:t>
      </w:r>
      <w:r w:rsidR="00271E30">
        <w:rPr>
          <w:rFonts w:cs="Open Sans"/>
        </w:rPr>
        <w:t xml:space="preserve">with </w:t>
      </w:r>
      <w:r w:rsidRPr="009A267C" w:rsidR="000E1D69">
        <w:rPr>
          <w:rFonts w:cs="Open Sans"/>
        </w:rPr>
        <w:t>people born with variations in sex characteristics, and four with parents and partners</w:t>
      </w:r>
      <w:r w:rsidR="00140398">
        <w:rPr>
          <w:rFonts w:cs="Open Sans"/>
        </w:rPr>
        <w:t>. The Commission</w:t>
      </w:r>
      <w:r w:rsidRPr="009A267C" w:rsidR="000E1D69">
        <w:rPr>
          <w:rFonts w:cs="Open Sans"/>
        </w:rPr>
        <w:t xml:space="preserve"> received four submissions made by people </w:t>
      </w:r>
      <w:r w:rsidR="001F7087">
        <w:rPr>
          <w:rFonts w:cs="Open Sans"/>
        </w:rPr>
        <w:t>born with variations in sex characteristics</w:t>
      </w:r>
      <w:r w:rsidRPr="009A267C" w:rsidR="000E1D69">
        <w:rPr>
          <w:rFonts w:cs="Open Sans"/>
        </w:rPr>
        <w:t>, four from parents, and received four submissions from support groups which collated the experience of their members.</w:t>
      </w:r>
    </w:p>
    <w:p w:rsidR="006D1CB7" w:rsidP="006D1CB7" w:rsidRDefault="006D1CB7" w14:paraId="2265F6C7" w14:textId="234EAD6D">
      <w:r w:rsidRPr="003E5114">
        <w:t>The Commission has been careful to de-identify information</w:t>
      </w:r>
      <w:r>
        <w:t xml:space="preserve"> from these contributors</w:t>
      </w:r>
      <w:r w:rsidRPr="003E5114">
        <w:t xml:space="preserve"> presented in this report</w:t>
      </w:r>
      <w:r>
        <w:t>, particularly in Chapter 3 – Lived experience</w:t>
      </w:r>
      <w:r w:rsidRPr="003E5114">
        <w:t>.</w:t>
      </w:r>
    </w:p>
    <w:p w:rsidR="00CA6861" w:rsidP="00CA6861" w:rsidRDefault="00CA6861" w14:paraId="025632FE" w14:textId="23802100">
      <w:r w:rsidRPr="000A3CBD">
        <w:lastRenderedPageBreak/>
        <w:t>The Commission notes the lack of comprehensive data collection</w:t>
      </w:r>
      <w:r>
        <w:t>, as</w:t>
      </w:r>
      <w:r w:rsidRPr="000A3CBD">
        <w:t xml:space="preserve"> discussed in Chapter 9, including on the life-long effects of interventions. The Commission did not hear contemporaneous accounts from children about their experiences. Rather, many of the people born with variations in sex characteristics, who are now adults, shared experiences relating to when they were children. </w:t>
      </w:r>
      <w:r w:rsidR="00C01266">
        <w:t xml:space="preserve">The Commission understands the </w:t>
      </w:r>
      <w:r w:rsidR="00CE1D22">
        <w:t>sensitivity involved in</w:t>
      </w:r>
      <w:r w:rsidR="00C01266">
        <w:t xml:space="preserve"> people under the age of 18 sharing their experiences, within </w:t>
      </w:r>
      <w:r w:rsidR="00FE1CA1">
        <w:t>a</w:t>
      </w:r>
      <w:r w:rsidR="00CE1D22">
        <w:t xml:space="preserve"> context of var</w:t>
      </w:r>
      <w:r w:rsidR="00FE1CA1">
        <w:t>ying</w:t>
      </w:r>
      <w:r w:rsidR="00CE1D22">
        <w:t xml:space="preserve"> </w:t>
      </w:r>
      <w:r w:rsidR="003A307B">
        <w:t xml:space="preserve">family backgrounds. </w:t>
      </w:r>
      <w:r w:rsidR="00CE1D22">
        <w:t xml:space="preserve"> </w:t>
      </w:r>
    </w:p>
    <w:p w:rsidRPr="00B03457" w:rsidR="006D1CB7" w:rsidP="006D1CB7" w:rsidRDefault="006D1CB7" w14:paraId="3CB8E318" w14:textId="77777777">
      <w:pPr>
        <w:rPr>
          <w:rFonts w:cs="Open Sans"/>
        </w:rPr>
      </w:pPr>
      <w:r w:rsidRPr="00A959A7">
        <w:rPr>
          <w:rFonts w:cs="Open Sans"/>
        </w:rPr>
        <w:t xml:space="preserve">The </w:t>
      </w:r>
      <w:r w:rsidRPr="004B2CA0">
        <w:rPr>
          <w:rFonts w:cs="Open Sans"/>
        </w:rPr>
        <w:t>accounts of people with lived experience of variations in sex characteristics, have helped inform the Commission’s conclusions and recommendations. The Commission acknowledges the courage of those who shared their personal, often intimate lived experience with us, and that reliving</w:t>
      </w:r>
      <w:r w:rsidRPr="00B03457">
        <w:rPr>
          <w:rFonts w:cs="Open Sans"/>
        </w:rPr>
        <w:t xml:space="preserve"> this experience can come at a significant personal cost. </w:t>
      </w:r>
    </w:p>
    <w:p w:rsidRPr="00B03457" w:rsidR="006D1CB7" w:rsidP="006D1CB7" w:rsidRDefault="006D1CB7" w14:paraId="1BECEF68" w14:textId="77777777">
      <w:pPr>
        <w:rPr>
          <w:rFonts w:cs="Open Sans"/>
        </w:rPr>
      </w:pPr>
      <w:r w:rsidRPr="00B03457">
        <w:rPr>
          <w:rFonts w:cs="Open Sans"/>
        </w:rPr>
        <w:t xml:space="preserve">While individuals’ experiences varied widely, there were common themes concerning distress at physical and psychological consequences, stigma, lack of social and personal support, and challenging interactions with the health system. </w:t>
      </w:r>
    </w:p>
    <w:p w:rsidRPr="00B03457" w:rsidR="006D1CB7" w:rsidP="006D1CB7" w:rsidRDefault="006D1CB7" w14:paraId="6BA91A88" w14:textId="77777777">
      <w:pPr>
        <w:rPr>
          <w:rFonts w:cs="Open Sans"/>
        </w:rPr>
      </w:pPr>
      <w:r w:rsidRPr="00B03457">
        <w:rPr>
          <w:rFonts w:cs="Open Sans"/>
        </w:rPr>
        <w:t xml:space="preserve">Many people with lived experience told the Commission that medical interventions that had occurred in both childhood and adulthood had a variety of negative consequences on their physical and mental wellbeing. They also emphasised how feelings of isolation further exacerbated poor mental health, reinforcing a sense of being somehow ‘abnormal’. Isolation was often accompanied by feelings of stigmatisation. These elements combined to create challenges in terms of self-identity and knowledge and in formation of relationships with family, friends, and peers. </w:t>
      </w:r>
    </w:p>
    <w:p w:rsidRPr="003E5114" w:rsidR="006D1CB7" w:rsidP="006D1CB7" w:rsidRDefault="006D1CB7" w14:paraId="516BC49F" w14:textId="464E3668">
      <w:r>
        <w:t>The Commission is mindful of the risk of selection bias in the demographic profile of people or organisations providing submissions and/or participating in face</w:t>
      </w:r>
      <w:r w:rsidR="7E8CD727">
        <w:t>-</w:t>
      </w:r>
      <w:r>
        <w:t>to</w:t>
      </w:r>
      <w:r w:rsidR="2DB18B3E">
        <w:t>-</w:t>
      </w:r>
      <w:r>
        <w:t>face consultation</w:t>
      </w:r>
      <w:r w:rsidR="4DC211BB">
        <w:t>s</w:t>
      </w:r>
      <w:r>
        <w:t>. The Commission has sought to mitigate this risk in several ways, including</w:t>
      </w:r>
    </w:p>
    <w:p w:rsidRPr="003E5114" w:rsidR="006D1CB7" w:rsidP="00170878" w:rsidRDefault="006D1CB7" w14:paraId="2E62F349" w14:textId="77777777">
      <w:pPr>
        <w:numPr>
          <w:ilvl w:val="0"/>
          <w:numId w:val="24"/>
        </w:numPr>
      </w:pPr>
      <w:r w:rsidRPr="003E5114">
        <w:t>a broad call for participation in consultation to a wide range of groups with an interest, including individuals, parents and carers, medical professionals, government, advocates and other experts</w:t>
      </w:r>
    </w:p>
    <w:p w:rsidRPr="003E5114" w:rsidR="006D1CB7" w:rsidP="00170878" w:rsidRDefault="006D1CB7" w14:paraId="251C0419" w14:textId="77777777">
      <w:pPr>
        <w:numPr>
          <w:ilvl w:val="0"/>
          <w:numId w:val="24"/>
        </w:numPr>
      </w:pPr>
      <w:r w:rsidRPr="003E5114">
        <w:t>focusing on qualitative and thematic aspects and peoples’ lived experiences rather than a purely data or quantitative analysis of submissions</w:t>
      </w:r>
    </w:p>
    <w:p w:rsidRPr="003E5114" w:rsidR="006D1CB7" w:rsidP="00170878" w:rsidRDefault="006D1CB7" w14:paraId="3ED5FEFC" w14:textId="77777777">
      <w:pPr>
        <w:numPr>
          <w:ilvl w:val="0"/>
          <w:numId w:val="24"/>
        </w:numPr>
      </w:pPr>
      <w:r>
        <w:lastRenderedPageBreak/>
        <w:t>consideration of</w:t>
      </w:r>
      <w:r w:rsidRPr="003E5114">
        <w:t xml:space="preserve"> advice </w:t>
      </w:r>
      <w:r>
        <w:t>from</w:t>
      </w:r>
      <w:r w:rsidRPr="003E5114">
        <w:t xml:space="preserve"> the project’s Expert Reference Group and other knowledge in the community.</w:t>
      </w:r>
    </w:p>
    <w:p w:rsidR="006D1CB7" w:rsidP="006D1CB7" w:rsidRDefault="006D1CB7" w14:paraId="32A3E376" w14:textId="77777777">
      <w:r>
        <w:t xml:space="preserve">Where the Commission has made findings about past and current practice, it has done so where those findings are supported by the evidence provided by a broad range of submitters including clinical bodies, and by current guidance materials. </w:t>
      </w:r>
    </w:p>
    <w:p w:rsidR="006D1CB7" w:rsidP="006D1CB7" w:rsidRDefault="006D1CB7" w14:paraId="5459FE82" w14:textId="77777777">
      <w:r w:rsidRPr="003E5114">
        <w:t>The Commission was mindful of the impact of consultation and the risk of re</w:t>
      </w:r>
      <w:r>
        <w:t>-traumatisation</w:t>
      </w:r>
      <w:r w:rsidRPr="003E5114">
        <w:t>, especially among people born with variations in sex characteristics. Where feasible, the Commission made on-site counselling available to individuals during consultation. In other instances, the Commission referred individuals to counselling services with appropriate capacity to assist people born with variations in sex characteristics.</w:t>
      </w:r>
    </w:p>
    <w:p w:rsidRPr="00154897" w:rsidR="006D1CB7" w:rsidP="006D1CB7" w:rsidRDefault="006D1CB7" w14:paraId="1B85967F" w14:textId="77777777">
      <w:pPr>
        <w:pStyle w:val="AHRCHeading3"/>
      </w:pPr>
      <w:bookmarkStart w:name="_Toc80094137" w:id="31"/>
      <w:bookmarkStart w:name="_Toc85541382" w:id="32"/>
      <w:r>
        <w:t>Human Research Ethics Committee process</w:t>
      </w:r>
      <w:bookmarkEnd w:id="31"/>
      <w:bookmarkEnd w:id="32"/>
    </w:p>
    <w:p w:rsidRPr="00154897" w:rsidR="006D1CB7" w:rsidP="006D1CB7" w:rsidRDefault="006D1CB7" w14:paraId="6EEB54BC" w14:textId="77777777">
      <w:r w:rsidRPr="00154897">
        <w:t xml:space="preserve">This project received ethics approval from the Human Research Ethics Committee at the University of Sydney. The Ethics Committee assessed the project and supporting materials against various ethical guidelines and policies, including the </w:t>
      </w:r>
      <w:r w:rsidRPr="1A25A707">
        <w:rPr>
          <w:i/>
          <w:iCs/>
        </w:rPr>
        <w:t>National Statement on Ethical Conduct in Human Research</w:t>
      </w:r>
      <w:r w:rsidRPr="00154897">
        <w:t xml:space="preserve">, and the </w:t>
      </w:r>
      <w:r w:rsidRPr="1A25A707">
        <w:rPr>
          <w:i/>
          <w:iCs/>
        </w:rPr>
        <w:t>Australian Code for the Responsible Conduct of Research</w:t>
      </w:r>
      <w:r w:rsidRPr="00154897">
        <w:t>.</w:t>
      </w:r>
      <w:r>
        <w:rPr>
          <w:rStyle w:val="EndnoteReference"/>
        </w:rPr>
        <w:endnoteReference w:id="13"/>
      </w:r>
    </w:p>
    <w:p w:rsidRPr="00154897" w:rsidR="006D1CB7" w:rsidP="006D1CB7" w:rsidRDefault="006D1CB7" w14:paraId="551E9EE4" w14:textId="77777777">
      <w:r>
        <w:t xml:space="preserve">Ethics approval is not a requirement in advance of Commission projects or inquiries under the </w:t>
      </w:r>
      <w:r w:rsidRPr="1A25A707">
        <w:rPr>
          <w:i/>
          <w:iCs/>
        </w:rPr>
        <w:t>Australian Human Rights Commission Act 1986</w:t>
      </w:r>
      <w:r>
        <w:t xml:space="preserve"> (Cth). However, the Commission decided to seek ethics approval to ensure rigour in the project’s design and processes and due to the sensitive nature of the research and consultations.</w:t>
      </w:r>
    </w:p>
    <w:p w:rsidR="006D1CB7" w:rsidP="006D1CB7" w:rsidRDefault="006D1CB7" w14:paraId="12C26E91" w14:textId="61587EB6">
      <w:pPr>
        <w:pStyle w:val="AHRCHeading3"/>
      </w:pPr>
      <w:bookmarkStart w:name="_Toc80094138" w:id="33"/>
      <w:bookmarkStart w:name="_Toc85541383" w:id="34"/>
      <w:r>
        <w:t>Terminology</w:t>
      </w:r>
      <w:bookmarkEnd w:id="33"/>
      <w:bookmarkEnd w:id="34"/>
    </w:p>
    <w:p w:rsidR="006D1CB7" w:rsidP="006D1CB7" w:rsidRDefault="006D1CB7" w14:paraId="48186D11" w14:textId="2833F7B9">
      <w:pPr>
        <w:rPr>
          <w:rFonts w:cs="Open Sans"/>
        </w:rPr>
      </w:pPr>
      <w:r>
        <w:t>In this Report</w:t>
      </w:r>
      <w:r w:rsidR="66DF25D4">
        <w:t>,</w:t>
      </w:r>
      <w:r>
        <w:t xml:space="preserve"> the Commission has used the phrase ‘people born with variations in sex characteristics’. </w:t>
      </w:r>
      <w:r w:rsidRPr="00A67471">
        <w:rPr>
          <w:rFonts w:cs="Open Sans"/>
        </w:rPr>
        <w:t xml:space="preserve">This term refers to </w:t>
      </w:r>
      <w:r>
        <w:rPr>
          <w:rFonts w:cs="Open Sans"/>
        </w:rPr>
        <w:t>people</w:t>
      </w:r>
      <w:r w:rsidRPr="00A67471">
        <w:rPr>
          <w:rFonts w:cs="Open Sans"/>
        </w:rPr>
        <w:t xml:space="preserve"> born with any sex characteristics that do not conform to medical norms for female or male bodies.</w:t>
      </w:r>
      <w:r>
        <w:rPr>
          <w:rStyle w:val="EndnoteReference"/>
          <w:rFonts w:cs="Open Sans"/>
        </w:rPr>
        <w:endnoteReference w:id="14"/>
      </w:r>
    </w:p>
    <w:p w:rsidR="006D1CB7" w:rsidP="006D1CB7" w:rsidRDefault="006D1CB7" w14:paraId="6C1D0E73" w14:textId="77777777">
      <w:r>
        <w:lastRenderedPageBreak/>
        <w:t xml:space="preserve">During consultations, this terminology was broadly endorsed for the purposes of this project. Some people born with variations in sex characteristics noted that they did not use this phrase to refer to themselves in daily life, and some clinicians observed that they preferred to use different terms depending on the context, such as the language of particular medical diagnoses.  </w:t>
      </w:r>
    </w:p>
    <w:p w:rsidR="006D1CB7" w:rsidP="006D1CB7" w:rsidRDefault="006D1CB7" w14:paraId="31C0337C" w14:textId="10B8F3C7">
      <w:r>
        <w:t xml:space="preserve">One key observation made by people born with variations in sex characteristics is that many do not identify with labels applied to them in medical contexts, and that each individual will have their own preferences </w:t>
      </w:r>
      <w:r w:rsidR="0FBDB4CF">
        <w:t>for</w:t>
      </w:r>
      <w:r>
        <w:t xml:space="preserve"> terminology </w:t>
      </w:r>
      <w:r w:rsidR="3CF925ED">
        <w:t xml:space="preserve">when </w:t>
      </w:r>
      <w:r>
        <w:t xml:space="preserve">discussing their own experiences. Submissions from clinical practitioners indicate that there is some increasing awareness of this fact. However, submissions from people born with variations and civil society indicate that further progress is needed in this regard.  </w:t>
      </w:r>
    </w:p>
    <w:p w:rsidR="00904599" w:rsidP="00AC67EA" w:rsidRDefault="00593209" w14:paraId="0B20A54D" w14:textId="60A83237">
      <w:pPr>
        <w:pStyle w:val="Heading2"/>
      </w:pPr>
      <w:bookmarkStart w:name="_Toc85541384" w:id="35"/>
      <w:r>
        <w:t>Population</w:t>
      </w:r>
      <w:bookmarkEnd w:id="35"/>
    </w:p>
    <w:p w:rsidR="001F6BF4" w:rsidP="00904599" w:rsidRDefault="00904599" w14:paraId="22AC67B0" w14:textId="1091B752">
      <w:pPr>
        <w:rPr>
          <w:rFonts w:cs="Open Sans"/>
        </w:rPr>
      </w:pPr>
      <w:r>
        <w:rPr>
          <w:rFonts w:cs="Open Sans"/>
        </w:rPr>
        <w:t xml:space="preserve">The scope of focus for this </w:t>
      </w:r>
      <w:r w:rsidR="00790615">
        <w:rPr>
          <w:rFonts w:cs="Open Sans"/>
        </w:rPr>
        <w:t>report</w:t>
      </w:r>
      <w:r>
        <w:rPr>
          <w:rFonts w:cs="Open Sans"/>
        </w:rPr>
        <w:t xml:space="preserve"> </w:t>
      </w:r>
      <w:r w:rsidR="00790615">
        <w:rPr>
          <w:rFonts w:cs="Open Sans"/>
        </w:rPr>
        <w:t xml:space="preserve">is </w:t>
      </w:r>
      <w:r w:rsidR="00AE6B50">
        <w:rPr>
          <w:rFonts w:cs="Open Sans"/>
        </w:rPr>
        <w:t>on</w:t>
      </w:r>
      <w:r w:rsidRPr="00AC60E0">
        <w:rPr>
          <w:rFonts w:cs="Open Sans"/>
        </w:rPr>
        <w:t xml:space="preserve"> practices involving medical interventions to </w:t>
      </w:r>
      <w:r w:rsidR="00591A65">
        <w:rPr>
          <w:rFonts w:cs="Open Sans"/>
        </w:rPr>
        <w:t>modify</w:t>
      </w:r>
      <w:r w:rsidRPr="00AC60E0">
        <w:rPr>
          <w:rFonts w:cs="Open Sans"/>
        </w:rPr>
        <w:t xml:space="preserve"> the shape</w:t>
      </w:r>
      <w:r>
        <w:rPr>
          <w:rFonts w:cs="Open Sans"/>
        </w:rPr>
        <w:t xml:space="preserve">, </w:t>
      </w:r>
      <w:r w:rsidRPr="00AC60E0">
        <w:rPr>
          <w:rFonts w:cs="Open Sans"/>
        </w:rPr>
        <w:t xml:space="preserve">appearance </w:t>
      </w:r>
      <w:r>
        <w:rPr>
          <w:rFonts w:cs="Open Sans"/>
        </w:rPr>
        <w:t xml:space="preserve">– including removal of tissues/organs in some cases - and/or function </w:t>
      </w:r>
      <w:r w:rsidRPr="00AC60E0">
        <w:rPr>
          <w:rFonts w:cs="Open Sans"/>
        </w:rPr>
        <w:t>of genitals and secondary sexual characteristics</w:t>
      </w:r>
      <w:r>
        <w:rPr>
          <w:rFonts w:cs="Open Sans"/>
        </w:rPr>
        <w:t>, largely</w:t>
      </w:r>
      <w:r w:rsidRPr="00AC60E0">
        <w:rPr>
          <w:rFonts w:cs="Open Sans"/>
        </w:rPr>
        <w:t xml:space="preserve"> </w:t>
      </w:r>
      <w:r>
        <w:rPr>
          <w:rFonts w:cs="Open Sans"/>
        </w:rPr>
        <w:t xml:space="preserve">of infants and children who cannot consent for themselves. Indeed, the vast majority of </w:t>
      </w:r>
      <w:r w:rsidRPr="00AC60E0">
        <w:rPr>
          <w:rFonts w:cs="Open Sans"/>
        </w:rPr>
        <w:t xml:space="preserve">contributions received by the Commission </w:t>
      </w:r>
      <w:r>
        <w:rPr>
          <w:rFonts w:cs="Open Sans"/>
        </w:rPr>
        <w:t xml:space="preserve">have </w:t>
      </w:r>
      <w:r w:rsidRPr="00AC60E0">
        <w:rPr>
          <w:rFonts w:cs="Open Sans"/>
        </w:rPr>
        <w:t>focu</w:t>
      </w:r>
      <w:r>
        <w:rPr>
          <w:rFonts w:cs="Open Sans"/>
        </w:rPr>
        <w:t>sed</w:t>
      </w:r>
      <w:r w:rsidRPr="00AC60E0">
        <w:rPr>
          <w:rFonts w:cs="Open Sans"/>
        </w:rPr>
        <w:t xml:space="preserve"> on </w:t>
      </w:r>
      <w:r>
        <w:rPr>
          <w:rFonts w:cs="Open Sans"/>
        </w:rPr>
        <w:t>this group</w:t>
      </w:r>
      <w:r w:rsidRPr="00AC60E0">
        <w:rPr>
          <w:rFonts w:cs="Open Sans"/>
        </w:rPr>
        <w:t xml:space="preserve">.  </w:t>
      </w:r>
    </w:p>
    <w:p w:rsidR="001946ED" w:rsidP="00904599" w:rsidRDefault="00AE6B50" w14:paraId="181C886E" w14:textId="24C9BDA8">
      <w:pPr>
        <w:rPr>
          <w:rFonts w:cs="Open Sans"/>
        </w:rPr>
      </w:pPr>
      <w:r>
        <w:rPr>
          <w:rFonts w:cs="Open Sans"/>
        </w:rPr>
        <w:t xml:space="preserve">The size of the population who may be affected is not clear. As discussed in </w:t>
      </w:r>
      <w:r w:rsidR="001946ED">
        <w:rPr>
          <w:rFonts w:cs="Open Sans"/>
        </w:rPr>
        <w:t xml:space="preserve">Chapter 9, there is a lack of data collection on </w:t>
      </w:r>
      <w:r w:rsidR="00CB3A1F">
        <w:rPr>
          <w:rFonts w:cs="Open Sans"/>
        </w:rPr>
        <w:t>population size</w:t>
      </w:r>
      <w:r w:rsidR="001946ED">
        <w:rPr>
          <w:rFonts w:cs="Open Sans"/>
        </w:rPr>
        <w:t xml:space="preserve"> and on frequency and types of interventions that have occurred. </w:t>
      </w:r>
    </w:p>
    <w:p w:rsidRPr="00E4455B" w:rsidR="00E4455B" w:rsidP="00C27D97" w:rsidRDefault="00265E7E" w14:paraId="4C3D59BE" w14:textId="0746C097">
      <w:pPr>
        <w:rPr>
          <w:rFonts w:cs="Open Sans"/>
        </w:rPr>
      </w:pPr>
      <w:r>
        <w:rPr>
          <w:rFonts w:cs="Open Sans"/>
        </w:rPr>
        <w:t xml:space="preserve">Around </w:t>
      </w:r>
      <w:r w:rsidR="00904599">
        <w:rPr>
          <w:rFonts w:cs="Open Sans"/>
        </w:rPr>
        <w:t>1.7% of the population is estimated to have some variation in sex characteristics, though there is some contention about the accuracy of this figure.</w:t>
      </w:r>
      <w:r w:rsidRPr="00E4455B">
        <w:rPr>
          <w:rFonts w:cs="Open Sans"/>
          <w:sz w:val="20"/>
          <w:szCs w:val="20"/>
          <w:vertAlign w:val="superscript"/>
        </w:rPr>
        <w:endnoteReference w:id="15"/>
      </w:r>
      <w:r w:rsidRPr="00684908" w:rsidR="00F64A73">
        <w:rPr>
          <w:rFonts w:cs="Open Sans"/>
          <w:sz w:val="20"/>
          <w:szCs w:val="20"/>
          <w:vertAlign w:val="superscript"/>
        </w:rPr>
        <w:t xml:space="preserve"> </w:t>
      </w:r>
      <w:r w:rsidR="00DC536F">
        <w:rPr>
          <w:rFonts w:cs="Open Sans"/>
        </w:rPr>
        <w:t xml:space="preserve"> </w:t>
      </w:r>
      <w:r w:rsidR="00904599">
        <w:rPr>
          <w:rFonts w:cs="Open Sans"/>
        </w:rPr>
        <w:t>This figure includes populations, such as those with Turner’s and Klinefelter Syndromes, that some stakeholders do not consider as having a variation in sex characteristic</w:t>
      </w:r>
      <w:r w:rsidRPr="00E4455B" w:rsidR="00E4455B">
        <w:rPr>
          <w:rFonts w:cs="Open Sans"/>
        </w:rPr>
        <w:t>.</w:t>
      </w:r>
      <w:r w:rsidRPr="00E4455B" w:rsidR="00E4455B">
        <w:rPr>
          <w:rFonts w:cs="Open Sans"/>
          <w:sz w:val="20"/>
          <w:szCs w:val="20"/>
          <w:vertAlign w:val="superscript"/>
        </w:rPr>
        <w:endnoteReference w:id="16"/>
      </w:r>
      <w:r w:rsidRPr="00E4455B" w:rsidR="00E4455B">
        <w:rPr>
          <w:rFonts w:cs="Open Sans"/>
          <w:sz w:val="20"/>
          <w:szCs w:val="20"/>
        </w:rPr>
        <w:t xml:space="preserve"> </w:t>
      </w:r>
    </w:p>
    <w:p w:rsidRPr="00E4455B" w:rsidR="00E4455B" w:rsidP="00E4455B" w:rsidRDefault="00E4455B" w14:paraId="68A89FD8" w14:textId="09FA92C8">
      <w:pPr>
        <w:rPr>
          <w:rFonts w:cs="Open Sans"/>
        </w:rPr>
      </w:pPr>
      <w:r w:rsidRPr="00E4455B">
        <w:rPr>
          <w:rFonts w:cs="Open Sans"/>
        </w:rPr>
        <w:t>One hospital multidisciplinary team observed that there is no consensus about what variations have been included and excluded in past estimates.</w:t>
      </w:r>
      <w:r w:rsidRPr="00E4455B">
        <w:rPr>
          <w:rFonts w:cs="Open Sans"/>
          <w:sz w:val="20"/>
          <w:szCs w:val="20"/>
          <w:vertAlign w:val="superscript"/>
        </w:rPr>
        <w:endnoteReference w:id="17"/>
      </w:r>
      <w:r w:rsidRPr="00E4455B">
        <w:rPr>
          <w:rFonts w:cs="Open Sans"/>
          <w:sz w:val="20"/>
          <w:szCs w:val="20"/>
        </w:rPr>
        <w:t xml:space="preserve"> </w:t>
      </w:r>
      <w:r w:rsidRPr="00E4455B">
        <w:rPr>
          <w:rFonts w:cs="Open Sans"/>
        </w:rPr>
        <w:t xml:space="preserve">Further, while people with variations in sex characteristics may be </w:t>
      </w:r>
      <w:r w:rsidR="007C442F">
        <w:rPr>
          <w:rFonts w:cs="Open Sans"/>
        </w:rPr>
        <w:t>observed</w:t>
      </w:r>
      <w:r w:rsidRPr="00E4455B">
        <w:rPr>
          <w:rFonts w:cs="Open Sans"/>
        </w:rPr>
        <w:t xml:space="preserve"> at or soon after birth, and sometimes </w:t>
      </w:r>
      <w:r w:rsidRPr="00E4455B">
        <w:rPr>
          <w:rFonts w:cs="Open Sans"/>
          <w:i/>
        </w:rPr>
        <w:t>in utero</w:t>
      </w:r>
      <w:r w:rsidRPr="00E4455B">
        <w:rPr>
          <w:rFonts w:cs="Open Sans"/>
        </w:rPr>
        <w:t xml:space="preserve">, some may not be </w:t>
      </w:r>
      <w:r w:rsidR="007C442F">
        <w:rPr>
          <w:rFonts w:cs="Open Sans"/>
        </w:rPr>
        <w:t>observed</w:t>
      </w:r>
      <w:r w:rsidRPr="00E4455B">
        <w:rPr>
          <w:rFonts w:cs="Open Sans"/>
        </w:rPr>
        <w:t xml:space="preserve"> until puberty, when trying to conceive, randomly in adult life or, indeed, never at all.</w:t>
      </w:r>
      <w:r w:rsidRPr="00E4455B">
        <w:rPr>
          <w:rFonts w:cs="Open Sans"/>
          <w:sz w:val="20"/>
          <w:szCs w:val="20"/>
          <w:vertAlign w:val="superscript"/>
        </w:rPr>
        <w:endnoteReference w:id="18"/>
      </w:r>
    </w:p>
    <w:p w:rsidR="006D1CB7" w:rsidP="006D1CB7" w:rsidRDefault="006D1CB7" w14:paraId="3583F07E" w14:textId="3E6CA7AB">
      <w:pPr>
        <w:pStyle w:val="AHRCHeading2"/>
      </w:pPr>
      <w:bookmarkStart w:name="_Toc80094139" w:id="36"/>
      <w:bookmarkStart w:name="_Toc85541385" w:id="37"/>
      <w:r>
        <w:lastRenderedPageBreak/>
        <w:t>Outcomes</w:t>
      </w:r>
      <w:bookmarkEnd w:id="36"/>
      <w:bookmarkEnd w:id="37"/>
      <w:r>
        <w:t xml:space="preserve"> </w:t>
      </w:r>
    </w:p>
    <w:p w:rsidR="006D1CB7" w:rsidP="006D1CB7" w:rsidRDefault="006D1CB7" w14:paraId="21ADE073" w14:textId="35E37E41">
      <w:pPr>
        <w:rPr>
          <w:rFonts w:cs="Open Sans"/>
        </w:rPr>
      </w:pPr>
      <w:r>
        <w:rPr>
          <w:rFonts w:cs="Open Sans"/>
        </w:rPr>
        <w:t>The overall effect of this Report</w:t>
      </w:r>
      <w:r w:rsidRPr="793E13A2">
        <w:rPr>
          <w:rFonts w:cs="Open Sans"/>
        </w:rPr>
        <w:t xml:space="preserve"> </w:t>
      </w:r>
      <w:r>
        <w:rPr>
          <w:rFonts w:cs="Open Sans"/>
        </w:rPr>
        <w:t xml:space="preserve">will be to foster a deeper understanding of the human rights implications of medical interventions on children born with variations in sex characteristics. By adopting the proposed human rights approach, only interventions that conform with the medical necessity principle, that cannot be deferred, will occur, thus protecting the rights </w:t>
      </w:r>
      <w:r w:rsidRPr="0117CC5D" w:rsidR="5747A501">
        <w:rPr>
          <w:rFonts w:cs="Open Sans"/>
        </w:rPr>
        <w:t xml:space="preserve">of </w:t>
      </w:r>
      <w:r>
        <w:rPr>
          <w:rFonts w:cs="Open Sans"/>
        </w:rPr>
        <w:t xml:space="preserve">children who are not able to provide personal consent. </w:t>
      </w:r>
    </w:p>
    <w:p w:rsidR="006D1CB7" w:rsidP="006D1CB7" w:rsidRDefault="006D1CB7" w14:paraId="26886AFA" w14:textId="418A0AB3">
      <w:pPr>
        <w:rPr>
          <w:rFonts w:cs="Open Sans"/>
        </w:rPr>
      </w:pPr>
      <w:r>
        <w:rPr>
          <w:rFonts w:cs="Open Sans"/>
        </w:rPr>
        <w:t>The specific outcomes of this report include</w:t>
      </w:r>
    </w:p>
    <w:p w:rsidR="006D1CB7" w:rsidP="006D1CB7" w:rsidRDefault="006D1CB7" w14:paraId="5A7CD26F" w14:textId="77777777">
      <w:pPr>
        <w:pStyle w:val="ListBullet"/>
      </w:pPr>
      <w:r>
        <w:t xml:space="preserve">a better </w:t>
      </w:r>
      <w:r w:rsidRPr="00D170C3">
        <w:t xml:space="preserve">understanding of </w:t>
      </w:r>
      <w:r>
        <w:t>the lived experience of people born with variation in sex characteristics, which for some has been traumatic and caused significant ongoing health issues</w:t>
      </w:r>
    </w:p>
    <w:p w:rsidRPr="00D170C3" w:rsidR="006D1CB7" w:rsidP="006D1CB7" w:rsidRDefault="006D1CB7" w14:paraId="01A1CF75" w14:textId="2D9B7B56">
      <w:pPr>
        <w:pStyle w:val="ListBullet"/>
      </w:pPr>
      <w:r>
        <w:t xml:space="preserve">a better understanding of the range </w:t>
      </w:r>
      <w:r w:rsidR="41A81D0F">
        <w:t xml:space="preserve">of </w:t>
      </w:r>
      <w:r>
        <w:t xml:space="preserve">medical interventions that have occurred </w:t>
      </w:r>
    </w:p>
    <w:p w:rsidR="006D1CB7" w:rsidP="006D1CB7" w:rsidRDefault="006D1CB7" w14:paraId="37A07AE5" w14:textId="77777777">
      <w:pPr>
        <w:pStyle w:val="ListBullet"/>
      </w:pPr>
      <w:r>
        <w:t>an appreciation of the range of human rights issues raised by interventions that are performed without personal consent</w:t>
      </w:r>
    </w:p>
    <w:p w:rsidRPr="00D170C3" w:rsidR="00730A16" w:rsidP="006D1CB7" w:rsidRDefault="00347E0A" w14:paraId="53A9CDD0" w14:textId="2B6C3A0E">
      <w:pPr>
        <w:pStyle w:val="ListBullet"/>
      </w:pPr>
      <w:r>
        <w:t>a better understanding/appreciation of children's right to participate in decisions that affect their lives</w:t>
      </w:r>
    </w:p>
    <w:p w:rsidR="006D1CB7" w:rsidP="006D1CB7" w:rsidRDefault="006D1CB7" w14:paraId="2297704C" w14:textId="77777777">
      <w:pPr>
        <w:pStyle w:val="ListBullet"/>
      </w:pPr>
      <w:r>
        <w:t xml:space="preserve">a template for reform that will ensure fundamental human rights such as bodily integrity, while also allowing for interventions that are needed to avoid immediate and serious harm to health.  </w:t>
      </w:r>
    </w:p>
    <w:p w:rsidRPr="00B03457" w:rsidR="006D1CB7" w:rsidP="00A12F22" w:rsidRDefault="00A12F22" w14:paraId="4B30D690" w14:textId="073FFB96">
      <w:pPr>
        <w:spacing w:before="0" w:after="0"/>
      </w:pPr>
      <w:r>
        <w:br w:type="page"/>
      </w:r>
    </w:p>
    <w:p w:rsidR="00364E84" w:rsidP="00364E84" w:rsidRDefault="00364E84" w14:paraId="207F0E0C" w14:textId="454A9696">
      <w:pPr>
        <w:pStyle w:val="Heading1"/>
      </w:pPr>
      <w:bookmarkStart w:name="_Toc85541386" w:id="38"/>
      <w:r>
        <w:lastRenderedPageBreak/>
        <w:t>Human Rights</w:t>
      </w:r>
      <w:bookmarkEnd w:id="38"/>
    </w:p>
    <w:p w:rsidRPr="007960A8" w:rsidR="00C10F24" w:rsidP="00C10F24" w:rsidRDefault="00C10F24" w14:paraId="71C26141" w14:textId="77777777">
      <w:pPr>
        <w:pStyle w:val="AHRCHeading2"/>
      </w:pPr>
      <w:bookmarkStart w:name="_Toc79703614" w:id="39"/>
      <w:bookmarkStart w:name="_Toc85541387" w:id="40"/>
      <w:r w:rsidRPr="007960A8">
        <w:t>Towards a human rights framework</w:t>
      </w:r>
      <w:bookmarkEnd w:id="39"/>
      <w:bookmarkEnd w:id="40"/>
    </w:p>
    <w:p w:rsidRPr="00AD26B3" w:rsidR="00C10F24" w:rsidP="00C10F24" w:rsidRDefault="00C10F24" w14:paraId="4919E683" w14:textId="77777777">
      <w:pPr>
        <w:pStyle w:val="ListNumber"/>
        <w:numPr>
          <w:ilvl w:val="0"/>
          <w:numId w:val="0"/>
        </w:numPr>
      </w:pPr>
      <w:r>
        <w:t xml:space="preserve">This chapter considers the human rights implications of medical interventions in respect of people born with variations in sex characteristics, with a particular focus on the experience of infants and children. The chapter concludes by setting out the human rights framework, with five </w:t>
      </w:r>
      <w:r w:rsidRPr="0044331B">
        <w:t xml:space="preserve">key </w:t>
      </w:r>
      <w:r>
        <w:t>human rights principles</w:t>
      </w:r>
      <w:r w:rsidRPr="0044331B">
        <w:t xml:space="preserve"> that</w:t>
      </w:r>
      <w:r>
        <w:t xml:space="preserve"> should guide reform of applicable laws, policies and practices.</w:t>
      </w:r>
    </w:p>
    <w:p w:rsidR="00C10F24" w:rsidP="00C10F24" w:rsidRDefault="00C10F24" w14:paraId="01ACF8A6" w14:textId="77777777">
      <w:pPr>
        <w:pStyle w:val="ListNumber"/>
        <w:numPr>
          <w:ilvl w:val="0"/>
          <w:numId w:val="0"/>
        </w:numPr>
      </w:pPr>
    </w:p>
    <w:p w:rsidR="00C10F24" w:rsidP="00C10F24" w:rsidRDefault="00C10F24" w14:paraId="63CBAF9A" w14:textId="77777777">
      <w:pPr>
        <w:pStyle w:val="ListNumber"/>
        <w:numPr>
          <w:ilvl w:val="0"/>
          <w:numId w:val="0"/>
        </w:numPr>
      </w:pPr>
      <w:r>
        <w:t>International human rights law requires t</w:t>
      </w:r>
      <w:r w:rsidRPr="00A72D06">
        <w:t>he Australian Government and state and territory governments</w:t>
      </w:r>
      <w:r>
        <w:t xml:space="preserve"> to take steps to ensure its population has appropriate access to health care. Most medical interventions, including those for people born with variations in sex characteristics, are aimed at saving life or promoting the health of the affected person. Medical treatment reasonably directed to these goals can promote and protect human rights, particularly the right to life and the right to the highest attainable standard of health.  </w:t>
      </w:r>
    </w:p>
    <w:p w:rsidR="00C10F24" w:rsidP="00C10F24" w:rsidRDefault="00C10F24" w14:paraId="181C82BD" w14:textId="77777777">
      <w:pPr>
        <w:pStyle w:val="ListNumber"/>
        <w:numPr>
          <w:ilvl w:val="0"/>
          <w:numId w:val="0"/>
        </w:numPr>
      </w:pPr>
    </w:p>
    <w:p w:rsidR="00C10F24" w:rsidP="00C10F24" w:rsidRDefault="00C10F24" w14:paraId="18D04456" w14:textId="77777777">
      <w:pPr>
        <w:pStyle w:val="ListNumber"/>
        <w:numPr>
          <w:ilvl w:val="0"/>
          <w:numId w:val="0"/>
        </w:numPr>
      </w:pPr>
      <w:r>
        <w:t xml:space="preserve">Medical interventions can also have the effect of engaging, and sometimes limiting, other human rights. </w:t>
      </w:r>
    </w:p>
    <w:p w:rsidR="00C10F24" w:rsidP="00C10F24" w:rsidRDefault="00C10F24" w14:paraId="08DA4926" w14:textId="77777777">
      <w:pPr>
        <w:pStyle w:val="ListNumber"/>
        <w:numPr>
          <w:ilvl w:val="0"/>
          <w:numId w:val="0"/>
        </w:numPr>
      </w:pPr>
    </w:p>
    <w:p w:rsidR="00C10F24" w:rsidP="00C10F24" w:rsidRDefault="00C10F24" w14:paraId="3934E93B" w14:textId="64AE4867">
      <w:pPr>
        <w:pStyle w:val="ListNumber"/>
        <w:numPr>
          <w:ilvl w:val="0"/>
          <w:numId w:val="0"/>
        </w:numPr>
      </w:pPr>
      <w:r>
        <w:t xml:space="preserve">Informed consent is crucial in upholding the human rights of an individual in this context. Where a medical intervention is undertaken without the informed consent of the individual affected, it necessarily intrudes on the individual’s bodily integrity and autonomy. It can also limit other rights, such as the individual’s right to privacy and the right to security of the person. </w:t>
      </w:r>
    </w:p>
    <w:p w:rsidR="00464D8F" w:rsidP="00C10F24" w:rsidRDefault="00464D8F" w14:paraId="7D8BE34C" w14:textId="77777777">
      <w:pPr>
        <w:pStyle w:val="ListNumber"/>
        <w:numPr>
          <w:ilvl w:val="0"/>
          <w:numId w:val="0"/>
        </w:numPr>
      </w:pPr>
    </w:p>
    <w:p w:rsidR="00464D8F" w:rsidP="00C10F24" w:rsidRDefault="00AB7360" w14:paraId="4979600C" w14:textId="2435AA42">
      <w:pPr>
        <w:pStyle w:val="ListNumber"/>
        <w:numPr>
          <w:ilvl w:val="0"/>
          <w:numId w:val="0"/>
        </w:numPr>
      </w:pPr>
      <w:r>
        <w:t xml:space="preserve">Under </w:t>
      </w:r>
      <w:r w:rsidR="0083231A">
        <w:t>Austr</w:t>
      </w:r>
      <w:r w:rsidR="00E77707">
        <w:t xml:space="preserve">alian law, </w:t>
      </w:r>
      <w:r w:rsidR="00464D8F">
        <w:t>consent is often provided by parents and other adults on behalf of a child who is unable to give consent. This is</w:t>
      </w:r>
      <w:r w:rsidR="00CF02CD">
        <w:t xml:space="preserve"> the</w:t>
      </w:r>
      <w:r w:rsidR="00464D8F">
        <w:t xml:space="preserve"> </w:t>
      </w:r>
      <w:r w:rsidR="0045021B">
        <w:t>reason</w:t>
      </w:r>
      <w:r w:rsidR="00464D8F">
        <w:t xml:space="preserve"> </w:t>
      </w:r>
      <w:r w:rsidR="008A2646">
        <w:t>this Report</w:t>
      </w:r>
      <w:r w:rsidR="00464D8F">
        <w:t xml:space="preserve"> </w:t>
      </w:r>
      <w:r w:rsidR="008A2646">
        <w:t xml:space="preserve">uses </w:t>
      </w:r>
      <w:r w:rsidR="00464D8F">
        <w:t>the term 'personal consent' to distinguish between consent given by parents and consent given by the individual concerned</w:t>
      </w:r>
      <w:r w:rsidR="008A2646">
        <w:t>.</w:t>
      </w:r>
    </w:p>
    <w:p w:rsidR="00C10F24" w:rsidP="00C10F24" w:rsidRDefault="00C10F24" w14:paraId="3DE45FA4" w14:textId="77777777">
      <w:pPr>
        <w:pStyle w:val="ListNumber"/>
        <w:numPr>
          <w:ilvl w:val="0"/>
          <w:numId w:val="0"/>
        </w:numPr>
      </w:pPr>
    </w:p>
    <w:p w:rsidR="00C10F24" w:rsidP="00C10F24" w:rsidRDefault="00C10F24" w14:paraId="7D35DCEF" w14:textId="77777777">
      <w:pPr>
        <w:pStyle w:val="ListNumber"/>
        <w:numPr>
          <w:ilvl w:val="0"/>
          <w:numId w:val="0"/>
        </w:numPr>
      </w:pPr>
      <w:r>
        <w:t xml:space="preserve">Several UN human rights treaty bodies have addressed the issue of medical interventions performed on children born with variations in sex characteristics. They have affirmed the general requirement for the individual’s express and informed consent before any such intervention is performed. They have also </w:t>
      </w:r>
      <w:r>
        <w:lastRenderedPageBreak/>
        <w:t xml:space="preserve">recognised that, in exceptional cases, this consent may not be required where the intervention is </w:t>
      </w:r>
      <w:r w:rsidRPr="676F1596">
        <w:rPr>
          <w:i/>
          <w:iCs/>
        </w:rPr>
        <w:t xml:space="preserve">a medical necessity </w:t>
      </w:r>
      <w:r>
        <w:t xml:space="preserve">in the individual’s particular circumstances.  </w:t>
      </w:r>
    </w:p>
    <w:p w:rsidR="00C10F24" w:rsidP="00C10F24" w:rsidRDefault="00C10F24" w14:paraId="1669AC2C" w14:textId="77777777">
      <w:pPr>
        <w:pStyle w:val="ListNumber"/>
        <w:numPr>
          <w:ilvl w:val="0"/>
          <w:numId w:val="0"/>
        </w:numPr>
      </w:pPr>
    </w:p>
    <w:p w:rsidR="00C10F24" w:rsidP="00C10F24" w:rsidRDefault="00C10F24" w14:paraId="6EFEC476" w14:textId="77777777">
      <w:pPr>
        <w:pStyle w:val="ListNumber"/>
        <w:numPr>
          <w:ilvl w:val="0"/>
          <w:numId w:val="0"/>
        </w:numPr>
      </w:pPr>
      <w:r>
        <w:t xml:space="preserve">Under international human rights law, therefore, the standard of medical necessity is central to any medical intervention in respect of a child who is too young to provide personal consent. </w:t>
      </w:r>
    </w:p>
    <w:p w:rsidR="00C10F24" w:rsidP="00C10F24" w:rsidRDefault="00C10F24" w14:paraId="3EC3D0B6" w14:textId="77777777">
      <w:pPr>
        <w:pStyle w:val="ListNumber"/>
        <w:numPr>
          <w:ilvl w:val="0"/>
          <w:numId w:val="0"/>
        </w:numPr>
      </w:pPr>
    </w:p>
    <w:p w:rsidR="00C10F24" w:rsidP="00C10F24" w:rsidRDefault="00C10F24" w14:paraId="792ABB0B" w14:textId="77777777">
      <w:pPr>
        <w:pStyle w:val="ListNumber"/>
        <w:numPr>
          <w:ilvl w:val="0"/>
          <w:numId w:val="0"/>
        </w:numPr>
      </w:pPr>
      <w:r w:rsidRPr="676F1596">
        <w:t xml:space="preserve">Later chapters in this report set out what actions should be taken to embed appropriate human rights protections for people born with variations in sex characteristics. </w:t>
      </w:r>
    </w:p>
    <w:p w:rsidR="00C10F24" w:rsidP="00C10F24" w:rsidRDefault="00C10F24" w14:paraId="77568888" w14:textId="77777777">
      <w:pPr>
        <w:pStyle w:val="AHRCHeading2"/>
        <w:rPr>
          <w:rFonts w:eastAsia="Open Sans" w:cs="Open Sans"/>
        </w:rPr>
      </w:pPr>
      <w:bookmarkStart w:name="_Toc79703615" w:id="41"/>
      <w:bookmarkStart w:name="_Toc85541388" w:id="42"/>
      <w:r>
        <w:t>What are human rights?</w:t>
      </w:r>
      <w:bookmarkEnd w:id="41"/>
      <w:bookmarkEnd w:id="42"/>
      <w:r>
        <w:t xml:space="preserve"> </w:t>
      </w:r>
    </w:p>
    <w:p w:rsidR="00C10F24" w:rsidP="00C10F24" w:rsidRDefault="00C10F24" w14:paraId="4DC0CD34" w14:textId="77777777">
      <w:r>
        <w:t xml:space="preserve">We are all entitled to enjoy our human rights for one simple reason – that we are human. We possess human rights regardless of our background, age, gender, sexual orientation, political opinion, religious belief or other status. Human rights are centred on the inherent dignity and value of each person, and they recognise humans’ ability to make free choices about how to live. </w:t>
      </w:r>
    </w:p>
    <w:p w:rsidR="00C10F24" w:rsidP="00C10F24" w:rsidRDefault="00C10F24" w14:paraId="788D3135" w14:textId="77777777">
      <w:r>
        <w:t xml:space="preserve">Australia is a signatory to seven core human rights treaties, covering civil and political rights, as well as economic, social and cultural rights. Accordingly, Australia has voluntarily agreed to comply with human rights standards and to incorporate them into domestic law, policy and practice. </w:t>
      </w:r>
    </w:p>
    <w:p w:rsidR="00C10F24" w:rsidP="00C10F24" w:rsidRDefault="00C10F24" w14:paraId="5BA5BEFB" w14:textId="67C9437A">
      <w:r>
        <w:t xml:space="preserve">Human rights are universal, meaning that they apply to everyone. They are indivisible, meaning that all human rights have equal status. They are interdependent and interrelated, meaning the improvement of one human right can facilitate the advancement of others. Likewise, the deprivation of one right can also negatively affect other human rights. While there are sometimes complex inter-relationships between different rights, governments must ensure everyone’s human rights are protected. Australia’s human rights obligations require governments to respect, protect and fulfil human rights. In particular </w:t>
      </w:r>
    </w:p>
    <w:p w:rsidRPr="004B3CC3" w:rsidR="00C10F24" w:rsidP="002F7D27" w:rsidRDefault="00C10F24" w14:paraId="009C7F6D" w14:textId="77777777">
      <w:pPr>
        <w:pStyle w:val="ListParagraph"/>
        <w:numPr>
          <w:ilvl w:val="0"/>
          <w:numId w:val="33"/>
        </w:numPr>
        <w:rPr>
          <w:rFonts w:eastAsia="Open Sans" w:cs="Open Sans"/>
        </w:rPr>
      </w:pPr>
      <w:r>
        <w:t>the obligation to respect means that governments themselves must not breach human rights</w:t>
      </w:r>
    </w:p>
    <w:p w:rsidRPr="004B3CC3" w:rsidR="00C10F24" w:rsidP="002F7D27" w:rsidRDefault="00C10F24" w14:paraId="0ED11CB7" w14:textId="77777777">
      <w:pPr>
        <w:pStyle w:val="ListParagraph"/>
        <w:numPr>
          <w:ilvl w:val="0"/>
          <w:numId w:val="33"/>
        </w:numPr>
        <w:rPr>
          <w:rFonts w:eastAsia="Open Sans" w:cs="Open Sans"/>
        </w:rPr>
      </w:pPr>
      <w:r>
        <w:lastRenderedPageBreak/>
        <w:t>the obligation to protect means that a country’s laws and other processes must protect against breaches of human rights by others, including non-state actors</w:t>
      </w:r>
    </w:p>
    <w:p w:rsidRPr="00B21CD7" w:rsidR="00C10F24" w:rsidP="002F7D27" w:rsidRDefault="00C10F24" w14:paraId="07476117" w14:textId="77777777">
      <w:pPr>
        <w:pStyle w:val="ListParagraph"/>
        <w:numPr>
          <w:ilvl w:val="0"/>
          <w:numId w:val="33"/>
        </w:numPr>
        <w:rPr>
          <w:rFonts w:eastAsia="Open Sans" w:cs="Open Sans"/>
        </w:rPr>
      </w:pPr>
      <w:r>
        <w:t xml:space="preserve">the obligation to fulfil means that States Parties must take positive action to facilitate the enjoyment of human rights. There are some human rights that are </w:t>
      </w:r>
      <w:r w:rsidRPr="00B21CD7">
        <w:rPr>
          <w:rFonts w:eastAsia="Open Sans" w:cs="Open Sans"/>
        </w:rPr>
        <w:t>‘absolute’</w:t>
      </w:r>
      <w:r>
        <w:t xml:space="preserve"> and so can never be limited or restricted. These include the right to be free from torture, freedom from slavery and servitude, and the right to recognition before the law.</w:t>
      </w:r>
      <w:r>
        <w:rPr>
          <w:rStyle w:val="EndnoteReference"/>
          <w:rFonts w:eastAsia="Open Sans" w:cs="Open Sans"/>
        </w:rPr>
        <w:endnoteReference w:id="19"/>
      </w:r>
    </w:p>
    <w:p w:rsidR="00C10F24" w:rsidP="00C10F24" w:rsidRDefault="00C10F24" w14:paraId="58646EB5" w14:textId="77777777">
      <w:r>
        <w:t xml:space="preserve">As the majority of human rights are not absolute, international law has developed principles for how a human right may be limited or restricted. </w:t>
      </w:r>
    </w:p>
    <w:p w:rsidR="00C10F24" w:rsidP="00C10F24" w:rsidRDefault="00C10F24" w14:paraId="1FF7F28E" w14:textId="77777777">
      <w:r>
        <w:t>Generally speaking, a limitation on a human right can be contemplated only if this limitation arises in pursuit of a legitimate aim, such as protection of public health. The limitation must be necessary, reasonable and proportionate in pursuing that legitimate aim.</w:t>
      </w:r>
      <w:r w:rsidRPr="00647801">
        <w:rPr>
          <w:rStyle w:val="EndnoteReference"/>
          <w:szCs w:val="20"/>
        </w:rPr>
        <w:endnoteReference w:id="20"/>
      </w:r>
      <w:r>
        <w:t xml:space="preserve"> It must involve the least restrictive limitation on another human right that is possible. </w:t>
      </w:r>
    </w:p>
    <w:p w:rsidRPr="007A60A5" w:rsidR="00C10F24" w:rsidDel="00F40E17" w:rsidP="00C10F24" w:rsidRDefault="00C10F24" w14:paraId="0620F6D3" w14:textId="77777777">
      <w:pPr>
        <w:pStyle w:val="AHRCHeading2"/>
        <w:rPr>
          <w:rFonts w:eastAsia="Open Sans" w:cs="Open Sans"/>
        </w:rPr>
      </w:pPr>
      <w:bookmarkStart w:name="_Toc79703616" w:id="43"/>
      <w:bookmarkStart w:name="_Toc85541389" w:id="44"/>
      <w:r>
        <w:t>Applicable human rights</w:t>
      </w:r>
      <w:bookmarkEnd w:id="43"/>
      <w:bookmarkEnd w:id="44"/>
      <w:r>
        <w:t xml:space="preserve"> </w:t>
      </w:r>
    </w:p>
    <w:p w:rsidRPr="002E4CF1" w:rsidR="00C10F24" w:rsidP="00C10F24" w:rsidRDefault="00C10F24" w14:paraId="39A9A9D6" w14:textId="77777777">
      <w:pPr>
        <w:pStyle w:val="ListNumber"/>
        <w:numPr>
          <w:ilvl w:val="0"/>
          <w:numId w:val="0"/>
        </w:numPr>
        <w:rPr>
          <w:rFonts w:eastAsia="Open Sans" w:cs="Open Sans"/>
        </w:rPr>
      </w:pPr>
      <w:bookmarkStart w:name="_Toc25226001" w:id="45"/>
      <w:bookmarkStart w:name="_Toc31203793" w:id="46"/>
      <w:bookmarkEnd w:id="45"/>
      <w:bookmarkEnd w:id="46"/>
      <w:r w:rsidRPr="676F1596">
        <w:rPr>
          <w:rFonts w:cs="Open Sans"/>
        </w:rPr>
        <w:t xml:space="preserve">Consideration of the human rights of people born with variations in sex characteristics </w:t>
      </w:r>
      <w:r>
        <w:rPr>
          <w:rFonts w:cs="Open Sans"/>
        </w:rPr>
        <w:t xml:space="preserve">has </w:t>
      </w:r>
      <w:r w:rsidRPr="676F1596">
        <w:rPr>
          <w:rFonts w:cs="Open Sans"/>
        </w:rPr>
        <w:t>typically, although not exclusively, arisen by reference to one or more of the following human rights areas:</w:t>
      </w:r>
    </w:p>
    <w:p w:rsidRPr="002E4CF1" w:rsidR="00C10F24" w:rsidP="002F7D27" w:rsidRDefault="00C10F24" w14:paraId="3CE53E86" w14:textId="77777777">
      <w:pPr>
        <w:numPr>
          <w:ilvl w:val="0"/>
          <w:numId w:val="26"/>
        </w:numPr>
        <w:ind w:left="1080"/>
        <w:rPr>
          <w:rFonts w:eastAsia="Times New Roman" w:cs="Open Sans"/>
        </w:rPr>
      </w:pPr>
      <w:r w:rsidRPr="002E4CF1">
        <w:rPr>
          <w:rFonts w:eastAsia="Times New Roman" w:cs="Open Sans"/>
        </w:rPr>
        <w:t xml:space="preserve">bodily integrity and autonomy </w:t>
      </w:r>
    </w:p>
    <w:p w:rsidRPr="002E4CF1" w:rsidR="00C10F24" w:rsidP="002F7D27" w:rsidRDefault="00C10F24" w14:paraId="419C74F8" w14:textId="5BF5C682">
      <w:pPr>
        <w:numPr>
          <w:ilvl w:val="0"/>
          <w:numId w:val="26"/>
        </w:numPr>
        <w:ind w:left="1080"/>
        <w:rPr>
          <w:rFonts w:eastAsia="Times New Roman" w:cs="Open Sans"/>
        </w:rPr>
      </w:pPr>
      <w:r>
        <w:rPr>
          <w:rFonts w:eastAsia="Times New Roman" w:cs="Open Sans"/>
        </w:rPr>
        <w:t>t</w:t>
      </w:r>
      <w:r w:rsidRPr="676F1596">
        <w:rPr>
          <w:rFonts w:eastAsia="Times New Roman" w:cs="Open Sans"/>
        </w:rPr>
        <w:t xml:space="preserve">he right of children to participate in </w:t>
      </w:r>
      <w:r w:rsidRPr="0117CC5D" w:rsidR="1787D117">
        <w:rPr>
          <w:rFonts w:eastAsia="Times New Roman" w:cs="Open Sans"/>
        </w:rPr>
        <w:t>decisions</w:t>
      </w:r>
      <w:r w:rsidRPr="0117CC5D" w:rsidR="445D38AB">
        <w:rPr>
          <w:rFonts w:eastAsia="Times New Roman" w:cs="Open Sans"/>
        </w:rPr>
        <w:t xml:space="preserve"> that affect them</w:t>
      </w:r>
    </w:p>
    <w:p w:rsidRPr="002E4CF1" w:rsidR="00C10F24" w:rsidP="002F7D27" w:rsidRDefault="00C10F24" w14:paraId="2A402337" w14:textId="77777777">
      <w:pPr>
        <w:numPr>
          <w:ilvl w:val="0"/>
          <w:numId w:val="26"/>
        </w:numPr>
        <w:ind w:left="1080"/>
        <w:rPr>
          <w:rFonts w:eastAsia="Times New Roman" w:cs="Open Sans"/>
        </w:rPr>
      </w:pPr>
      <w:r w:rsidRPr="45CE1845">
        <w:rPr>
          <w:rFonts w:eastAsia="Times New Roman" w:cs="Open Sans"/>
        </w:rPr>
        <w:t>the right to be free from torture and cruel, inhuman or degrading treatment</w:t>
      </w:r>
    </w:p>
    <w:p w:rsidRPr="007A60A5" w:rsidR="00C10F24" w:rsidP="002F7D27" w:rsidRDefault="00C10F24" w14:paraId="7993B5A4" w14:textId="06B3037F">
      <w:pPr>
        <w:numPr>
          <w:ilvl w:val="0"/>
          <w:numId w:val="26"/>
        </w:numPr>
        <w:ind w:left="1080"/>
        <w:rPr>
          <w:rFonts w:eastAsia="Times New Roman" w:cs="Open Sans"/>
        </w:rPr>
      </w:pPr>
      <w:r>
        <w:rPr>
          <w:rFonts w:eastAsia="Times New Roman" w:cs="Open Sans"/>
        </w:rPr>
        <w:t>t</w:t>
      </w:r>
      <w:r w:rsidRPr="676F1596">
        <w:rPr>
          <w:rFonts w:eastAsia="Times New Roman" w:cs="Open Sans"/>
        </w:rPr>
        <w:t>he right to health</w:t>
      </w:r>
      <w:r w:rsidRPr="007A60A5">
        <w:rPr>
          <w:rFonts w:eastAsia="Times New Roman" w:cs="Open Sans"/>
        </w:rPr>
        <w:t>.</w:t>
      </w:r>
    </w:p>
    <w:p w:rsidR="00C10F24" w:rsidP="00C10F24" w:rsidRDefault="00C10F24" w14:paraId="32AC4B6A" w14:textId="77777777">
      <w:r>
        <w:t xml:space="preserve">Other human rights can also be engaged in this area, including: </w:t>
      </w:r>
    </w:p>
    <w:p w:rsidR="00C10F24" w:rsidP="00170878" w:rsidRDefault="00C10F24" w14:paraId="16D5FEA6" w14:textId="77777777">
      <w:pPr>
        <w:numPr>
          <w:ilvl w:val="1"/>
          <w:numId w:val="14"/>
        </w:numPr>
        <w:tabs>
          <w:tab w:val="clear" w:pos="1440"/>
          <w:tab w:val="num" w:pos="1080"/>
        </w:tabs>
      </w:pPr>
      <w:r>
        <w:t>non-discrimination and equality before the law</w:t>
      </w:r>
      <w:r w:rsidRPr="00647801">
        <w:rPr>
          <w:rStyle w:val="EndnoteReference"/>
          <w:szCs w:val="20"/>
        </w:rPr>
        <w:endnoteReference w:id="21"/>
      </w:r>
    </w:p>
    <w:p w:rsidR="00C10F24" w:rsidP="00170878" w:rsidRDefault="00C10F24" w14:paraId="2A96D151" w14:textId="77777777">
      <w:pPr>
        <w:numPr>
          <w:ilvl w:val="1"/>
          <w:numId w:val="14"/>
        </w:numPr>
        <w:tabs>
          <w:tab w:val="clear" w:pos="1440"/>
          <w:tab w:val="num" w:pos="1080"/>
        </w:tabs>
        <w:rPr>
          <w:rFonts w:eastAsia="Open Sans" w:cs="Open Sans"/>
        </w:rPr>
      </w:pPr>
      <w:r>
        <w:t>the right to be free from violence</w:t>
      </w:r>
      <w:r w:rsidRPr="00647801">
        <w:rPr>
          <w:sz w:val="20"/>
          <w:szCs w:val="20"/>
          <w:vertAlign w:val="superscript"/>
        </w:rPr>
        <w:endnoteReference w:id="22"/>
      </w:r>
    </w:p>
    <w:p w:rsidR="00C10F24" w:rsidP="00170878" w:rsidRDefault="00C10F24" w14:paraId="76E8CDF0" w14:textId="77777777">
      <w:pPr>
        <w:numPr>
          <w:ilvl w:val="1"/>
          <w:numId w:val="14"/>
        </w:numPr>
        <w:tabs>
          <w:tab w:val="clear" w:pos="1440"/>
          <w:tab w:val="num" w:pos="1080"/>
        </w:tabs>
      </w:pPr>
      <w:r>
        <w:lastRenderedPageBreak/>
        <w:t>the right to privacy</w:t>
      </w:r>
      <w:r w:rsidRPr="00647801">
        <w:rPr>
          <w:sz w:val="20"/>
          <w:szCs w:val="20"/>
          <w:vertAlign w:val="superscript"/>
        </w:rPr>
        <w:endnoteReference w:id="23"/>
      </w:r>
    </w:p>
    <w:p w:rsidR="00C10F24" w:rsidP="00170878" w:rsidRDefault="00C10F24" w14:paraId="5C317542" w14:textId="77777777">
      <w:pPr>
        <w:numPr>
          <w:ilvl w:val="1"/>
          <w:numId w:val="14"/>
        </w:numPr>
        <w:tabs>
          <w:tab w:val="clear" w:pos="1440"/>
          <w:tab w:val="num" w:pos="1080"/>
        </w:tabs>
        <w:rPr>
          <w:rFonts w:eastAsia="Open Sans" w:cs="Open Sans"/>
        </w:rPr>
      </w:pPr>
      <w:r>
        <w:t>the right to found a family</w:t>
      </w:r>
      <w:r w:rsidRPr="00647801">
        <w:rPr>
          <w:sz w:val="20"/>
          <w:szCs w:val="20"/>
          <w:vertAlign w:val="superscript"/>
        </w:rPr>
        <w:endnoteReference w:id="24"/>
      </w:r>
    </w:p>
    <w:p w:rsidRPr="00932509" w:rsidR="00C10F24" w:rsidP="00170878" w:rsidRDefault="00C10F24" w14:paraId="706C5597" w14:textId="77777777">
      <w:pPr>
        <w:numPr>
          <w:ilvl w:val="1"/>
          <w:numId w:val="14"/>
        </w:numPr>
        <w:tabs>
          <w:tab w:val="clear" w:pos="1440"/>
          <w:tab w:val="num" w:pos="1080"/>
        </w:tabs>
        <w:rPr>
          <w:rFonts w:eastAsia="Open Sans" w:cs="Open Sans"/>
          <w:vertAlign w:val="superscript"/>
        </w:rPr>
      </w:pPr>
      <w:r>
        <w:rPr>
          <w:rFonts w:cs="Open Sans"/>
        </w:rPr>
        <w:t>the o</w:t>
      </w:r>
      <w:r w:rsidRPr="676F1596">
        <w:rPr>
          <w:rFonts w:cs="Open Sans"/>
        </w:rPr>
        <w:t>bligation on States to eliminate harmful social or cultural practices that perpetuate gender stereotypes.</w:t>
      </w:r>
      <w:r w:rsidRPr="00647801">
        <w:rPr>
          <w:rStyle w:val="EndnoteReference"/>
          <w:rFonts w:cs="Open Sans"/>
          <w:szCs w:val="20"/>
        </w:rPr>
        <w:endnoteReference w:id="25"/>
      </w:r>
    </w:p>
    <w:p w:rsidRPr="00932509" w:rsidR="00C10F24" w:rsidP="00C10F24" w:rsidRDefault="00C10F24" w14:paraId="071C8249" w14:textId="77777777">
      <w:pPr>
        <w:rPr>
          <w:rFonts w:eastAsia="Open Sans" w:cs="Open Sans"/>
          <w:vertAlign w:val="superscript"/>
        </w:rPr>
      </w:pPr>
      <w:r w:rsidRPr="000E7B11">
        <w:rPr>
          <w:rFonts w:eastAsia="Open Sans" w:cs="Open Sans"/>
        </w:rPr>
        <w:t>The Office of the High Commissioner for Human Rights has also summarised States’ key human rights obligations in this area as including the need to prohibit the ‘performance of surgical or other medical treatment on intersex children unless such procedures constitute an absolute medical necessity’</w:t>
      </w:r>
      <w:r>
        <w:rPr>
          <w:rFonts w:eastAsia="Open Sans" w:cs="Open Sans"/>
        </w:rPr>
        <w:t>.</w:t>
      </w:r>
      <w:r w:rsidRPr="00E357D2">
        <w:rPr>
          <w:rStyle w:val="EndnoteReference"/>
          <w:rFonts w:eastAsia="Open Sans" w:cs="Open Sans"/>
          <w:szCs w:val="20"/>
        </w:rPr>
        <w:endnoteReference w:id="26"/>
      </w:r>
      <w:r w:rsidRPr="000E7B11">
        <w:rPr>
          <w:rFonts w:eastAsia="Open Sans" w:cs="Open Sans"/>
        </w:rPr>
        <w:t xml:space="preserve"> </w:t>
      </w:r>
    </w:p>
    <w:p w:rsidRPr="00DB2D0C" w:rsidR="00C10F24" w:rsidP="00C10F24" w:rsidRDefault="00C10F24" w14:paraId="6BBEEAE1" w14:textId="77777777">
      <w:pPr>
        <w:pStyle w:val="AHRCHeading3"/>
        <w:rPr>
          <w:i/>
          <w:iCs/>
        </w:rPr>
      </w:pPr>
      <w:bookmarkStart w:name="_Toc79703617" w:id="47"/>
      <w:bookmarkStart w:name="_Ref487123462" w:id="48"/>
      <w:bookmarkStart w:name="_Toc507585884" w:id="49"/>
      <w:bookmarkStart w:name="_Toc85541390" w:id="50"/>
      <w:r>
        <w:t>Bodily integrity and autonomy</w:t>
      </w:r>
      <w:bookmarkEnd w:id="47"/>
      <w:bookmarkEnd w:id="50"/>
      <w:r>
        <w:t xml:space="preserve"> </w:t>
      </w:r>
      <w:bookmarkEnd w:id="48"/>
      <w:bookmarkEnd w:id="49"/>
    </w:p>
    <w:p w:rsidR="00C10F24" w:rsidP="00C10F24" w:rsidRDefault="00C10F24" w14:paraId="1645BB11" w14:textId="77777777">
      <w:pPr>
        <w:rPr>
          <w:rFonts w:cs="Open Sans"/>
        </w:rPr>
      </w:pPr>
      <w:r w:rsidRPr="676F1596">
        <w:rPr>
          <w:rFonts w:cs="Open Sans"/>
        </w:rPr>
        <w:t xml:space="preserve">Everyone, including </w:t>
      </w:r>
      <w:r>
        <w:rPr>
          <w:rFonts w:cs="Open Sans"/>
        </w:rPr>
        <w:t xml:space="preserve">adults and </w:t>
      </w:r>
      <w:r w:rsidRPr="676F1596">
        <w:rPr>
          <w:rFonts w:cs="Open Sans"/>
        </w:rPr>
        <w:t xml:space="preserve">children, has the right to autonomy and self-determination over their own body. The only person with the right to make a decision about </w:t>
      </w:r>
      <w:r>
        <w:rPr>
          <w:rFonts w:cs="Open Sans"/>
        </w:rPr>
        <w:t>an individual’s</w:t>
      </w:r>
      <w:r w:rsidRPr="676F1596">
        <w:rPr>
          <w:rFonts w:cs="Open Sans"/>
        </w:rPr>
        <w:t xml:space="preserve"> body is </w:t>
      </w:r>
      <w:r>
        <w:rPr>
          <w:rFonts w:cs="Open Sans"/>
        </w:rPr>
        <w:t xml:space="preserve">the individual themselves – </w:t>
      </w:r>
      <w:r w:rsidRPr="676F1596">
        <w:rPr>
          <w:rFonts w:cs="Open Sans"/>
        </w:rPr>
        <w:t>no</w:t>
      </w:r>
      <w:r>
        <w:rPr>
          <w:rFonts w:cs="Open Sans"/>
        </w:rPr>
        <w:t>-</w:t>
      </w:r>
      <w:r w:rsidRPr="676F1596">
        <w:rPr>
          <w:rFonts w:cs="Open Sans"/>
        </w:rPr>
        <w:t>one else. This is the principle of bodily integrity, which upholds everyone’s right to be free from acts against their body which they did not consent to.</w:t>
      </w:r>
      <w:r w:rsidRPr="00E357D2">
        <w:rPr>
          <w:rStyle w:val="EndnoteReference"/>
          <w:rFonts w:cs="Open Sans"/>
          <w:szCs w:val="20"/>
        </w:rPr>
        <w:endnoteReference w:id="27"/>
      </w:r>
    </w:p>
    <w:p w:rsidR="00C10F24" w:rsidP="00C10F24" w:rsidRDefault="00C10F24" w14:paraId="0C264270" w14:textId="77777777">
      <w:pPr>
        <w:pStyle w:val="SubmissionNormal"/>
        <w:numPr>
          <w:ilvl w:val="0"/>
          <w:numId w:val="0"/>
        </w:numPr>
        <w:rPr>
          <w:rFonts w:cs="Open Sans"/>
        </w:rPr>
      </w:pPr>
      <w:r w:rsidRPr="002E4CF1">
        <w:rPr>
          <w:rFonts w:cs="Open Sans"/>
        </w:rPr>
        <w:t xml:space="preserve">Bodily integrity is explicitly identified as </w:t>
      </w:r>
      <w:r>
        <w:rPr>
          <w:rFonts w:cs="Open Sans"/>
        </w:rPr>
        <w:t xml:space="preserve">a </w:t>
      </w:r>
      <w:r w:rsidRPr="002E4CF1">
        <w:rPr>
          <w:rFonts w:cs="Open Sans"/>
        </w:rPr>
        <w:t xml:space="preserve">right in the </w:t>
      </w:r>
      <w:r w:rsidRPr="676F1596">
        <w:rPr>
          <w:rFonts w:cs="Open Sans"/>
          <w:i/>
          <w:iCs/>
          <w:lang w:val="en-US"/>
        </w:rPr>
        <w:t>Convention on the Rights of Persons with Disabilities</w:t>
      </w:r>
      <w:r w:rsidRPr="002E4CF1">
        <w:rPr>
          <w:rFonts w:cs="Open Sans"/>
          <w:lang w:val="en-US"/>
        </w:rPr>
        <w:t xml:space="preserve"> (CRPD)</w:t>
      </w:r>
      <w:r w:rsidRPr="002E4CF1">
        <w:rPr>
          <w:rFonts w:cs="Open Sans"/>
        </w:rPr>
        <w:t xml:space="preserve">. Article 17 </w:t>
      </w:r>
      <w:r>
        <w:rPr>
          <w:rFonts w:cs="Open Sans"/>
        </w:rPr>
        <w:t>provides</w:t>
      </w:r>
      <w:r w:rsidRPr="002E4CF1">
        <w:rPr>
          <w:rFonts w:cs="Open Sans"/>
        </w:rPr>
        <w:t xml:space="preserve"> that every person with disabilities has a right to respect for </w:t>
      </w:r>
      <w:r>
        <w:rPr>
          <w:rFonts w:cs="Open Sans"/>
        </w:rPr>
        <w:t xml:space="preserve">their </w:t>
      </w:r>
      <w:r w:rsidRPr="002E4CF1">
        <w:rPr>
          <w:rFonts w:cs="Open Sans"/>
        </w:rPr>
        <w:t>physical and mental integrity on an equal basis with others.</w:t>
      </w:r>
      <w:r w:rsidRPr="00647801">
        <w:rPr>
          <w:rStyle w:val="EndnoteReference"/>
          <w:rFonts w:cs="Open Sans"/>
          <w:szCs w:val="20"/>
        </w:rPr>
        <w:endnoteReference w:id="28"/>
      </w:r>
    </w:p>
    <w:p w:rsidR="00C10F24" w:rsidP="00C10F24" w:rsidRDefault="00C10F24" w14:paraId="32CF6C33" w14:textId="77777777">
      <w:pPr>
        <w:pStyle w:val="SubmissionNormal"/>
        <w:numPr>
          <w:ilvl w:val="0"/>
          <w:numId w:val="0"/>
        </w:numPr>
        <w:rPr>
          <w:rFonts w:cs="Open Sans"/>
        </w:rPr>
      </w:pPr>
      <w:r w:rsidRPr="676F1596">
        <w:rPr>
          <w:rFonts w:cs="Open Sans"/>
        </w:rPr>
        <w:t xml:space="preserve">While the </w:t>
      </w:r>
      <w:r w:rsidRPr="676F1596">
        <w:rPr>
          <w:rFonts w:cs="Open Sans"/>
          <w:i/>
          <w:iCs/>
        </w:rPr>
        <w:t>International Covenant on Civil and Political Rights</w:t>
      </w:r>
      <w:r w:rsidRPr="676F1596">
        <w:rPr>
          <w:rFonts w:cs="Open Sans"/>
        </w:rPr>
        <w:t xml:space="preserve"> (ICCPR) does not include an express right to physical or bodily integrity, the UN Human Rights Committee has affirmed that the rights to privacy (Art </w:t>
      </w:r>
      <w:r>
        <w:rPr>
          <w:rFonts w:cs="Open Sans"/>
        </w:rPr>
        <w:t>1</w:t>
      </w:r>
      <w:r w:rsidRPr="676F1596">
        <w:rPr>
          <w:rFonts w:cs="Open Sans"/>
        </w:rPr>
        <w:t xml:space="preserve">7) and security of </w:t>
      </w:r>
      <w:r>
        <w:rPr>
          <w:rFonts w:cs="Open Sans"/>
        </w:rPr>
        <w:t xml:space="preserve">the </w:t>
      </w:r>
      <w:r w:rsidRPr="676F1596">
        <w:rPr>
          <w:rFonts w:cs="Open Sans"/>
        </w:rPr>
        <w:t>person (Art 9) in the ICCPR include bodily integrity and autonomy.</w:t>
      </w:r>
      <w:r w:rsidRPr="00E357D2">
        <w:rPr>
          <w:rStyle w:val="EndnoteReference"/>
          <w:rFonts w:cs="Open Sans"/>
          <w:szCs w:val="20"/>
        </w:rPr>
        <w:endnoteReference w:id="29"/>
      </w:r>
      <w:r w:rsidRPr="676F1596">
        <w:rPr>
          <w:rFonts w:cs="Open Sans"/>
        </w:rPr>
        <w:t xml:space="preserve"> </w:t>
      </w:r>
    </w:p>
    <w:p w:rsidR="00C10F24" w:rsidP="00C10F24" w:rsidRDefault="00C10F24" w14:paraId="5A76AC21" w14:textId="77777777">
      <w:pPr>
        <w:pStyle w:val="SubmissionNormal"/>
        <w:numPr>
          <w:ilvl w:val="0"/>
          <w:numId w:val="0"/>
        </w:numPr>
        <w:rPr>
          <w:rFonts w:cs="Open Sans"/>
        </w:rPr>
      </w:pPr>
      <w:r w:rsidRPr="45CE1845">
        <w:rPr>
          <w:rFonts w:cs="Open Sans"/>
        </w:rPr>
        <w:t xml:space="preserve">The Committee on the Rights of the Child under the </w:t>
      </w:r>
      <w:r w:rsidRPr="45CE1845">
        <w:rPr>
          <w:rFonts w:cs="Open Sans"/>
          <w:i/>
          <w:iCs/>
        </w:rPr>
        <w:t>Convention on the Rights of the Child</w:t>
      </w:r>
      <w:r w:rsidRPr="45CE1845">
        <w:rPr>
          <w:rFonts w:cs="Open Sans"/>
        </w:rPr>
        <w:t xml:space="preserve">, the Committee on Economic, Social and Cultural Rights under the </w:t>
      </w:r>
      <w:r w:rsidRPr="45CE1845">
        <w:rPr>
          <w:rFonts w:cs="Open Sans"/>
          <w:i/>
          <w:iCs/>
        </w:rPr>
        <w:t xml:space="preserve">International Covenant on Economic, Social and Cultural Rights, </w:t>
      </w:r>
      <w:r w:rsidRPr="45CE1845">
        <w:rPr>
          <w:rFonts w:cs="Open Sans"/>
        </w:rPr>
        <w:t>the</w:t>
      </w:r>
      <w:r w:rsidRPr="45CE1845">
        <w:rPr>
          <w:rFonts w:cs="Open Sans"/>
          <w:i/>
          <w:iCs/>
        </w:rPr>
        <w:t xml:space="preserve"> </w:t>
      </w:r>
      <w:r w:rsidRPr="45CE1845">
        <w:rPr>
          <w:rFonts w:cs="Open Sans"/>
        </w:rPr>
        <w:t xml:space="preserve">Committee on the Elimination of Discrimination Against Women under the </w:t>
      </w:r>
      <w:r w:rsidRPr="45CE1845">
        <w:rPr>
          <w:rFonts w:cs="Open Sans"/>
          <w:i/>
          <w:iCs/>
        </w:rPr>
        <w:t>Convention on the Elimination of All Forms of Discrimination Against Women</w:t>
      </w:r>
      <w:r w:rsidRPr="45CE1845">
        <w:rPr>
          <w:rFonts w:cs="Open Sans"/>
        </w:rPr>
        <w:t>, and the</w:t>
      </w:r>
      <w:r w:rsidRPr="45CE1845">
        <w:rPr>
          <w:rFonts w:cs="Open Sans"/>
          <w:i/>
          <w:iCs/>
        </w:rPr>
        <w:t xml:space="preserve"> </w:t>
      </w:r>
      <w:r w:rsidRPr="45CE1845">
        <w:rPr>
          <w:rFonts w:cs="Open Sans"/>
        </w:rPr>
        <w:t xml:space="preserve">Committee Against Torture under the </w:t>
      </w:r>
      <w:r w:rsidRPr="45CE1845">
        <w:rPr>
          <w:rFonts w:cs="Open Sans"/>
          <w:i/>
          <w:iCs/>
        </w:rPr>
        <w:t xml:space="preserve">Convention Against Torture and Other Cruel, Inhuman or </w:t>
      </w:r>
      <w:r w:rsidRPr="45CE1845">
        <w:rPr>
          <w:rFonts w:cs="Open Sans"/>
          <w:i/>
          <w:iCs/>
        </w:rPr>
        <w:lastRenderedPageBreak/>
        <w:t xml:space="preserve">Degrading Treatment or Punishment </w:t>
      </w:r>
      <w:r w:rsidRPr="45CE1845">
        <w:rPr>
          <w:rFonts w:cs="Open Sans"/>
        </w:rPr>
        <w:t xml:space="preserve">(CAT), have also identified the right to bodily integrity and autonomy as a component of various rights covered under these treaties. </w:t>
      </w:r>
    </w:p>
    <w:p w:rsidRPr="007A60A5" w:rsidR="00C10F24" w:rsidP="00C10F24" w:rsidRDefault="00C10F24" w14:paraId="15B65265" w14:textId="77777777">
      <w:pPr>
        <w:pStyle w:val="SubmissionNormal"/>
        <w:numPr>
          <w:ilvl w:val="0"/>
          <w:numId w:val="0"/>
        </w:numPr>
        <w:rPr>
          <w:rFonts w:cs="Open Sans"/>
        </w:rPr>
      </w:pPr>
      <w:r w:rsidRPr="676F1596">
        <w:rPr>
          <w:rFonts w:cs="Open Sans"/>
        </w:rPr>
        <w:t>These United Nations treaty bodies have recommended that States implement measures to guarantee the bodily integrity and autonomy</w:t>
      </w:r>
      <w:r w:rsidRPr="676F1596">
        <w:rPr>
          <w:rFonts w:cs="Open Sans"/>
          <w:lang w:val="en-US"/>
        </w:rPr>
        <w:t xml:space="preserve"> of people with intersex variations</w:t>
      </w:r>
      <w:r>
        <w:rPr>
          <w:rFonts w:cs="Open Sans"/>
          <w:lang w:val="en-US"/>
        </w:rPr>
        <w:t>, with the common theme of avoiding unnecessary interventions</w:t>
      </w:r>
      <w:r w:rsidRPr="676F1596">
        <w:rPr>
          <w:rFonts w:cs="Open Sans"/>
          <w:lang w:val="en-US"/>
        </w:rPr>
        <w:t>.</w:t>
      </w:r>
      <w:r w:rsidRPr="00E357D2">
        <w:rPr>
          <w:rStyle w:val="EndnoteReference"/>
          <w:rFonts w:cs="Open Sans"/>
          <w:szCs w:val="20"/>
          <w:lang w:val="en-US"/>
        </w:rPr>
        <w:endnoteReference w:id="30"/>
      </w:r>
    </w:p>
    <w:tbl>
      <w:tblPr>
        <w:tblStyle w:val="TableGrid"/>
        <w:tblW w:w="0" w:type="auto"/>
        <w:tblLayout w:type="fixed"/>
        <w:tblLook w:val="06A0" w:firstRow="1" w:lastRow="0" w:firstColumn="1" w:lastColumn="0" w:noHBand="1" w:noVBand="1"/>
      </w:tblPr>
      <w:tblGrid>
        <w:gridCol w:w="9060"/>
      </w:tblGrid>
      <w:tr w:rsidR="00C10F24" w:rsidTr="00A47B7E" w14:paraId="63F1A82E" w14:textId="77777777">
        <w:tc>
          <w:tcPr>
            <w:tcW w:w="9060" w:type="dxa"/>
          </w:tcPr>
          <w:p w:rsidR="00C10F24" w:rsidP="00A47B7E" w:rsidRDefault="00C10F24" w14:paraId="0E83AF75" w14:textId="77777777">
            <w:pPr>
              <w:rPr>
                <w:b/>
                <w:bCs/>
                <w:lang w:val="en-US"/>
              </w:rPr>
            </w:pPr>
            <w:r w:rsidRPr="676F1596">
              <w:rPr>
                <w:b/>
                <w:bCs/>
                <w:lang w:val="en-US"/>
              </w:rPr>
              <w:t>UN Treaty Body recommendations to Australia on medical interventions on people born with variations in sex characteristics</w:t>
            </w:r>
          </w:p>
          <w:p w:rsidR="00C10F24" w:rsidP="00A47B7E" w:rsidRDefault="00C10F24" w14:paraId="6CEEC8E8" w14:textId="77777777">
            <w:pPr>
              <w:pStyle w:val="SubmissionNormal"/>
              <w:keepNext/>
              <w:numPr>
                <w:ilvl w:val="0"/>
                <w:numId w:val="0"/>
              </w:numPr>
              <w:rPr>
                <w:rFonts w:cs="Open Sans"/>
              </w:rPr>
            </w:pPr>
            <w:r w:rsidRPr="676F1596">
              <w:rPr>
                <w:rFonts w:cs="Open Sans"/>
                <w:b/>
                <w:bCs/>
              </w:rPr>
              <w:t>UN Committee on the Rights of Persons with Disabilities (2019)</w:t>
            </w:r>
          </w:p>
          <w:p w:rsidR="00C10F24" w:rsidP="00A47B7E" w:rsidRDefault="00C10F24" w14:paraId="1F9E6F55" w14:textId="77777777">
            <w:pPr>
              <w:pStyle w:val="SubmissionNormal"/>
              <w:numPr>
                <w:ilvl w:val="0"/>
                <w:numId w:val="0"/>
              </w:numPr>
              <w:rPr>
                <w:rFonts w:cs="Open Sans"/>
              </w:rPr>
            </w:pPr>
            <w:r w:rsidRPr="676F1596">
              <w:rPr>
                <w:rFonts w:cs="Open Sans"/>
              </w:rPr>
              <w:t xml:space="preserve">In relation to Australia meeting its obligations in respect of </w:t>
            </w:r>
            <w:r>
              <w:rPr>
                <w:rFonts w:cs="Open Sans"/>
              </w:rPr>
              <w:t>a</w:t>
            </w:r>
            <w:r w:rsidRPr="676F1596">
              <w:rPr>
                <w:rFonts w:cs="Open Sans"/>
              </w:rPr>
              <w:t>rticle 17, the UN Committee on the Rights of Persons with Disabilities in September 2019 stated that Australia should</w:t>
            </w:r>
          </w:p>
          <w:p w:rsidR="00C10F24" w:rsidP="00A47B7E" w:rsidRDefault="00C10F24" w14:paraId="1C21DDE2" w14:textId="77777777">
            <w:pPr>
              <w:pStyle w:val="SubmissionNormal"/>
              <w:numPr>
                <w:ilvl w:val="0"/>
                <w:numId w:val="0"/>
              </w:numPr>
              <w:ind w:left="720"/>
              <w:rPr>
                <w:rFonts w:cs="Open Sans"/>
                <w:sz w:val="22"/>
                <w:szCs w:val="22"/>
              </w:rPr>
            </w:pPr>
            <w:r w:rsidRPr="676F1596">
              <w:rPr>
                <w:rFonts w:cs="Open Sans"/>
                <w:sz w:val="22"/>
                <w:szCs w:val="22"/>
              </w:rPr>
              <w:t>adopt clear legislative provisions that explicitly prohibit the performance of unnecessary, invasive and irreversible medical interventions</w:t>
            </w:r>
            <w:r w:rsidRPr="676F1596">
              <w:rPr>
                <w:sz w:val="22"/>
                <w:szCs w:val="22"/>
              </w:rPr>
              <w:t xml:space="preserve"> </w:t>
            </w:r>
            <w:r w:rsidRPr="676F1596">
              <w:rPr>
                <w:rFonts w:cs="Open Sans"/>
                <w:sz w:val="22"/>
                <w:szCs w:val="22"/>
              </w:rPr>
              <w:t>including surgical, hormonal or other medical procedures on intersex children before they reach the legal age of consent; also provide adequate counselling and support for the families of intersex children and redress to intersex persons having undergone such medical procedures.</w:t>
            </w:r>
            <w:r w:rsidRPr="00E357D2">
              <w:rPr>
                <w:rStyle w:val="EndnoteReference"/>
                <w:rFonts w:eastAsia="MS Mincho" w:cs="Open Sans"/>
                <w:sz w:val="18"/>
                <w:szCs w:val="18"/>
              </w:rPr>
              <w:endnoteReference w:id="31"/>
            </w:r>
          </w:p>
          <w:p w:rsidR="00C10F24" w:rsidP="00A47B7E" w:rsidRDefault="00C10F24" w14:paraId="5A49DDF3" w14:textId="77777777">
            <w:pPr>
              <w:keepNext/>
              <w:rPr>
                <w:b/>
                <w:bCs/>
                <w:lang w:val="en-US"/>
              </w:rPr>
            </w:pPr>
            <w:r w:rsidRPr="676F1596">
              <w:rPr>
                <w:b/>
                <w:bCs/>
                <w:lang w:val="en-US"/>
              </w:rPr>
              <w:t>UN Committee on the Rights of the Child (2019)</w:t>
            </w:r>
          </w:p>
          <w:p w:rsidR="00C10F24" w:rsidP="00A47B7E" w:rsidRDefault="00C10F24" w14:paraId="5ED48B9E" w14:textId="77777777">
            <w:pPr>
              <w:pStyle w:val="SubmissionNormal"/>
              <w:numPr>
                <w:ilvl w:val="0"/>
                <w:numId w:val="0"/>
              </w:numPr>
              <w:rPr>
                <w:rFonts w:cs="Open Sans"/>
              </w:rPr>
            </w:pPr>
            <w:r w:rsidRPr="676F1596">
              <w:rPr>
                <w:rFonts w:cs="Open Sans"/>
                <w:lang w:val="en-US"/>
              </w:rPr>
              <w:t>In September 2019, in its concluding observations on Australia, the Committee on the Rights of the Child stated that Australia should</w:t>
            </w:r>
          </w:p>
          <w:p w:rsidR="00C10F24" w:rsidP="00A47B7E" w:rsidRDefault="00C10F24" w14:paraId="1AFD0C29" w14:textId="77777777">
            <w:pPr>
              <w:pStyle w:val="SubmissionNormal"/>
              <w:numPr>
                <w:ilvl w:val="0"/>
                <w:numId w:val="0"/>
              </w:numPr>
              <w:ind w:left="720"/>
              <w:rPr>
                <w:rFonts w:cs="Open Sans"/>
              </w:rPr>
            </w:pPr>
            <w:r>
              <w:rPr>
                <w:rFonts w:cs="Open Sans"/>
                <w:sz w:val="22"/>
                <w:szCs w:val="22"/>
                <w:lang w:val="en-US"/>
              </w:rPr>
              <w:t>e</w:t>
            </w:r>
            <w:r w:rsidRPr="676F1596">
              <w:rPr>
                <w:rFonts w:cs="Open Sans"/>
                <w:sz w:val="22"/>
                <w:szCs w:val="22"/>
                <w:lang w:val="en-US"/>
              </w:rPr>
              <w:t>nact legislation explicitly prohibiting coerced sterilisation or unnecessary medical or surgical treatment, guaranteeing bodily integrity and autonomy to intersex children as well as adequate support and counselling to families of intersex children.</w:t>
            </w:r>
            <w:r w:rsidRPr="00E357D2">
              <w:rPr>
                <w:rStyle w:val="EndnoteReference"/>
                <w:rFonts w:cs="Open Sans"/>
                <w:sz w:val="18"/>
                <w:szCs w:val="18"/>
                <w:lang w:val="en-US"/>
              </w:rPr>
              <w:endnoteReference w:id="32"/>
            </w:r>
            <w:r w:rsidRPr="676F1596">
              <w:rPr>
                <w:rFonts w:cs="Open Sans"/>
                <w:lang w:val="en-US"/>
              </w:rPr>
              <w:t xml:space="preserve">  </w:t>
            </w:r>
          </w:p>
          <w:p w:rsidR="00C10F24" w:rsidP="00A47B7E" w:rsidRDefault="00C10F24" w14:paraId="78C8399D" w14:textId="77777777">
            <w:pPr>
              <w:keepNext/>
              <w:rPr>
                <w:b/>
                <w:bCs/>
              </w:rPr>
            </w:pPr>
            <w:r w:rsidRPr="676F1596">
              <w:rPr>
                <w:b/>
                <w:bCs/>
              </w:rPr>
              <w:t>UN Committee on the Elimination of Discrimination Against Women (2018)</w:t>
            </w:r>
          </w:p>
          <w:p w:rsidR="00C10F24" w:rsidP="00A47B7E" w:rsidRDefault="00C10F24" w14:paraId="34572922" w14:textId="77777777">
            <w:r>
              <w:t>The Committee expressed its concern at</w:t>
            </w:r>
          </w:p>
          <w:p w:rsidR="00C10F24" w:rsidP="00A47B7E" w:rsidRDefault="00C10F24" w14:paraId="0ED1C2D0" w14:textId="77777777">
            <w:pPr>
              <w:ind w:left="720"/>
            </w:pPr>
            <w:r w:rsidRPr="00823917">
              <w:rPr>
                <w:sz w:val="22"/>
                <w:szCs w:val="22"/>
              </w:rPr>
              <w:lastRenderedPageBreak/>
              <w:t>the conduct of medically unnecessary procedures on intersex infants and children before they reach an age when they are able to provide their free, prior and informed consent, as well as inadequate support and counselling for families of intersex children and inadequate remedies for victims.</w:t>
            </w:r>
            <w:r w:rsidRPr="00E357D2">
              <w:rPr>
                <w:rStyle w:val="EndnoteReference"/>
                <w:szCs w:val="20"/>
              </w:rPr>
              <w:endnoteReference w:id="33"/>
            </w:r>
          </w:p>
          <w:p w:rsidR="00C10F24" w:rsidP="00A47B7E" w:rsidRDefault="00C10F24" w14:paraId="202B67A7" w14:textId="77777777">
            <w:r>
              <w:t xml:space="preserve">It </w:t>
            </w:r>
            <w:r w:rsidRPr="676F1596">
              <w:t>recommended that</w:t>
            </w:r>
            <w:r>
              <w:t xml:space="preserve"> Australia</w:t>
            </w:r>
          </w:p>
          <w:p w:rsidR="00C10F24" w:rsidP="00A47B7E" w:rsidRDefault="00C10F24" w14:paraId="3C342D16" w14:textId="77777777">
            <w:pPr>
              <w:ind w:left="720"/>
            </w:pPr>
            <w:r w:rsidRPr="00823917">
              <w:rPr>
                <w:sz w:val="22"/>
                <w:szCs w:val="22"/>
              </w:rPr>
              <w:t>adopt clear legislative provisions that explicitly prohibit the performance of unnecessary surgical or other medical procedures on intersex children before they reach the legal age of consent, implement the recommendations made by the Senate in 2013 on the basis of its inquiry into the involuntary or coerced sterilization of intersex persons, provide adequate counselling and support for the families of intersex children and provid</w:t>
            </w:r>
            <w:r w:rsidRPr="00E357D2">
              <w:rPr>
                <w:sz w:val="20"/>
                <w:szCs w:val="20"/>
              </w:rPr>
              <w:t>e</w:t>
            </w:r>
            <w:r w:rsidRPr="00823917">
              <w:rPr>
                <w:sz w:val="22"/>
                <w:szCs w:val="22"/>
              </w:rPr>
              <w:t xml:space="preserve"> redress to intersex persons having undergone such medical procedures.</w:t>
            </w:r>
            <w:r w:rsidRPr="003856A2">
              <w:rPr>
                <w:rStyle w:val="EndnoteReference"/>
                <w:szCs w:val="20"/>
              </w:rPr>
              <w:endnoteReference w:id="34"/>
            </w:r>
          </w:p>
          <w:p w:rsidR="00C10F24" w:rsidP="00A47B7E" w:rsidRDefault="00C10F24" w14:paraId="38B28068" w14:textId="77777777">
            <w:pPr>
              <w:keepNext/>
              <w:rPr>
                <w:b/>
                <w:bCs/>
              </w:rPr>
            </w:pPr>
            <w:r w:rsidRPr="676F1596">
              <w:rPr>
                <w:b/>
                <w:bCs/>
              </w:rPr>
              <w:t>UN Human Rights Committee (2017)</w:t>
            </w:r>
          </w:p>
          <w:p w:rsidR="00C10F24" w:rsidP="00A47B7E" w:rsidRDefault="00C10F24" w14:paraId="32F4E056" w14:textId="77777777">
            <w:pPr>
              <w:rPr>
                <w:rStyle w:val="EndnoteReference"/>
              </w:rPr>
            </w:pPr>
            <w:r>
              <w:t>In its review of Australia in 2017, the Committee stated:</w:t>
            </w:r>
          </w:p>
          <w:p w:rsidR="00C10F24" w:rsidP="00A47B7E" w:rsidRDefault="00C10F24" w14:paraId="774F12D0" w14:textId="77777777">
            <w:pPr>
              <w:ind w:left="720"/>
            </w:pPr>
            <w:r w:rsidRPr="676F1596">
              <w:rPr>
                <w:sz w:val="22"/>
                <w:szCs w:val="22"/>
              </w:rPr>
              <w:t>The Committee is concerned that infants and children born with intersex variations are sometimes subject to irreversible and invasive medical interventions for purposes of gender assignment, which are often based on stereotyped gender roles and are performed before they are able to provide fully informed and free consent (arts. 3, 7, 9, 17, 24 and 26). … [Australia] should give due consideration to the recommendations made by the Senate Standing Committee on Community Affairs in its 2013 inquiry report on involuntary or coerced sterilisation of intersex people, and move to end irreversible medical treatment, especially surgery, of intersex infants and children, who are not yet able to provide fully informed and free consent, unless such procedures constitute an absolute medical necessity.</w:t>
            </w:r>
            <w:r w:rsidRPr="003856A2">
              <w:rPr>
                <w:rStyle w:val="EndnoteReference"/>
                <w:szCs w:val="20"/>
              </w:rPr>
              <w:endnoteReference w:id="35"/>
            </w:r>
          </w:p>
          <w:p w:rsidR="00C10F24" w:rsidP="00A47B7E" w:rsidRDefault="00C10F24" w14:paraId="2F91B205" w14:textId="77777777">
            <w:pPr>
              <w:pStyle w:val="ListNumber"/>
              <w:keepNext/>
              <w:numPr>
                <w:ilvl w:val="0"/>
                <w:numId w:val="0"/>
              </w:numPr>
            </w:pPr>
            <w:r w:rsidRPr="676F1596">
              <w:rPr>
                <w:b/>
                <w:bCs/>
              </w:rPr>
              <w:t xml:space="preserve">UN Committee on Economic, Social and Cultural Rights (2017) </w:t>
            </w:r>
          </w:p>
          <w:p w:rsidR="00C10F24" w:rsidP="00A47B7E" w:rsidRDefault="00C10F24" w14:paraId="0367386C" w14:textId="77777777">
            <w:pPr>
              <w:pStyle w:val="ListNumber"/>
              <w:numPr>
                <w:ilvl w:val="0"/>
                <w:numId w:val="0"/>
              </w:numPr>
            </w:pPr>
          </w:p>
          <w:p w:rsidR="00C10F24" w:rsidP="00A47B7E" w:rsidRDefault="00C10F24" w14:paraId="29EC291B" w14:textId="77777777">
            <w:pPr>
              <w:pStyle w:val="ListNumber"/>
              <w:numPr>
                <w:ilvl w:val="0"/>
                <w:numId w:val="0"/>
              </w:numPr>
            </w:pPr>
            <w:r>
              <w:t>This Committee has similarly expressed concern ‘that children born with intersex variations are subject to early surgeries and medical interventions before they are able to provide full and informed consent (art. 12)’.</w:t>
            </w:r>
            <w:r w:rsidRPr="003856A2">
              <w:rPr>
                <w:rStyle w:val="EndnoteReference"/>
                <w:szCs w:val="20"/>
              </w:rPr>
              <w:endnoteReference w:id="36"/>
            </w:r>
          </w:p>
        </w:tc>
      </w:tr>
    </w:tbl>
    <w:p w:rsidR="00C10F24" w:rsidP="00C10F24" w:rsidRDefault="00C10F24" w14:paraId="48CDCF77" w14:textId="77777777"/>
    <w:p w:rsidRPr="00DB2D0C" w:rsidR="00C10F24" w:rsidP="00C10F24" w:rsidRDefault="00C10F24" w14:paraId="1A9CF182" w14:textId="69C7C3C4">
      <w:pPr>
        <w:pStyle w:val="AHRCHeading3"/>
        <w:rPr>
          <w:rFonts w:eastAsia="Open Sans" w:cs="Open Sans"/>
        </w:rPr>
      </w:pPr>
      <w:bookmarkStart w:name="_Toc507585885" w:id="51"/>
      <w:bookmarkStart w:name="_Toc79703618" w:id="52"/>
      <w:bookmarkStart w:name="_Toc85541391" w:id="53"/>
      <w:r>
        <w:lastRenderedPageBreak/>
        <w:t>Children’s rights, including to participat</w:t>
      </w:r>
      <w:r w:rsidR="7907108F">
        <w:t>e</w:t>
      </w:r>
      <w:r>
        <w:t xml:space="preserve"> in decision</w:t>
      </w:r>
      <w:r w:rsidR="6B927CEF">
        <w:t>s that affect them</w:t>
      </w:r>
      <w:bookmarkEnd w:id="51"/>
      <w:bookmarkEnd w:id="52"/>
      <w:bookmarkEnd w:id="53"/>
    </w:p>
    <w:p w:rsidR="00C10F24" w:rsidP="00C10F24" w:rsidRDefault="00C10F24" w14:paraId="11E9C393" w14:textId="6F1E6DCB">
      <w:pPr>
        <w:pStyle w:val="SubmissionNormal"/>
        <w:numPr>
          <w:ilvl w:val="0"/>
          <w:numId w:val="0"/>
        </w:numPr>
        <w:rPr>
          <w:rFonts w:cs="Open Sans"/>
          <w:lang w:val="en-US"/>
        </w:rPr>
      </w:pPr>
      <w:r>
        <w:t>It is common for an intervention on a person born with a variation in sex characteristics to be proposed during infancy or early childhood. A child cannot provide personal consent for a proposed medical intervention, unless they are deemed ‘</w:t>
      </w:r>
      <w:r w:rsidRPr="45CE1845">
        <w:rPr>
          <w:i/>
          <w:iCs/>
        </w:rPr>
        <w:t xml:space="preserve">Gillick </w:t>
      </w:r>
      <w:r>
        <w:t xml:space="preserve">competent’. </w:t>
      </w:r>
      <w:r w:rsidRPr="45CE1845">
        <w:rPr>
          <w:i/>
          <w:iCs/>
        </w:rPr>
        <w:t>Gillick</w:t>
      </w:r>
      <w:r>
        <w:t xml:space="preserve"> competence is discussed in </w:t>
      </w:r>
      <w:r w:rsidRPr="009E29D4">
        <w:t xml:space="preserve">Chapter 4 </w:t>
      </w:r>
      <w:r>
        <w:t xml:space="preserve">– </w:t>
      </w:r>
      <w:r w:rsidRPr="009E29D4">
        <w:t>Consent and decision making.</w:t>
      </w:r>
      <w:r>
        <w:t xml:space="preserve"> </w:t>
      </w:r>
    </w:p>
    <w:p w:rsidR="00C10F24" w:rsidP="00C10F24" w:rsidRDefault="00C10F24" w14:paraId="50008C7C" w14:textId="77777777">
      <w:pPr>
        <w:pStyle w:val="SubmissionNormal"/>
        <w:numPr>
          <w:ilvl w:val="0"/>
          <w:numId w:val="0"/>
        </w:numPr>
        <w:rPr>
          <w:rFonts w:cs="Open Sans"/>
          <w:lang w:val="en-US"/>
        </w:rPr>
      </w:pPr>
      <w:r>
        <w:t xml:space="preserve">Nevertheless, the </w:t>
      </w:r>
      <w:r w:rsidRPr="45CE1845">
        <w:rPr>
          <w:i/>
          <w:iCs/>
        </w:rPr>
        <w:t xml:space="preserve">Convention on the Rights of the Child </w:t>
      </w:r>
      <w:r>
        <w:t>(CRC) requires consideration of the child’s views as a ‘high priority and not just one of several considerations’. Article 12(1)</w:t>
      </w:r>
      <w:r w:rsidRPr="4C9DBF03">
        <w:rPr>
          <w:rFonts w:cs="Open Sans"/>
        </w:rPr>
        <w:t xml:space="preserve"> provides that every child who is capable of forming </w:t>
      </w:r>
      <w:r>
        <w:rPr>
          <w:rFonts w:cs="Open Sans"/>
        </w:rPr>
        <w:t>their</w:t>
      </w:r>
      <w:r w:rsidRPr="4C9DBF03">
        <w:rPr>
          <w:rFonts w:cs="Open Sans"/>
        </w:rPr>
        <w:t xml:space="preserve"> own views has the right to express those views freely in all matters affecting the child, the views of the child being given due weight in accordance with the age and maturity of the child.</w:t>
      </w:r>
      <w:r w:rsidRPr="00A43984">
        <w:rPr>
          <w:rStyle w:val="EndnoteReference"/>
          <w:rFonts w:cs="Open Sans"/>
          <w:szCs w:val="20"/>
        </w:rPr>
        <w:endnoteReference w:id="37"/>
      </w:r>
    </w:p>
    <w:p w:rsidRPr="002E4CF1" w:rsidR="00C10F24" w:rsidP="00C10F24" w:rsidRDefault="00C10F24" w14:paraId="401A3FB9" w14:textId="77777777">
      <w:pPr>
        <w:pStyle w:val="SubmissionNormal"/>
        <w:numPr>
          <w:ilvl w:val="0"/>
          <w:numId w:val="0"/>
        </w:numPr>
      </w:pPr>
      <w:r w:rsidRPr="676F1596">
        <w:rPr>
          <w:rFonts w:cs="Open Sans"/>
          <w:lang w:val="en-US"/>
        </w:rPr>
        <w:t>The</w:t>
      </w:r>
      <w:r>
        <w:t xml:space="preserve"> Special Rapporteur on the right of everyone to the enjoyment of the highest attainable standard to physical and mental health has noted the importance of this right in health decisions about children: </w:t>
      </w:r>
    </w:p>
    <w:p w:rsidRPr="002E4CF1" w:rsidR="00C10F24" w:rsidP="00C10F24" w:rsidRDefault="00C10F24" w14:paraId="4A0B6B68" w14:textId="77777777">
      <w:pPr>
        <w:pStyle w:val="SubmissionNormal"/>
        <w:numPr>
          <w:ilvl w:val="0"/>
          <w:numId w:val="0"/>
        </w:numPr>
        <w:ind w:left="720"/>
        <w:rPr>
          <w:rFonts w:cs="Open Sans"/>
          <w:sz w:val="22"/>
          <w:szCs w:val="22"/>
          <w:lang w:val="en-US"/>
        </w:rPr>
      </w:pPr>
      <w:r w:rsidRPr="676F1596">
        <w:rPr>
          <w:sz w:val="22"/>
          <w:szCs w:val="22"/>
        </w:rPr>
        <w:t xml:space="preserve">The Convention on the Rights of the Child demands respect for the child’s evolving capacities and due weight to be given to the child’s views according to age and maturity. Risks and benefits of medical interventions must be adequately conveyed to the child, and, </w:t>
      </w:r>
      <w:r w:rsidRPr="676F1596">
        <w:rPr>
          <w:b/>
          <w:bCs/>
          <w:sz w:val="22"/>
          <w:szCs w:val="22"/>
        </w:rPr>
        <w:t>given sufficient maturity, the child’s informed consent should be sought</w:t>
      </w:r>
      <w:r w:rsidRPr="676F1596">
        <w:rPr>
          <w:sz w:val="22"/>
          <w:szCs w:val="22"/>
        </w:rPr>
        <w:t>.</w:t>
      </w:r>
      <w:r w:rsidRPr="676F1596">
        <w:rPr>
          <w:rStyle w:val="EndnoteReference"/>
          <w:sz w:val="22"/>
          <w:szCs w:val="22"/>
        </w:rPr>
        <w:endnoteReference w:id="38"/>
      </w:r>
      <w:r w:rsidRPr="676F1596">
        <w:rPr>
          <w:sz w:val="22"/>
          <w:szCs w:val="22"/>
        </w:rPr>
        <w:t xml:space="preserve"> (emphasis added)</w:t>
      </w:r>
    </w:p>
    <w:p w:rsidRPr="002E4CF1" w:rsidR="00C10F24" w:rsidP="00C10F24" w:rsidRDefault="00C10F24" w14:paraId="33244E66" w14:textId="50C34845">
      <w:pPr>
        <w:pStyle w:val="SubmissionNormal"/>
        <w:numPr>
          <w:ilvl w:val="0"/>
          <w:numId w:val="0"/>
        </w:numPr>
        <w:rPr>
          <w:rFonts w:cs="Open Sans"/>
          <w:lang w:val="en-US"/>
        </w:rPr>
      </w:pPr>
      <w:r w:rsidRPr="676F1596">
        <w:rPr>
          <w:rFonts w:cs="Open Sans"/>
        </w:rPr>
        <w:t>The</w:t>
      </w:r>
      <w:r w:rsidRPr="676F1596">
        <w:rPr>
          <w:rFonts w:cs="Open Sans"/>
          <w:lang w:val="en-US"/>
        </w:rPr>
        <w:t xml:space="preserve"> CRC </w:t>
      </w:r>
      <w:r>
        <w:rPr>
          <w:rFonts w:cs="Open Sans"/>
          <w:lang w:val="en-US"/>
        </w:rPr>
        <w:t xml:space="preserve">also </w:t>
      </w:r>
      <w:r w:rsidRPr="676F1596">
        <w:rPr>
          <w:rFonts w:cs="Open Sans"/>
          <w:lang w:val="en-US"/>
        </w:rPr>
        <w:t xml:space="preserve">contains a number of </w:t>
      </w:r>
      <w:r>
        <w:rPr>
          <w:rFonts w:cs="Open Sans"/>
          <w:lang w:val="en-US"/>
        </w:rPr>
        <w:t xml:space="preserve">additional human rights protections </w:t>
      </w:r>
      <w:r w:rsidRPr="676F1596">
        <w:rPr>
          <w:rFonts w:cs="Open Sans"/>
          <w:lang w:val="en-US"/>
        </w:rPr>
        <w:t>relevant to children born with variations in sex characteristics in medical settings. These include obligations on States Parties to</w:t>
      </w:r>
    </w:p>
    <w:p w:rsidRPr="002E4CF1" w:rsidR="00C10F24" w:rsidP="002F7D27" w:rsidRDefault="00C10F24" w14:paraId="12E05BD3" w14:textId="77777777">
      <w:pPr>
        <w:numPr>
          <w:ilvl w:val="0"/>
          <w:numId w:val="27"/>
        </w:numPr>
        <w:ind w:left="1080"/>
        <w:rPr>
          <w:rFonts w:eastAsia="Times New Roman" w:cs="Open Sans"/>
        </w:rPr>
      </w:pPr>
      <w:bookmarkStart w:name="_Hlk22213285" w:id="54"/>
      <w:r w:rsidRPr="002E4CF1">
        <w:rPr>
          <w:rFonts w:eastAsia="Times New Roman" w:cs="Open Sans"/>
        </w:rPr>
        <w:t>ensure the best interests of the child is a primary consideration in all actions concerning children (</w:t>
      </w:r>
      <w:r>
        <w:rPr>
          <w:rFonts w:eastAsia="Times New Roman" w:cs="Open Sans"/>
        </w:rPr>
        <w:t>a</w:t>
      </w:r>
      <w:r w:rsidRPr="002E4CF1">
        <w:rPr>
          <w:rFonts w:eastAsia="Times New Roman" w:cs="Open Sans"/>
        </w:rPr>
        <w:t>rt 3(1))</w:t>
      </w:r>
    </w:p>
    <w:p w:rsidRPr="00905C85" w:rsidR="00C6005F" w:rsidP="002F7D27" w:rsidRDefault="003C3296" w14:paraId="6DE41F66" w14:textId="7594727C">
      <w:pPr>
        <w:numPr>
          <w:ilvl w:val="0"/>
          <w:numId w:val="27"/>
        </w:numPr>
        <w:ind w:left="1080"/>
        <w:rPr>
          <w:rFonts w:eastAsia="Times New Roman" w:cs="Open Sans"/>
        </w:rPr>
      </w:pPr>
      <w:r w:rsidRPr="003C23AE">
        <w:t>respect the responsibilities, rights and duties of parents or, where applicable, to provide, in a manner consistent with the evolving capacities of the child, appropriate direction and guidance in the exercise by the child of the rights recognized in the Convention</w:t>
      </w:r>
      <w:r w:rsidR="00905C85">
        <w:t xml:space="preserve"> (art 5)</w:t>
      </w:r>
    </w:p>
    <w:p w:rsidRPr="002E4CF1" w:rsidR="00C10F24" w:rsidP="002F7D27" w:rsidRDefault="00C10F24" w14:paraId="442F6D0B" w14:textId="76F9F2CA">
      <w:pPr>
        <w:numPr>
          <w:ilvl w:val="0"/>
          <w:numId w:val="27"/>
        </w:numPr>
        <w:ind w:left="1080"/>
        <w:rPr>
          <w:rFonts w:eastAsia="Times New Roman" w:cs="Open Sans"/>
        </w:rPr>
      </w:pPr>
      <w:r w:rsidRPr="002E4CF1">
        <w:rPr>
          <w:rFonts w:eastAsia="Times New Roman" w:cs="Open Sans"/>
        </w:rPr>
        <w:t>ensure the survival and development of the child (</w:t>
      </w:r>
      <w:r>
        <w:rPr>
          <w:rFonts w:eastAsia="Times New Roman" w:cs="Open Sans"/>
        </w:rPr>
        <w:t>a</w:t>
      </w:r>
      <w:r w:rsidRPr="002E4CF1">
        <w:rPr>
          <w:rFonts w:eastAsia="Times New Roman" w:cs="Open Sans"/>
        </w:rPr>
        <w:t>rt 6(2))</w:t>
      </w:r>
    </w:p>
    <w:p w:rsidRPr="002E4CF1" w:rsidR="00C10F24" w:rsidP="002F7D27" w:rsidRDefault="00C10F24" w14:paraId="6A770C18" w14:textId="77777777">
      <w:pPr>
        <w:numPr>
          <w:ilvl w:val="0"/>
          <w:numId w:val="27"/>
        </w:numPr>
        <w:ind w:left="1080"/>
        <w:rPr>
          <w:rFonts w:eastAsia="Times New Roman" w:cs="Open Sans"/>
        </w:rPr>
      </w:pPr>
      <w:r w:rsidRPr="002E4CF1">
        <w:rPr>
          <w:rFonts w:eastAsia="Times New Roman" w:cs="Open Sans"/>
        </w:rPr>
        <w:t xml:space="preserve">respect the right of the child to preserve </w:t>
      </w:r>
      <w:r>
        <w:rPr>
          <w:rFonts w:eastAsia="Times New Roman" w:cs="Open Sans"/>
        </w:rPr>
        <w:t>their</w:t>
      </w:r>
      <w:r w:rsidRPr="002E4CF1">
        <w:rPr>
          <w:rFonts w:eastAsia="Times New Roman" w:cs="Open Sans"/>
        </w:rPr>
        <w:t xml:space="preserve"> identity (</w:t>
      </w:r>
      <w:r>
        <w:rPr>
          <w:rFonts w:eastAsia="Times New Roman" w:cs="Open Sans"/>
        </w:rPr>
        <w:t>a</w:t>
      </w:r>
      <w:r w:rsidRPr="002E4CF1">
        <w:rPr>
          <w:rFonts w:eastAsia="Times New Roman" w:cs="Open Sans"/>
        </w:rPr>
        <w:t>rt 8(1))</w:t>
      </w:r>
    </w:p>
    <w:bookmarkEnd w:id="54"/>
    <w:p w:rsidRPr="002E4CF1" w:rsidR="00C10F24" w:rsidP="002F7D27" w:rsidRDefault="00C10F24" w14:paraId="7417F166" w14:textId="77777777">
      <w:pPr>
        <w:numPr>
          <w:ilvl w:val="0"/>
          <w:numId w:val="27"/>
        </w:numPr>
        <w:ind w:left="1080"/>
        <w:rPr>
          <w:rFonts w:eastAsia="Open Sans" w:cs="Open Sans"/>
        </w:rPr>
      </w:pPr>
      <w:r w:rsidRPr="676F1596">
        <w:rPr>
          <w:rFonts w:eastAsia="Times New Roman" w:cs="Open Sans"/>
        </w:rPr>
        <w:lastRenderedPageBreak/>
        <w:t>take all appropriate legislative, administrative, social and educational measures to protect the child from all forms of physical or mental violence, injury or abuse, neglect or negligent treatment, maltreatment or exploitation (</w:t>
      </w:r>
      <w:r>
        <w:rPr>
          <w:rFonts w:eastAsia="Times New Roman" w:cs="Open Sans"/>
        </w:rPr>
        <w:t>a</w:t>
      </w:r>
      <w:r w:rsidRPr="676F1596">
        <w:rPr>
          <w:rFonts w:eastAsia="Times New Roman" w:cs="Open Sans"/>
        </w:rPr>
        <w:t>rt 19</w:t>
      </w:r>
      <w:r>
        <w:rPr>
          <w:rFonts w:eastAsia="Times New Roman" w:cs="Open Sans"/>
        </w:rPr>
        <w:t>(1)</w:t>
      </w:r>
      <w:r w:rsidRPr="676F1596">
        <w:rPr>
          <w:rFonts w:eastAsia="Times New Roman" w:cs="Open Sans"/>
        </w:rPr>
        <w:t>)</w:t>
      </w:r>
    </w:p>
    <w:p w:rsidRPr="002E4CF1" w:rsidR="00C10F24" w:rsidP="002F7D27" w:rsidRDefault="00C10F24" w14:paraId="5594B97C" w14:textId="77777777">
      <w:pPr>
        <w:numPr>
          <w:ilvl w:val="0"/>
          <w:numId w:val="27"/>
        </w:numPr>
        <w:ind w:left="1080"/>
        <w:rPr>
          <w:rFonts w:eastAsia="Times New Roman" w:cs="Open Sans"/>
        </w:rPr>
      </w:pPr>
      <w:r w:rsidRPr="002E4CF1">
        <w:rPr>
          <w:rFonts w:eastAsia="Times New Roman" w:cs="Open Sans"/>
        </w:rPr>
        <w:t>take all effective and appropriate measures with a view to abolishing traditional practices prejudicial to the health of children (</w:t>
      </w:r>
      <w:r>
        <w:rPr>
          <w:rFonts w:eastAsia="Times New Roman" w:cs="Open Sans"/>
        </w:rPr>
        <w:t>a</w:t>
      </w:r>
      <w:r w:rsidRPr="002E4CF1">
        <w:rPr>
          <w:rFonts w:eastAsia="Times New Roman" w:cs="Open Sans"/>
        </w:rPr>
        <w:t>rt 24(3))</w:t>
      </w:r>
    </w:p>
    <w:p w:rsidRPr="002E4CF1" w:rsidR="00C10F24" w:rsidP="002F7D27" w:rsidRDefault="00C10F24" w14:paraId="459CA562" w14:textId="77777777">
      <w:pPr>
        <w:numPr>
          <w:ilvl w:val="0"/>
          <w:numId w:val="27"/>
        </w:numPr>
        <w:ind w:left="1080"/>
        <w:rPr>
          <w:rFonts w:eastAsia="Times New Roman" w:cs="Open Sans"/>
        </w:rPr>
      </w:pPr>
      <w:r w:rsidRPr="002E4CF1">
        <w:rPr>
          <w:rFonts w:eastAsia="Times New Roman" w:cs="Open Sans"/>
        </w:rPr>
        <w:t>recognise the right of the child to the enjoyment of the highest attainable standard of health (</w:t>
      </w:r>
      <w:r>
        <w:rPr>
          <w:rFonts w:eastAsia="Times New Roman" w:cs="Open Sans"/>
        </w:rPr>
        <w:t>a</w:t>
      </w:r>
      <w:r w:rsidRPr="002E4CF1">
        <w:rPr>
          <w:rFonts w:eastAsia="Times New Roman" w:cs="Open Sans"/>
        </w:rPr>
        <w:t>rt 24(1)).</w:t>
      </w:r>
      <w:r w:rsidRPr="0063697A">
        <w:rPr>
          <w:rStyle w:val="EndnoteReference"/>
          <w:rFonts w:eastAsia="Times New Roman" w:cs="Open Sans"/>
          <w:szCs w:val="20"/>
        </w:rPr>
        <w:endnoteReference w:id="39"/>
      </w:r>
    </w:p>
    <w:p w:rsidRPr="002E4CF1" w:rsidR="00C10F24" w:rsidP="00C10F24" w:rsidRDefault="00C10F24" w14:paraId="25818A8D" w14:textId="77777777">
      <w:pPr>
        <w:pStyle w:val="SubmissionNormal"/>
        <w:numPr>
          <w:ilvl w:val="0"/>
          <w:numId w:val="0"/>
        </w:numPr>
        <w:rPr>
          <w:rFonts w:cs="Open Sans"/>
          <w:lang w:val="en-US"/>
        </w:rPr>
      </w:pPr>
      <w:r w:rsidRPr="002E4CF1">
        <w:rPr>
          <w:rFonts w:cs="Open Sans"/>
          <w:lang w:val="en-US"/>
        </w:rPr>
        <w:t>The Committee on the Rights of the Child has repeatedly called on States Parties to better protect the human rights of children with variations in sex characteristics in the context of medical interventions. In its General Comment No. 20</w:t>
      </w:r>
      <w:r>
        <w:rPr>
          <w:rFonts w:cs="Open Sans"/>
          <w:lang w:val="en-US"/>
        </w:rPr>
        <w:t>,</w:t>
      </w:r>
      <w:r w:rsidRPr="002E4CF1">
        <w:rPr>
          <w:rFonts w:cs="Open Sans"/>
          <w:lang w:val="en-US"/>
        </w:rPr>
        <w:t xml:space="preserve"> on the rights of the child during adolescence, it stated: </w:t>
      </w:r>
    </w:p>
    <w:p w:rsidRPr="00DE1CE0" w:rsidR="00C10F24" w:rsidP="00A12F22" w:rsidRDefault="00C10F24" w14:paraId="75AD16EA" w14:textId="77777777">
      <w:pPr>
        <w:ind w:left="851"/>
        <w:rPr>
          <w:rFonts w:eastAsia="Times New Roman" w:cs="Open Sans"/>
          <w:sz w:val="22"/>
          <w:szCs w:val="22"/>
        </w:rPr>
      </w:pPr>
      <w:r w:rsidRPr="00DE1CE0">
        <w:rPr>
          <w:rFonts w:eastAsia="Times New Roman" w:cs="Open Sans"/>
          <w:sz w:val="22"/>
          <w:szCs w:val="22"/>
        </w:rPr>
        <w:t xml:space="preserve">The Committee emphasizes the rights of all adolescents to freedom of expression and respect for their physical and psychological integrity, gender identity and emerging autonomy. It condemns the imposition of so-called </w:t>
      </w:r>
      <w:r>
        <w:rPr>
          <w:rFonts w:eastAsia="Times New Roman" w:cs="Open Sans"/>
          <w:sz w:val="22"/>
          <w:szCs w:val="22"/>
        </w:rPr>
        <w:t>‘</w:t>
      </w:r>
      <w:r w:rsidRPr="00DE1CE0">
        <w:rPr>
          <w:rFonts w:eastAsia="Times New Roman" w:cs="Open Sans"/>
          <w:sz w:val="22"/>
          <w:szCs w:val="22"/>
        </w:rPr>
        <w:t>treatments</w:t>
      </w:r>
      <w:r>
        <w:rPr>
          <w:rFonts w:eastAsia="Times New Roman" w:cs="Open Sans"/>
          <w:sz w:val="22"/>
          <w:szCs w:val="22"/>
        </w:rPr>
        <w:t>’</w:t>
      </w:r>
      <w:r w:rsidRPr="00DE1CE0">
        <w:rPr>
          <w:rFonts w:eastAsia="Times New Roman" w:cs="Open Sans"/>
          <w:sz w:val="22"/>
          <w:szCs w:val="22"/>
        </w:rPr>
        <w:t xml:space="preserve"> to try to change sexual orientation and forced surgeries or treatments on intersex adolescents. It urges States to eliminate such practices.</w:t>
      </w:r>
      <w:r w:rsidRPr="00DE1CE0">
        <w:rPr>
          <w:rStyle w:val="EndnoteReference"/>
          <w:rFonts w:eastAsia="Times New Roman" w:cs="Open Sans"/>
          <w:sz w:val="22"/>
          <w:szCs w:val="22"/>
        </w:rPr>
        <w:endnoteReference w:id="40"/>
      </w:r>
    </w:p>
    <w:p w:rsidRPr="002E4CF1" w:rsidR="00C10F24" w:rsidP="00C10F24" w:rsidRDefault="00C10F24" w14:paraId="0C550B18" w14:textId="77777777">
      <w:pPr>
        <w:pStyle w:val="SubmissionNormal"/>
        <w:numPr>
          <w:ilvl w:val="0"/>
          <w:numId w:val="0"/>
        </w:numPr>
        <w:rPr>
          <w:rFonts w:eastAsia="Open Sans" w:cs="Open Sans"/>
          <w:lang w:val="en-US"/>
        </w:rPr>
      </w:pPr>
      <w:r w:rsidRPr="002E4CF1">
        <w:rPr>
          <w:rFonts w:cs="Open Sans"/>
          <w:lang w:val="en-US"/>
        </w:rPr>
        <w:t>UN treaty bodies have increasingly considered human rights violations in respect of people born with variations in sex characteristics in relation to medical interventions by reference to ‘harmful practices’.</w:t>
      </w:r>
      <w:r w:rsidRPr="007E337E">
        <w:rPr>
          <w:rStyle w:val="EndnoteReference"/>
          <w:rFonts w:cs="Open Sans"/>
          <w:szCs w:val="20"/>
          <w:lang w:val="en-US"/>
        </w:rPr>
        <w:endnoteReference w:id="41"/>
      </w:r>
      <w:r w:rsidRPr="002E4CF1">
        <w:rPr>
          <w:rFonts w:cs="Open Sans"/>
          <w:lang w:val="en-US"/>
        </w:rPr>
        <w:t xml:space="preserve"> The Committee </w:t>
      </w:r>
      <w:r>
        <w:rPr>
          <w:rFonts w:cs="Open Sans"/>
          <w:lang w:val="en-US"/>
        </w:rPr>
        <w:t xml:space="preserve">on the Rights of the Child </w:t>
      </w:r>
      <w:r w:rsidRPr="002E4CF1">
        <w:rPr>
          <w:rFonts w:cs="Open Sans"/>
          <w:lang w:val="en-US"/>
        </w:rPr>
        <w:t xml:space="preserve">has previously </w:t>
      </w:r>
      <w:r>
        <w:rPr>
          <w:rFonts w:cs="Open Sans"/>
          <w:lang w:val="en-US"/>
        </w:rPr>
        <w:t>af</w:t>
      </w:r>
      <w:r w:rsidRPr="002E4CF1">
        <w:rPr>
          <w:rFonts w:cs="Open Sans"/>
          <w:lang w:val="en-US"/>
        </w:rPr>
        <w:t xml:space="preserve">firmed that ‘harmful practices’ fall within the scope of ‘all forms of physical and mental violence’ in </w:t>
      </w:r>
      <w:r w:rsidRPr="7FC85F3A">
        <w:rPr>
          <w:rFonts w:cs="Open Sans"/>
          <w:lang w:val="en-US"/>
        </w:rPr>
        <w:t>a</w:t>
      </w:r>
      <w:r w:rsidRPr="002E4CF1">
        <w:rPr>
          <w:rFonts w:cs="Open Sans"/>
          <w:lang w:val="en-US"/>
        </w:rPr>
        <w:t>rticle 19 of the CRC.</w:t>
      </w:r>
      <w:r w:rsidRPr="007E337E">
        <w:rPr>
          <w:rStyle w:val="EndnoteReference"/>
          <w:rFonts w:cs="Open Sans"/>
          <w:szCs w:val="20"/>
          <w:lang w:val="en-US"/>
        </w:rPr>
        <w:endnoteReference w:id="42"/>
      </w:r>
    </w:p>
    <w:p w:rsidR="00C10F24" w:rsidP="00C10F24" w:rsidRDefault="00C10F24" w14:paraId="35974367" w14:textId="5658DD0A">
      <w:r w:rsidRPr="006860E6">
        <w:t>The Committee on the Rights of the Child in its General Comment No.</w:t>
      </w:r>
      <w:r>
        <w:t> </w:t>
      </w:r>
      <w:r w:rsidRPr="006860E6">
        <w:t>14</w:t>
      </w:r>
      <w:r>
        <w:t>,</w:t>
      </w:r>
      <w:r w:rsidRPr="006860E6">
        <w:t xml:space="preserve"> on the right of the child to</w:t>
      </w:r>
      <w:r>
        <w:t xml:space="preserve"> </w:t>
      </w:r>
      <w:r w:rsidRPr="006860E6">
        <w:t xml:space="preserve">have </w:t>
      </w:r>
      <w:r>
        <w:t>their</w:t>
      </w:r>
      <w:r w:rsidRPr="006860E6">
        <w:t xml:space="preserve"> best </w:t>
      </w:r>
      <w:r w:rsidRPr="00CC02A2">
        <w:t>interests taken</w:t>
      </w:r>
      <w:r w:rsidRPr="006860E6">
        <w:t xml:space="preserve"> as a primary consideration (art 3, para 1</w:t>
      </w:r>
      <w:r>
        <w:t xml:space="preserve">), provides some direction on how to interpret the right in the context of the child’s right to health </w:t>
      </w:r>
      <w:r w:rsidR="1CFDE1A0">
        <w:t>(</w:t>
      </w:r>
      <w:r>
        <w:t>article 24</w:t>
      </w:r>
      <w:r w:rsidR="578B5670">
        <w:t>)</w:t>
      </w:r>
      <w:r>
        <w:t xml:space="preserve">. </w:t>
      </w:r>
      <w:r w:rsidR="5627FADB">
        <w:t xml:space="preserve">The Committee </w:t>
      </w:r>
      <w:r>
        <w:t xml:space="preserve">explains the </w:t>
      </w:r>
      <w:r w:rsidR="05DBE8E4">
        <w:t>intersection between the best interests principle and the principle of parti</w:t>
      </w:r>
      <w:r w:rsidR="0C5C6A14">
        <w:t>cipa</w:t>
      </w:r>
      <w:r w:rsidR="05DBE8E4">
        <w:t>tion, in a health context</w:t>
      </w:r>
      <w:r w:rsidR="4970378B">
        <w:t>,</w:t>
      </w:r>
      <w:r w:rsidR="05DBE8E4">
        <w:t xml:space="preserve"> </w:t>
      </w:r>
      <w:r w:rsidR="6A3BEAED">
        <w:t>as follows</w:t>
      </w:r>
      <w:r>
        <w:t>:</w:t>
      </w:r>
    </w:p>
    <w:p w:rsidRPr="007D3504" w:rsidR="00C10F24" w:rsidP="00C10F24" w:rsidRDefault="00C10F24" w14:paraId="07019C4A" w14:textId="77777777">
      <w:pPr>
        <w:ind w:left="720"/>
        <w:rPr>
          <w:sz w:val="22"/>
          <w:szCs w:val="22"/>
        </w:rPr>
      </w:pPr>
      <w:r w:rsidRPr="007D3504">
        <w:rPr>
          <w:sz w:val="22"/>
          <w:szCs w:val="22"/>
        </w:rPr>
        <w:t xml:space="preserve">The child’s right to health (art 24) and his or her health condition are central in assessing the child’s best interest. However, if there is more than one possible </w:t>
      </w:r>
      <w:r w:rsidRPr="007D3504">
        <w:rPr>
          <w:sz w:val="22"/>
          <w:szCs w:val="22"/>
        </w:rPr>
        <w:lastRenderedPageBreak/>
        <w:t>treatment for a health condition or if the outcome of a treatment is uncertain, the advantages of all possible treatments must be weighed against all possible risks and side effects, and the views of the child must also be given due weight based on his or her age and maturity. In this respect, children should be provided with adequate and appropriate information in order to understand the situation and all the relevant aspects in relation to their interests, and be allowed, when possible, to give their consent in an informed manner.</w:t>
      </w:r>
      <w:r>
        <w:rPr>
          <w:rStyle w:val="EndnoteReference"/>
          <w:sz w:val="22"/>
          <w:szCs w:val="22"/>
        </w:rPr>
        <w:endnoteReference w:id="43"/>
      </w:r>
    </w:p>
    <w:p w:rsidR="00C10F24" w:rsidP="00C10F24" w:rsidRDefault="00C10F24" w14:paraId="63D57C80" w14:textId="1B85E728">
      <w:r>
        <w:t>It also explains that what may be in the child’s best interests may not be in the interest of others, such as their legal guardian. In the event of conflict, a larger weight must be attached to what serves the child best.</w:t>
      </w:r>
      <w:r w:rsidRPr="000949AA">
        <w:rPr>
          <w:rStyle w:val="EndnoteReference"/>
          <w:szCs w:val="20"/>
        </w:rPr>
        <w:endnoteReference w:id="44"/>
      </w:r>
    </w:p>
    <w:p w:rsidR="00FA7CCD" w:rsidP="00C10F24" w:rsidRDefault="00FA7CCD" w14:paraId="7B019E34" w14:textId="58A3176B">
      <w:r>
        <w:t xml:space="preserve">The Committee also explains the </w:t>
      </w:r>
      <w:r w:rsidR="0027186C">
        <w:t xml:space="preserve">need for meaningful participation of the child to realise </w:t>
      </w:r>
      <w:r w:rsidR="00BD373E">
        <w:t>the obligation of acting in the child’s best interests, stating:</w:t>
      </w:r>
    </w:p>
    <w:p w:rsidRPr="008A0E97" w:rsidR="00BD373E" w:rsidDel="00EF1AC4" w:rsidP="008A0E97" w:rsidRDefault="00BD373E" w14:paraId="03C64C54" w14:textId="5EEB6102">
      <w:pPr>
        <w:ind w:left="720"/>
        <w:rPr>
          <w:sz w:val="20"/>
          <w:szCs w:val="20"/>
        </w:rPr>
      </w:pPr>
      <w:r w:rsidRPr="008A0E97">
        <w:rPr>
          <w:sz w:val="22"/>
          <w:szCs w:val="22"/>
        </w:rPr>
        <w:t>A vital element of the process is communicating with children to facilitate meaningful child participation and identify their best interests. Such communication should include informing children about the process and possible sustainable solutions and services, as well as collecting information from children and seeking their views.</w:t>
      </w:r>
      <w:r>
        <w:rPr>
          <w:rStyle w:val="EndnoteReference"/>
          <w:szCs w:val="20"/>
        </w:rPr>
        <w:endnoteReference w:id="45"/>
      </w:r>
    </w:p>
    <w:p w:rsidR="00C10F24" w:rsidP="0094467E" w:rsidRDefault="00C10F24" w14:paraId="7A161C05" w14:textId="5D45FD71">
      <w:pPr>
        <w:pStyle w:val="SubmissionNormal"/>
        <w:numPr>
          <w:ilvl w:val="0"/>
          <w:numId w:val="0"/>
        </w:numPr>
        <w:rPr>
          <w:sz w:val="22"/>
          <w:szCs w:val="22"/>
        </w:rPr>
      </w:pPr>
      <w:r w:rsidRPr="7FC85F3A">
        <w:rPr>
          <w:rFonts w:cs="Open Sans"/>
          <w:lang w:val="en-US"/>
        </w:rPr>
        <w:t xml:space="preserve">Commenting on </w:t>
      </w:r>
      <w:r>
        <w:rPr>
          <w:rFonts w:cs="Open Sans"/>
          <w:lang w:val="en-US"/>
        </w:rPr>
        <w:t>a</w:t>
      </w:r>
      <w:r w:rsidRPr="7FC85F3A">
        <w:rPr>
          <w:rFonts w:cs="Open Sans"/>
          <w:lang w:val="en-US"/>
        </w:rPr>
        <w:t xml:space="preserve">rticle 12 of the CRC, the Special Rapporteur on the right of everyone to the enjoyment of the highest attainable standard of physical and mental health </w:t>
      </w:r>
      <w:r w:rsidRPr="00194C6D">
        <w:rPr>
          <w:rFonts w:cs="Open Sans"/>
          <w:lang w:val="en-US"/>
        </w:rPr>
        <w:t>called for the deferral of all interventions which are not medical emergencies until the child is old enough to consent, stating:</w:t>
      </w:r>
    </w:p>
    <w:p w:rsidRPr="00704CA1" w:rsidR="00C10F24" w:rsidP="00C10F24" w:rsidRDefault="00C10F24" w14:paraId="3D3DF011" w14:textId="77777777">
      <w:pPr>
        <w:spacing w:before="0" w:after="160" w:line="259" w:lineRule="auto"/>
        <w:ind w:left="720"/>
        <w:contextualSpacing/>
        <w:rPr>
          <w:sz w:val="22"/>
          <w:szCs w:val="22"/>
        </w:rPr>
      </w:pPr>
      <w:r w:rsidRPr="676F1596">
        <w:rPr>
          <w:sz w:val="22"/>
          <w:szCs w:val="22"/>
        </w:rPr>
        <w:t>Health-care providers should strive to postpone non-emergency invasive and irreversible interventions until the child is sufficiently mature to provide informed consent. Safeguards should be in place to protect children from parents withholding consent for a necessary emergency procedure. Even where laws are supportive, appropriate training of health workers is necessary to avoid continued denial of services to adolescents without parental consent. Additional efforts must be made to ensure that information and services are child-friendly and age-accessible through appropriate opening hours, staff training and sensitization, and special considerations for information sources and presentation, such as peer health approaches.</w:t>
      </w:r>
      <w:r w:rsidRPr="002760B4">
        <w:rPr>
          <w:rStyle w:val="EndnoteReference"/>
          <w:szCs w:val="20"/>
        </w:rPr>
        <w:endnoteReference w:id="46"/>
      </w:r>
    </w:p>
    <w:p w:rsidRPr="00194C6D" w:rsidR="00C10F24" w:rsidP="00C10F24" w:rsidRDefault="00C10F24" w14:paraId="0C2F8695" w14:textId="77777777">
      <w:pPr>
        <w:pStyle w:val="SubmissionNormal"/>
        <w:numPr>
          <w:ilvl w:val="0"/>
          <w:numId w:val="0"/>
        </w:numPr>
        <w:rPr>
          <w:rFonts w:cs="Open Sans"/>
          <w:lang w:val="en-US"/>
        </w:rPr>
      </w:pPr>
      <w:r w:rsidRPr="00194C6D">
        <w:rPr>
          <w:rFonts w:cs="Open Sans"/>
          <w:lang w:val="en-US"/>
        </w:rPr>
        <w:t>A previous Special Rapporteur on the right of everyone to the enjoyment of the highest attainable standard of physical and mental health concluded:</w:t>
      </w:r>
    </w:p>
    <w:p w:rsidRPr="008E6AFB" w:rsidR="00C10F24" w:rsidP="00C10F24" w:rsidRDefault="00C10F24" w14:paraId="164AC3C5" w14:textId="77777777">
      <w:pPr>
        <w:spacing w:before="0" w:after="160" w:line="259" w:lineRule="auto"/>
        <w:ind w:left="720"/>
        <w:contextualSpacing/>
        <w:rPr>
          <w:sz w:val="22"/>
          <w:szCs w:val="22"/>
        </w:rPr>
      </w:pPr>
      <w:r w:rsidRPr="008E6AFB">
        <w:rPr>
          <w:sz w:val="22"/>
          <w:szCs w:val="22"/>
        </w:rPr>
        <w:lastRenderedPageBreak/>
        <w:t>On the basis of international human right law and standards, States should prohibit unnecessary medical or surgical treatment during infancy or early childhood in order to guarantee the bodily integrity, autonomy and self</w:t>
      </w:r>
      <w:r>
        <w:rPr>
          <w:sz w:val="22"/>
          <w:szCs w:val="22"/>
        </w:rPr>
        <w:t>-</w:t>
      </w:r>
      <w:r w:rsidRPr="008E6AFB">
        <w:rPr>
          <w:sz w:val="22"/>
          <w:szCs w:val="22"/>
        </w:rPr>
        <w:t>determination of the children concerned.</w:t>
      </w:r>
      <w:r w:rsidRPr="007A758C">
        <w:rPr>
          <w:rStyle w:val="EndnoteReference"/>
          <w:szCs w:val="20"/>
        </w:rPr>
        <w:endnoteReference w:id="47"/>
      </w:r>
    </w:p>
    <w:p w:rsidRPr="007A60A5" w:rsidR="00C10F24" w:rsidP="00C10F24" w:rsidRDefault="00C10F24" w14:paraId="4D45148A" w14:textId="77777777">
      <w:pPr>
        <w:pStyle w:val="AHRCHeading3"/>
      </w:pPr>
      <w:bookmarkStart w:name="_Ref503184563" w:id="55"/>
      <w:bookmarkStart w:name="_Toc507585886" w:id="56"/>
      <w:bookmarkStart w:name="_Toc79703619" w:id="57"/>
      <w:bookmarkStart w:name="_Toc85541392" w:id="58"/>
      <w:r>
        <w:t>Torture or cruel, inhuman or degrading treatment</w:t>
      </w:r>
      <w:bookmarkEnd w:id="55"/>
      <w:bookmarkEnd w:id="56"/>
      <w:bookmarkEnd w:id="57"/>
      <w:bookmarkEnd w:id="58"/>
    </w:p>
    <w:p w:rsidRPr="002E4CF1" w:rsidR="00C10F24" w:rsidP="00C10F24" w:rsidRDefault="00C10F24" w14:paraId="6E31BFE8" w14:textId="77777777">
      <w:pPr>
        <w:pStyle w:val="SubmissionNormal"/>
        <w:numPr>
          <w:ilvl w:val="0"/>
          <w:numId w:val="0"/>
        </w:numPr>
        <w:rPr>
          <w:rFonts w:cs="Open Sans"/>
          <w:lang w:val="en-US"/>
        </w:rPr>
      </w:pPr>
      <w:r w:rsidRPr="7FC85F3A">
        <w:rPr>
          <w:rFonts w:cs="Open Sans"/>
          <w:lang w:val="en-US"/>
        </w:rPr>
        <w:t xml:space="preserve">The right to be free from torture or cruel, inhuman or degrading treatment is an absolute right under international law, recognised in the CAT and the ICCPR, among other instruments. </w:t>
      </w:r>
    </w:p>
    <w:p w:rsidRPr="002E4CF1" w:rsidR="00C10F24" w:rsidP="00C10F24" w:rsidRDefault="00C10F24" w14:paraId="059C15F4" w14:textId="77777777">
      <w:pPr>
        <w:pStyle w:val="SubmissionNormal"/>
        <w:numPr>
          <w:ilvl w:val="0"/>
          <w:numId w:val="0"/>
        </w:numPr>
        <w:rPr>
          <w:rFonts w:cs="Open Sans"/>
        </w:rPr>
      </w:pPr>
      <w:r w:rsidRPr="002E4CF1">
        <w:rPr>
          <w:rFonts w:cs="Open Sans"/>
        </w:rPr>
        <w:t>The</w:t>
      </w:r>
      <w:r w:rsidRPr="002E4CF1">
        <w:rPr>
          <w:rFonts w:cs="Open Sans"/>
          <w:lang w:val="en-US"/>
        </w:rPr>
        <w:t xml:space="preserve"> </w:t>
      </w:r>
      <w:r>
        <w:rPr>
          <w:rFonts w:cs="Open Sans"/>
          <w:lang w:val="en-US"/>
        </w:rPr>
        <w:t xml:space="preserve">UN </w:t>
      </w:r>
      <w:r w:rsidRPr="002E4CF1">
        <w:rPr>
          <w:rFonts w:cs="Open Sans"/>
          <w:lang w:val="en-US"/>
        </w:rPr>
        <w:t xml:space="preserve">Committee Against Torture has repeatedly expressed concerns about non-urgent medical interventions involving people born with variations in sex characteristics by reference to the </w:t>
      </w:r>
      <w:r w:rsidRPr="002E4CF1">
        <w:rPr>
          <w:rFonts w:cs="Open Sans"/>
        </w:rPr>
        <w:t>obligations on States Parties to take effective legislative, administrative, judicial or other measures to prevent torture (</w:t>
      </w:r>
      <w:r>
        <w:rPr>
          <w:rFonts w:cs="Open Sans"/>
        </w:rPr>
        <w:t>a</w:t>
      </w:r>
      <w:r w:rsidRPr="002E4CF1">
        <w:rPr>
          <w:rFonts w:cs="Open Sans"/>
        </w:rPr>
        <w:t>rt 2(1)) and prevent other acts of cruel, inhuman or degrading treatment (</w:t>
      </w:r>
      <w:r>
        <w:rPr>
          <w:rFonts w:cs="Open Sans"/>
        </w:rPr>
        <w:t>a</w:t>
      </w:r>
      <w:r w:rsidRPr="002E4CF1">
        <w:rPr>
          <w:rFonts w:cs="Open Sans"/>
        </w:rPr>
        <w:t>rt 16).</w:t>
      </w:r>
      <w:r w:rsidRPr="676F1596">
        <w:rPr>
          <w:rStyle w:val="EndnoteReference"/>
          <w:rFonts w:cs="Open Sans"/>
        </w:rPr>
        <w:endnoteReference w:id="48"/>
      </w:r>
    </w:p>
    <w:p w:rsidR="4CCBB3EB" w:rsidP="008100C9" w:rsidRDefault="4CCBB3EB" w14:paraId="6E499C00" w14:textId="084A7C14">
      <w:pPr>
        <w:pStyle w:val="SubmissionNormal"/>
        <w:numPr>
          <w:ilvl w:val="0"/>
          <w:numId w:val="0"/>
        </w:numPr>
        <w:rPr>
          <w:rFonts w:cs="Open Sans"/>
        </w:rPr>
      </w:pPr>
      <w:r w:rsidRPr="0117CC5D">
        <w:rPr>
          <w:rFonts w:cs="Open Sans"/>
          <w:lang w:val="en-US"/>
        </w:rPr>
        <w:t xml:space="preserve">In </w:t>
      </w:r>
      <w:r w:rsidRPr="0117CC5D">
        <w:rPr>
          <w:rFonts w:cs="Open Sans"/>
        </w:rPr>
        <w:t>2013</w:t>
      </w:r>
      <w:r w:rsidRPr="0117CC5D">
        <w:rPr>
          <w:rFonts w:cs="Open Sans"/>
          <w:lang w:val="en-US"/>
        </w:rPr>
        <w:t xml:space="preserve">, the Special Rapporteur on torture and other cruel, inhuman or degrading treatment or punishment called on States Parties to repeal all laws that </w:t>
      </w:r>
      <w:r w:rsidRPr="0117CC5D">
        <w:rPr>
          <w:rFonts w:cs="Open Sans"/>
        </w:rPr>
        <w:t>permit intrusive and irreversible medical interventions when enforced without the free and informed consent of the person concerned.</w:t>
      </w:r>
      <w:r w:rsidRPr="0117CC5D">
        <w:rPr>
          <w:rStyle w:val="EndnoteReference"/>
          <w:rFonts w:cs="Open Sans"/>
        </w:rPr>
        <w:endnoteReference w:id="49"/>
      </w:r>
      <w:r w:rsidRPr="0117CC5D">
        <w:rPr>
          <w:rFonts w:cs="Open Sans"/>
        </w:rPr>
        <w:t xml:space="preserve"> In 2016, the Special Rapporteur repeated this point and also specifically noted that children born with atypical sex characteristics are often subject to sterilisation procedures and surgeries, which are performed without their informed consent or that of their parents.</w:t>
      </w:r>
      <w:r w:rsidRPr="0117CC5D">
        <w:rPr>
          <w:rStyle w:val="EndnoteReference"/>
          <w:rFonts w:cs="Open Sans"/>
        </w:rPr>
        <w:endnoteReference w:id="50"/>
      </w:r>
    </w:p>
    <w:p w:rsidRPr="00B11651" w:rsidR="0117CC5D" w:rsidP="00B11651" w:rsidRDefault="4CCBB3EB" w14:paraId="1BCEA161" w14:textId="7FFA02F5">
      <w:pPr>
        <w:pStyle w:val="SubmissionNormal"/>
        <w:numPr>
          <w:ilvl w:val="0"/>
          <w:numId w:val="0"/>
        </w:numPr>
        <w:rPr>
          <w:rFonts w:cs="Open Sans"/>
          <w:lang w:val="en-US"/>
        </w:rPr>
      </w:pPr>
      <w:r w:rsidRPr="0117CC5D">
        <w:rPr>
          <w:rFonts w:cs="Open Sans"/>
        </w:rPr>
        <w:t xml:space="preserve">Further, in a joint statement in May 2015, a number of </w:t>
      </w:r>
      <w:r w:rsidRPr="0117CC5D">
        <w:rPr>
          <w:rFonts w:cs="Open Sans"/>
          <w:lang w:val="en-US"/>
        </w:rPr>
        <w:t>UN and international human rights experts noted that medically unnecessary medical interventions involving intersex children and young people may constitute torture or ill-treatment.</w:t>
      </w:r>
      <w:r w:rsidRPr="0117CC5D">
        <w:rPr>
          <w:rStyle w:val="EndnoteReference"/>
          <w:rFonts w:cs="Open Sans"/>
          <w:lang w:val="en-US"/>
        </w:rPr>
        <w:endnoteReference w:id="51"/>
      </w:r>
    </w:p>
    <w:p w:rsidRPr="002E4CF1" w:rsidR="00C10F24" w:rsidP="00C10F24" w:rsidRDefault="00C10F24" w14:paraId="5002F00E" w14:textId="0872842F">
      <w:pPr>
        <w:pStyle w:val="SubmissionNormal"/>
        <w:numPr>
          <w:ilvl w:val="0"/>
          <w:numId w:val="0"/>
        </w:numPr>
      </w:pPr>
      <w:r>
        <w:rPr>
          <w:rFonts w:cs="Open Sans"/>
        </w:rPr>
        <w:t>I</w:t>
      </w:r>
      <w:r w:rsidRPr="676F1596">
        <w:t xml:space="preserve">n its 2016 review of </w:t>
      </w:r>
      <w:r>
        <w:t>Austr</w:t>
      </w:r>
      <w:r w:rsidR="5BD2148C">
        <w:t>al</w:t>
      </w:r>
      <w:r>
        <w:t>ia</w:t>
      </w:r>
      <w:r w:rsidRPr="676F1596">
        <w:t>, the Committee Against Torture called on th</w:t>
      </w:r>
      <w:r>
        <w:t>at</w:t>
      </w:r>
      <w:r w:rsidRPr="676F1596">
        <w:t xml:space="preserve"> government to </w:t>
      </w:r>
    </w:p>
    <w:p w:rsidRPr="002E4CF1" w:rsidR="00C10F24" w:rsidP="00B27996" w:rsidRDefault="00C10F24" w14:paraId="1BC02EB1" w14:textId="77777777">
      <w:pPr>
        <w:pStyle w:val="SubmissionNormal"/>
        <w:numPr>
          <w:ilvl w:val="0"/>
          <w:numId w:val="29"/>
        </w:numPr>
        <w:ind w:left="993"/>
      </w:pPr>
      <w:r>
        <w:t>t</w:t>
      </w:r>
      <w:r w:rsidRPr="676F1596">
        <w:t xml:space="preserve">ake the legislative, administrative and other measures necessary to guarantee the respect for the physical integrity and autonomy of </w:t>
      </w:r>
      <w:r w:rsidRPr="676F1596">
        <w:lastRenderedPageBreak/>
        <w:t>intersex persons and to ensure that no one is subjected during infancy or childhood to non-urgent medical or surgical procedures intended to decide the sex of the child</w:t>
      </w:r>
    </w:p>
    <w:p w:rsidRPr="002E4CF1" w:rsidR="00C10F24" w:rsidP="00B27996" w:rsidRDefault="00C10F24" w14:paraId="36CBFB77" w14:textId="77777777">
      <w:pPr>
        <w:pStyle w:val="SubmissionNormal"/>
        <w:numPr>
          <w:ilvl w:val="0"/>
          <w:numId w:val="84"/>
        </w:numPr>
        <w:ind w:hanging="391"/>
      </w:pPr>
      <w:r>
        <w:t>g</w:t>
      </w:r>
      <w:r w:rsidRPr="676F1596">
        <w:t>uarantee impartial counselling services for all intersex children and their parents, so as to inform them of the consequences of unnecessary and non-urgent surgery and other medical treatment to decide on the sex of the child and the possibility of postponing any decision on such treatment or surgery until the persons concerned can decide by themselves</w:t>
      </w:r>
    </w:p>
    <w:p w:rsidRPr="002E4CF1" w:rsidR="00C10F24" w:rsidP="00B27996" w:rsidRDefault="00C10F24" w14:paraId="4A7AE2CA" w14:textId="77777777">
      <w:pPr>
        <w:pStyle w:val="SubmissionNormal"/>
        <w:numPr>
          <w:ilvl w:val="0"/>
          <w:numId w:val="84"/>
        </w:numPr>
        <w:ind w:hanging="391"/>
      </w:pPr>
      <w:r>
        <w:t>g</w:t>
      </w:r>
      <w:r w:rsidRPr="676F1596">
        <w:t>uarantee that full, free and informed consent is ensured in connection with medical and surgical treatments for intersex persons and that non-urgent, irreversible medical interventions are postponed until a child is sufficiently mature to participate in decision-making and give effective consent</w:t>
      </w:r>
    </w:p>
    <w:p w:rsidRPr="002E4CF1" w:rsidR="00C10F24" w:rsidP="00B27996" w:rsidRDefault="00C10F24" w14:paraId="675B4210" w14:textId="77777777">
      <w:pPr>
        <w:pStyle w:val="SubmissionNormal"/>
        <w:numPr>
          <w:ilvl w:val="0"/>
          <w:numId w:val="84"/>
        </w:numPr>
        <w:ind w:hanging="391"/>
        <w:rPr>
          <w:rFonts w:cs="Open Sans"/>
        </w:rPr>
      </w:pPr>
      <w:r>
        <w:t>u</w:t>
      </w:r>
      <w:r w:rsidRPr="676F1596">
        <w:t>ndertake investigation of instances of surgical interventions or other medical procedures performed on intersex persons without effective consent and ensure that the persons concerned are adequately compensated.</w:t>
      </w:r>
      <w:r w:rsidRPr="0117CC5D">
        <w:rPr>
          <w:rStyle w:val="EndnoteReference"/>
        </w:rPr>
        <w:endnoteReference w:id="52"/>
      </w:r>
    </w:p>
    <w:p w:rsidRPr="00B11651" w:rsidR="00C10F24" w:rsidP="00C10F24" w:rsidRDefault="00C10F24" w14:paraId="3302421F" w14:textId="2C45ADD5">
      <w:pPr>
        <w:pStyle w:val="SubmissionNormal"/>
        <w:numPr>
          <w:ilvl w:val="0"/>
          <w:numId w:val="0"/>
        </w:numPr>
        <w:rPr>
          <w:rFonts w:cs="Open Sans"/>
          <w:lang w:val="en-US"/>
        </w:rPr>
      </w:pPr>
      <w:r w:rsidRPr="002E4CF1">
        <w:rPr>
          <w:rFonts w:cs="Open Sans"/>
        </w:rPr>
        <w:t>In January</w:t>
      </w:r>
      <w:r w:rsidRPr="002E4CF1">
        <w:rPr>
          <w:rFonts w:cs="Open Sans"/>
          <w:lang w:val="en-US"/>
        </w:rPr>
        <w:t xml:space="preserve"> 2017, the Committee asked Australia to provide it with information about</w:t>
      </w:r>
    </w:p>
    <w:p w:rsidRPr="00B11651" w:rsidR="00C10F24" w:rsidP="002F7D27" w:rsidRDefault="00C10F24" w14:paraId="78AF5EB9" w14:textId="77777777">
      <w:pPr>
        <w:numPr>
          <w:ilvl w:val="0"/>
          <w:numId w:val="28"/>
        </w:numPr>
        <w:spacing w:before="0" w:after="0"/>
        <w:ind w:left="1074" w:hanging="357"/>
        <w:rPr>
          <w:rFonts w:eastAsia="Times New Roman" w:cs="Open Sans"/>
        </w:rPr>
      </w:pPr>
      <w:r w:rsidRPr="00B11651">
        <w:rPr>
          <w:rFonts w:eastAsia="Times New Roman" w:cs="Open Sans"/>
        </w:rPr>
        <w:t>whether non-urgent and irreversible medical or surgical treatment aimed at determining the sex of a child is permitted and performed on children;</w:t>
      </w:r>
    </w:p>
    <w:p w:rsidRPr="00B11651" w:rsidR="00C10F24" w:rsidP="002F7D27" w:rsidRDefault="00C10F24" w14:paraId="7AD1D9A3" w14:textId="77777777">
      <w:pPr>
        <w:numPr>
          <w:ilvl w:val="0"/>
          <w:numId w:val="28"/>
        </w:numPr>
        <w:spacing w:before="0" w:after="0"/>
        <w:ind w:left="1074" w:hanging="357"/>
        <w:rPr>
          <w:rFonts w:eastAsia="Times New Roman" w:cs="Open Sans"/>
        </w:rPr>
      </w:pPr>
      <w:r w:rsidRPr="00B11651">
        <w:rPr>
          <w:rFonts w:eastAsia="Times New Roman" w:cs="Open Sans"/>
        </w:rPr>
        <w:t>how [Australia] guarantees that the full, free and informed consent of the persons concerned is ensured;</w:t>
      </w:r>
    </w:p>
    <w:p w:rsidRPr="00B11651" w:rsidR="00C10F24" w:rsidP="002F7D27" w:rsidRDefault="00C10F24" w14:paraId="5F973AEC" w14:textId="77777777">
      <w:pPr>
        <w:numPr>
          <w:ilvl w:val="0"/>
          <w:numId w:val="28"/>
        </w:numPr>
        <w:spacing w:before="0" w:after="0"/>
        <w:ind w:left="1074" w:hanging="357"/>
        <w:rPr>
          <w:rFonts w:eastAsia="Times New Roman" w:cs="Open Sans"/>
        </w:rPr>
      </w:pPr>
      <w:r w:rsidRPr="00B11651">
        <w:rPr>
          <w:rFonts w:eastAsia="Times New Roman" w:cs="Open Sans"/>
        </w:rPr>
        <w:t>what action has been taken to implement the recommendations of the 2013 Senate Committee Inquiry; and</w:t>
      </w:r>
    </w:p>
    <w:p w:rsidRPr="00B11651" w:rsidR="00C10F24" w:rsidP="002F7D27" w:rsidRDefault="00C10F24" w14:paraId="47BC618D" w14:textId="77777777">
      <w:pPr>
        <w:numPr>
          <w:ilvl w:val="0"/>
          <w:numId w:val="28"/>
        </w:numPr>
        <w:spacing w:before="0" w:after="0"/>
        <w:ind w:left="1074" w:hanging="357"/>
        <w:rPr>
          <w:rFonts w:eastAsia="Times New Roman" w:cs="Open Sans"/>
        </w:rPr>
      </w:pPr>
      <w:r w:rsidRPr="00B11651">
        <w:rPr>
          <w:rFonts w:eastAsia="Times New Roman" w:cs="Open Sans"/>
        </w:rPr>
        <w:t>what criminal or civil remedies are available for people who underwent involuntary sterilisation or unnecessary and irreversible medical or surgical treatment aimed at determining their sex when they were children.</w:t>
      </w:r>
      <w:r w:rsidRPr="00B11651">
        <w:rPr>
          <w:rFonts w:cs="Open Sans"/>
          <w:vertAlign w:val="superscript"/>
        </w:rPr>
        <w:endnoteReference w:id="53"/>
      </w:r>
    </w:p>
    <w:p w:rsidRPr="00DB2D0C" w:rsidR="00C10F24" w:rsidP="00C10F24" w:rsidRDefault="00C10F24" w14:paraId="7DE2C45A" w14:textId="77777777">
      <w:pPr>
        <w:pStyle w:val="AHRCHeading3"/>
      </w:pPr>
      <w:bookmarkStart w:name="_Ref502990934" w:id="60"/>
      <w:bookmarkStart w:name="_Toc507585887" w:id="61"/>
      <w:bookmarkStart w:name="_Toc79703620" w:id="62"/>
      <w:bookmarkStart w:name="_Toc85541393" w:id="63"/>
      <w:r>
        <w:lastRenderedPageBreak/>
        <w:t>The right to health</w:t>
      </w:r>
      <w:bookmarkEnd w:id="60"/>
      <w:bookmarkEnd w:id="61"/>
      <w:bookmarkEnd w:id="62"/>
      <w:bookmarkEnd w:id="63"/>
    </w:p>
    <w:p w:rsidRPr="002E4CF1" w:rsidR="00C10F24" w:rsidP="00C10F24" w:rsidRDefault="00C10F24" w14:paraId="7F93BAC9" w14:textId="77777777">
      <w:pPr>
        <w:pStyle w:val="SubmissionNormal"/>
        <w:numPr>
          <w:ilvl w:val="0"/>
          <w:numId w:val="0"/>
        </w:numPr>
        <w:rPr>
          <w:rFonts w:cs="Open Sans"/>
        </w:rPr>
      </w:pPr>
      <w:r w:rsidRPr="002E4CF1">
        <w:rPr>
          <w:rFonts w:cs="Open Sans"/>
        </w:rPr>
        <w:t>Article</w:t>
      </w:r>
      <w:r w:rsidRPr="002E4CF1">
        <w:rPr>
          <w:rFonts w:cs="Open Sans"/>
          <w:lang w:val="en-US"/>
        </w:rPr>
        <w:t xml:space="preserve"> 12 of the </w:t>
      </w:r>
      <w:r w:rsidRPr="7FC85F3A">
        <w:rPr>
          <w:rFonts w:cs="Open Sans"/>
          <w:i/>
          <w:iCs/>
          <w:lang w:val="en-US"/>
        </w:rPr>
        <w:t>International Covenant on Economic, Social and Cultural Rights</w:t>
      </w:r>
      <w:r w:rsidRPr="002E4CF1">
        <w:rPr>
          <w:rFonts w:cs="Open Sans"/>
          <w:lang w:val="en-US"/>
        </w:rPr>
        <w:t xml:space="preserve"> </w:t>
      </w:r>
      <w:r w:rsidRPr="002E4CF1">
        <w:rPr>
          <w:rFonts w:cs="Open Sans"/>
        </w:rPr>
        <w:t>requires States Parties to recognise the right of everyone to the highest attainable standard of physical and mental health.</w:t>
      </w:r>
      <w:r w:rsidRPr="00DB0D20">
        <w:rPr>
          <w:rFonts w:cs="Open Sans"/>
          <w:sz w:val="20"/>
          <w:szCs w:val="20"/>
          <w:vertAlign w:val="superscript"/>
        </w:rPr>
        <w:endnoteReference w:id="54"/>
      </w:r>
      <w:r w:rsidRPr="00DB0D20">
        <w:rPr>
          <w:rFonts w:cs="Open Sans"/>
          <w:sz w:val="20"/>
          <w:szCs w:val="20"/>
        </w:rPr>
        <w:t xml:space="preserve"> </w:t>
      </w:r>
      <w:r w:rsidRPr="002E4CF1">
        <w:rPr>
          <w:rFonts w:cs="Open Sans"/>
        </w:rPr>
        <w:t>Article 24 of the CRC similarly requires States Parties to recognise the right of children to the enjoyment of the highest attainable standard of physical and mental health.</w:t>
      </w:r>
      <w:r w:rsidRPr="00DB0D20">
        <w:rPr>
          <w:rStyle w:val="EndnoteReference"/>
          <w:rFonts w:cs="Open Sans"/>
          <w:szCs w:val="20"/>
        </w:rPr>
        <w:endnoteReference w:id="55"/>
      </w:r>
    </w:p>
    <w:p w:rsidRPr="00004A53" w:rsidR="00C10F24" w:rsidP="00C10F24" w:rsidRDefault="00C10F24" w14:paraId="6171A83B" w14:textId="77777777">
      <w:pPr>
        <w:pStyle w:val="SubmissionNormal"/>
        <w:numPr>
          <w:ilvl w:val="0"/>
          <w:numId w:val="0"/>
        </w:numPr>
        <w:rPr>
          <w:rFonts w:cs="Open Sans"/>
        </w:rPr>
      </w:pPr>
      <w:r w:rsidRPr="002E4CF1">
        <w:rPr>
          <w:rFonts w:cs="Open Sans"/>
        </w:rPr>
        <w:t xml:space="preserve">In addition, </w:t>
      </w:r>
      <w:r>
        <w:rPr>
          <w:rFonts w:cs="Open Sans"/>
        </w:rPr>
        <w:t>a</w:t>
      </w:r>
      <w:r w:rsidRPr="002E4CF1">
        <w:rPr>
          <w:rFonts w:cs="Open Sans"/>
        </w:rPr>
        <w:t>rticle 25 of the CRPD requires health professionals to provide care of the same quality to persons with disabilities as to others, including on the basis of free and informed consent.</w:t>
      </w:r>
      <w:r w:rsidRPr="00DB0D20">
        <w:rPr>
          <w:rFonts w:cs="Open Sans"/>
          <w:sz w:val="20"/>
          <w:szCs w:val="20"/>
          <w:vertAlign w:val="superscript"/>
        </w:rPr>
        <w:endnoteReference w:id="56"/>
      </w:r>
      <w:r>
        <w:rPr>
          <w:rFonts w:cs="Open Sans"/>
        </w:rPr>
        <w:t xml:space="preserve"> </w:t>
      </w:r>
      <w:r w:rsidRPr="676F1596">
        <w:rPr>
          <w:lang w:val="en-US"/>
        </w:rPr>
        <w:t>Medical interventions on people born with variations in sex characteristics may affect the realisation of the right to physical and mental health in a number of ways, including</w:t>
      </w:r>
      <w:r>
        <w:rPr>
          <w:lang w:val="en-US"/>
        </w:rPr>
        <w:t xml:space="preserve"> by</w:t>
      </w:r>
      <w:r w:rsidRPr="676F1596">
        <w:rPr>
          <w:lang w:val="en-US"/>
        </w:rPr>
        <w:t>: saving life and or enhancing health; impairing physical function now</w:t>
      </w:r>
      <w:r>
        <w:rPr>
          <w:lang w:val="en-US"/>
        </w:rPr>
        <w:t xml:space="preserve"> or </w:t>
      </w:r>
      <w:r w:rsidRPr="676F1596">
        <w:rPr>
          <w:lang w:val="en-US"/>
        </w:rPr>
        <w:t xml:space="preserve">in </w:t>
      </w:r>
      <w:r>
        <w:rPr>
          <w:lang w:val="en-US"/>
        </w:rPr>
        <w:t xml:space="preserve">the </w:t>
      </w:r>
      <w:r w:rsidRPr="676F1596">
        <w:rPr>
          <w:lang w:val="en-US"/>
        </w:rPr>
        <w:t xml:space="preserve">future; causing pain due to invasive surgeries, sometimes requiring lifelong surgeries; </w:t>
      </w:r>
      <w:r>
        <w:rPr>
          <w:lang w:val="en-US"/>
        </w:rPr>
        <w:t>causing</w:t>
      </w:r>
      <w:r w:rsidRPr="676F1596">
        <w:rPr>
          <w:lang w:val="en-US"/>
        </w:rPr>
        <w:t xml:space="preserve"> loss of fertility; or causing serious negative psychological consequences.</w:t>
      </w:r>
    </w:p>
    <w:p w:rsidRPr="002E4CF1" w:rsidR="00C10F24" w:rsidP="00C10F24" w:rsidRDefault="00C10F24" w14:paraId="604FB8F9" w14:textId="77777777">
      <w:pPr>
        <w:pStyle w:val="SubmissionNormal"/>
        <w:numPr>
          <w:ilvl w:val="0"/>
          <w:numId w:val="0"/>
        </w:numPr>
        <w:rPr>
          <w:rFonts w:cs="Open Sans"/>
          <w:lang w:val="en-US"/>
        </w:rPr>
      </w:pPr>
      <w:r w:rsidRPr="002E4CF1">
        <w:rPr>
          <w:rFonts w:cs="Open Sans"/>
        </w:rPr>
        <w:t>Article</w:t>
      </w:r>
      <w:r w:rsidRPr="002E4CF1">
        <w:rPr>
          <w:rFonts w:cs="Open Sans"/>
          <w:lang w:val="en-US"/>
        </w:rPr>
        <w:t xml:space="preserve"> 6 of the </w:t>
      </w:r>
      <w:r w:rsidRPr="0051122F">
        <w:rPr>
          <w:rFonts w:cs="Open Sans"/>
          <w:i/>
          <w:iCs/>
          <w:lang w:val="en-US"/>
        </w:rPr>
        <w:t>Universal Declaration on Bioethics and Human Rights</w:t>
      </w:r>
      <w:r w:rsidRPr="002E4CF1">
        <w:rPr>
          <w:rFonts w:cs="Open Sans"/>
          <w:lang w:val="en-US"/>
        </w:rPr>
        <w:t xml:space="preserve"> states:</w:t>
      </w:r>
    </w:p>
    <w:p w:rsidRPr="00D036C5" w:rsidR="00C10F24" w:rsidP="00C10F24" w:rsidRDefault="00C10F24" w14:paraId="6D78049E" w14:textId="77777777">
      <w:pPr>
        <w:ind w:left="709"/>
        <w:rPr>
          <w:rFonts w:eastAsia="Times New Roman" w:cs="Open Sans"/>
          <w:sz w:val="22"/>
          <w:szCs w:val="22"/>
        </w:rPr>
      </w:pPr>
      <w:r w:rsidRPr="00D036C5">
        <w:rPr>
          <w:rFonts w:eastAsia="Times New Roman" w:cs="Open Sans"/>
          <w:sz w:val="22"/>
          <w:szCs w:val="22"/>
        </w:rPr>
        <w:t>Any preventive, diagnostic and therapeutic medical intervention is only to be carried out with the prior, free and informed consent of the person concerned, based on adequate information. The consent should, where appropriate, be express and may be withdrawn by the person concerned at any time and for any reason without disadvantage or prejudice.</w:t>
      </w:r>
      <w:r w:rsidRPr="00D036C5">
        <w:rPr>
          <w:rStyle w:val="EndnoteReference"/>
          <w:rFonts w:eastAsia="Times New Roman" w:cs="Open Sans"/>
          <w:sz w:val="22"/>
          <w:szCs w:val="22"/>
        </w:rPr>
        <w:endnoteReference w:id="57"/>
      </w:r>
      <w:r w:rsidRPr="00D036C5">
        <w:rPr>
          <w:rFonts w:eastAsia="Times New Roman" w:cs="Open Sans"/>
          <w:sz w:val="22"/>
          <w:szCs w:val="22"/>
        </w:rPr>
        <w:t> </w:t>
      </w:r>
    </w:p>
    <w:p w:rsidR="00C10F24" w:rsidP="00C10F24" w:rsidRDefault="00C10F24" w14:paraId="30560B46" w14:textId="082A850C">
      <w:pPr>
        <w:rPr>
          <w:rFonts w:eastAsia="Times New Roman" w:cs="Open Sans"/>
        </w:rPr>
      </w:pPr>
      <w:r w:rsidRPr="676F1596">
        <w:rPr>
          <w:rFonts w:cs="Open Sans"/>
        </w:rPr>
        <w:t xml:space="preserve">The UN Special Rapporteur </w:t>
      </w:r>
      <w:r>
        <w:t xml:space="preserve">on the right of everyone to the enjoyment of the highest attainable standard of physical and mental health </w:t>
      </w:r>
      <w:r w:rsidRPr="676F1596">
        <w:rPr>
          <w:rFonts w:cs="Open Sans"/>
        </w:rPr>
        <w:t xml:space="preserve">has observed that informed consent </w:t>
      </w:r>
      <w:r w:rsidRPr="676F1596">
        <w:rPr>
          <w:rFonts w:cs="Open Sans"/>
          <w:i/>
          <w:iCs/>
        </w:rPr>
        <w:t>‘</w:t>
      </w:r>
      <w:r w:rsidRPr="676F1596">
        <w:rPr>
          <w:rFonts w:eastAsia="Times New Roman" w:cs="Open Sans"/>
        </w:rPr>
        <w:t>requires disclosure of the associated benefits, risks and alternatives to a medical procedure’.</w:t>
      </w:r>
      <w:r w:rsidRPr="0031590D">
        <w:rPr>
          <w:rStyle w:val="EndnoteReference"/>
          <w:rFonts w:eastAsia="Times New Roman" w:cs="Open Sans"/>
          <w:szCs w:val="20"/>
        </w:rPr>
        <w:endnoteReference w:id="58"/>
      </w:r>
      <w:r w:rsidRPr="676F1596">
        <w:rPr>
          <w:rFonts w:eastAsia="Times New Roman" w:cs="Open Sans"/>
          <w:i/>
          <w:iCs/>
        </w:rPr>
        <w:t xml:space="preserve"> </w:t>
      </w:r>
      <w:r w:rsidRPr="676F1596">
        <w:rPr>
          <w:rFonts w:eastAsia="Times New Roman" w:cs="Open Sans"/>
        </w:rPr>
        <w:t>Due to inherent inequalities between healthcare providers and individuals, there is a need for</w:t>
      </w:r>
    </w:p>
    <w:p w:rsidR="00C10F24" w:rsidP="00C10F24" w:rsidRDefault="00C10F24" w14:paraId="6FFB493B" w14:textId="77777777">
      <w:pPr>
        <w:spacing w:before="0" w:after="0"/>
        <w:ind w:left="720"/>
      </w:pPr>
      <w:r w:rsidRPr="676F1596">
        <w:rPr>
          <w:rFonts w:cs="Open Sans"/>
          <w:sz w:val="22"/>
          <w:szCs w:val="22"/>
        </w:rPr>
        <w:t xml:space="preserve">counselling services and community involvement supporting adequate comprehension and decision-making. Health information needs to be of the highest quality, freely available on a non-discriminatory basis, accessible to the individual’s particular communication needs (including special physical or cultural circumstances), and presented in a manner culturally and otherwise acceptable to the person consenting. Communication should be cognizant of varying levels </w:t>
      </w:r>
      <w:r w:rsidRPr="676F1596">
        <w:rPr>
          <w:rFonts w:cs="Open Sans"/>
          <w:sz w:val="22"/>
          <w:szCs w:val="22"/>
        </w:rPr>
        <w:lastRenderedPageBreak/>
        <w:t>of comprehension and not be too technical, complex, hasty, or in a language, manner or context that the patient does not understand.</w:t>
      </w:r>
      <w:r w:rsidRPr="0031590D">
        <w:rPr>
          <w:rStyle w:val="EndnoteReference"/>
          <w:rFonts w:cs="Open Sans"/>
          <w:szCs w:val="20"/>
        </w:rPr>
        <w:endnoteReference w:id="59"/>
      </w:r>
    </w:p>
    <w:p w:rsidR="00C10F24" w:rsidP="00C10F24" w:rsidRDefault="00C10F24" w14:paraId="16353D3E" w14:textId="77777777">
      <w:pPr>
        <w:pStyle w:val="AHRCHeading3"/>
      </w:pPr>
      <w:bookmarkStart w:name="_Toc79703621" w:id="64"/>
      <w:bookmarkStart w:name="_Toc85541394" w:id="65"/>
      <w:r w:rsidRPr="007A60A5">
        <w:t>The Yogyakarta Principles</w:t>
      </w:r>
      <w:bookmarkEnd w:id="64"/>
      <w:bookmarkEnd w:id="65"/>
      <w:r w:rsidRPr="007A60A5">
        <w:t xml:space="preserve"> </w:t>
      </w:r>
    </w:p>
    <w:p w:rsidR="00C10F24" w:rsidP="00C10F24" w:rsidRDefault="00C10F24" w14:paraId="137B4114" w14:textId="734B4E54">
      <w:pPr>
        <w:pStyle w:val="SubmissionNormal"/>
        <w:numPr>
          <w:ilvl w:val="0"/>
          <w:numId w:val="0"/>
        </w:numPr>
        <w:rPr>
          <w:rFonts w:cs="Open Sans"/>
          <w:lang w:val="en-US"/>
        </w:rPr>
      </w:pPr>
      <w:r w:rsidRPr="676F1596">
        <w:rPr>
          <w:rFonts w:cs="Open Sans"/>
        </w:rPr>
        <w:t xml:space="preserve">The </w:t>
      </w:r>
      <w:r w:rsidRPr="676F1596">
        <w:rPr>
          <w:rFonts w:cs="Open Sans"/>
          <w:i/>
          <w:iCs/>
        </w:rPr>
        <w:t>Yogyakarta Principles</w:t>
      </w:r>
      <w:r w:rsidRPr="676F1596">
        <w:rPr>
          <w:rFonts w:cs="Open Sans"/>
        </w:rPr>
        <w:t>, adopted in 2007, provide the most comprehensive statement of how international human rights law applies in respect of sexual orientation, gender identity, gender expression and sex characteristics.</w:t>
      </w:r>
      <w:r w:rsidRPr="0117CC5D">
        <w:rPr>
          <w:rStyle w:val="EndnoteReference"/>
          <w:rFonts w:cs="Open Sans"/>
        </w:rPr>
        <w:endnoteReference w:id="60"/>
      </w:r>
      <w:r w:rsidRPr="676F1596">
        <w:rPr>
          <w:rFonts w:cs="Open Sans"/>
        </w:rPr>
        <w:t xml:space="preserve"> This includes consideration of the human rights of people born with variations in sex characteristics, in particular the right to bodily and mental integrity.</w:t>
      </w:r>
      <w:r w:rsidRPr="0117CC5D">
        <w:rPr>
          <w:rStyle w:val="EndnoteReference"/>
          <w:rFonts w:cs="Open Sans"/>
        </w:rPr>
        <w:endnoteReference w:id="61"/>
      </w:r>
    </w:p>
    <w:p w:rsidR="000F1616" w:rsidP="00C10F24" w:rsidRDefault="000F1616" w14:paraId="4CB89CFE" w14:textId="171515E8">
      <w:pPr>
        <w:pStyle w:val="SubmissionNormal"/>
        <w:numPr>
          <w:ilvl w:val="0"/>
          <w:numId w:val="0"/>
        </w:numPr>
      </w:pPr>
      <w:r w:rsidRPr="000F1616">
        <w:t>Australia introduced legislative protections for SOGII groups in 2013 with the passage of the Sex Discrimination Amendment (Sexual Orientation, Gender Identity and Intersex Status) Act 2013 (Cth). This Act amended the Sex Discrimination Act to include new protected attributes of sexual orientation, gender identity and ‘intersex status’. With the passage of this amendment, it became unlawful to discriminate against a person on the basis of sexual orientation, gender identity and intersex status under federal law.</w:t>
      </w:r>
      <w:r w:rsidR="001670D6">
        <w:rPr>
          <w:rStyle w:val="EndnoteReference"/>
        </w:rPr>
        <w:endnoteReference w:id="62"/>
      </w:r>
    </w:p>
    <w:p w:rsidRPr="00EE4765" w:rsidR="00C10F24" w:rsidP="00C10F24" w:rsidRDefault="00C10F24" w14:paraId="7A7C4FAA" w14:textId="4DE2D4D7">
      <w:pPr>
        <w:pStyle w:val="SubmissionNormal"/>
        <w:numPr>
          <w:ilvl w:val="0"/>
          <w:numId w:val="0"/>
        </w:numPr>
      </w:pPr>
      <w:r>
        <w:t xml:space="preserve">While the original </w:t>
      </w:r>
      <w:r w:rsidRPr="7FC85F3A">
        <w:rPr>
          <w:i/>
          <w:iCs/>
        </w:rPr>
        <w:t>Yogyakarta Principles</w:t>
      </w:r>
      <w:r>
        <w:t xml:space="preserve"> do not explicitly refer to people born with variations in sex characteristics, Principle 18 does state that States Parties shall, among other things</w:t>
      </w:r>
    </w:p>
    <w:p w:rsidRPr="00251664" w:rsidR="00C10F24" w:rsidP="002F7D27" w:rsidRDefault="00C10F24" w14:paraId="0E091DD4" w14:textId="77777777">
      <w:pPr>
        <w:pStyle w:val="SubmissionNormal"/>
        <w:numPr>
          <w:ilvl w:val="0"/>
          <w:numId w:val="32"/>
        </w:numPr>
        <w:ind w:left="709"/>
        <w:rPr>
          <w:sz w:val="22"/>
          <w:szCs w:val="22"/>
        </w:rPr>
      </w:pPr>
      <w:r w:rsidRPr="00251664">
        <w:rPr>
          <w:sz w:val="22"/>
          <w:szCs w:val="22"/>
        </w:rPr>
        <w:t>Take all necessary legislative, administrative and other measures to ensure full protection against harmful medical practices based on sexual orientation or gender identity, including on the basis of stereotypes, whether derived from culture or otherwise, regarding conduct, physical appearance or perceived gender norms</w:t>
      </w:r>
      <w:r>
        <w:rPr>
          <w:sz w:val="22"/>
          <w:szCs w:val="22"/>
        </w:rPr>
        <w:t xml:space="preserve"> (Principle 18(a))</w:t>
      </w:r>
      <w:r w:rsidRPr="00251664">
        <w:rPr>
          <w:sz w:val="22"/>
          <w:szCs w:val="22"/>
        </w:rPr>
        <w:t>;</w:t>
      </w:r>
    </w:p>
    <w:p w:rsidR="00C10F24" w:rsidP="002F7D27" w:rsidRDefault="00C10F24" w14:paraId="0ECA053E" w14:textId="77777777">
      <w:pPr>
        <w:pStyle w:val="SubmissionNormal"/>
        <w:numPr>
          <w:ilvl w:val="0"/>
          <w:numId w:val="32"/>
        </w:numPr>
        <w:ind w:left="709"/>
        <w:rPr>
          <w:rFonts w:cs="Open Sans"/>
          <w:lang w:val="en-US"/>
        </w:rPr>
      </w:pPr>
      <w:r w:rsidRPr="00251664">
        <w:rPr>
          <w:sz w:val="22"/>
          <w:szCs w:val="22"/>
        </w:rPr>
        <w:t>Take all necessary legislative, administrative and other measures to ensure that no child’s body is irreversibly altered by medical procedures in an attempt to impose a gender identity without the full, free and informed consent of the child in accordance with the age and maturity of the child and guided by the principle that, in all actions concerning children, the best interests of the child shall be a primary consideration</w:t>
      </w:r>
      <w:r>
        <w:rPr>
          <w:sz w:val="22"/>
          <w:szCs w:val="22"/>
        </w:rPr>
        <w:t xml:space="preserve"> (Principle 18(b))</w:t>
      </w:r>
      <w:r w:rsidRPr="00251664">
        <w:rPr>
          <w:sz w:val="22"/>
          <w:szCs w:val="22"/>
        </w:rPr>
        <w:t>.</w:t>
      </w:r>
    </w:p>
    <w:p w:rsidR="00C10F24" w:rsidP="00C10F24" w:rsidRDefault="00C10F24" w14:paraId="7737C9FA" w14:textId="77777777">
      <w:pPr>
        <w:pStyle w:val="SubmissionNormal"/>
        <w:numPr>
          <w:ilvl w:val="0"/>
          <w:numId w:val="0"/>
        </w:numPr>
        <w:rPr>
          <w:rFonts w:cs="Open Sans"/>
          <w:lang w:val="en-US"/>
        </w:rPr>
      </w:pPr>
      <w:r w:rsidRPr="676F1596">
        <w:rPr>
          <w:rFonts w:cs="Open Sans"/>
          <w:lang w:val="en-US"/>
        </w:rPr>
        <w:t xml:space="preserve">In November 2017, the </w:t>
      </w:r>
      <w:r w:rsidRPr="0051122F">
        <w:rPr>
          <w:rFonts w:cs="Open Sans"/>
          <w:i/>
          <w:iCs/>
          <w:lang w:val="en-US"/>
        </w:rPr>
        <w:t>Yogyakarta Principles plus 10</w:t>
      </w:r>
      <w:r w:rsidRPr="676F1596">
        <w:rPr>
          <w:rFonts w:cs="Open Sans"/>
          <w:lang w:val="en-US"/>
        </w:rPr>
        <w:t xml:space="preserve"> were adopted. They provide further elaboration on the rights of people born with variations in sex characteristics.</w:t>
      </w:r>
      <w:r w:rsidRPr="00584D7A">
        <w:rPr>
          <w:rStyle w:val="EndnoteReference"/>
          <w:rFonts w:cs="Open Sans"/>
          <w:szCs w:val="20"/>
          <w:lang w:val="en-US"/>
        </w:rPr>
        <w:endnoteReference w:id="63"/>
      </w:r>
      <w:r w:rsidRPr="676F1596">
        <w:rPr>
          <w:rFonts w:cs="Open Sans"/>
          <w:lang w:val="en-US"/>
        </w:rPr>
        <w:t xml:space="preserve"> </w:t>
      </w:r>
      <w:r>
        <w:rPr>
          <w:rFonts w:cs="Open Sans"/>
          <w:lang w:val="en-US"/>
        </w:rPr>
        <w:t>Principle 32, ‘</w:t>
      </w:r>
      <w:r w:rsidRPr="00CC4B42">
        <w:rPr>
          <w:rFonts w:cs="Open Sans"/>
          <w:lang w:val="en-US"/>
        </w:rPr>
        <w:t>The Right to Bodily and Mental Integrity</w:t>
      </w:r>
      <w:r>
        <w:rPr>
          <w:rFonts w:cs="Open Sans"/>
          <w:lang w:val="en-US"/>
        </w:rPr>
        <w:t>’, states:</w:t>
      </w:r>
    </w:p>
    <w:p w:rsidRPr="003312CA" w:rsidR="00C10F24" w:rsidP="00C10F24" w:rsidRDefault="00C10F24" w14:paraId="324C6D56" w14:textId="77777777">
      <w:pPr>
        <w:pStyle w:val="SubmissionNormal"/>
        <w:numPr>
          <w:ilvl w:val="0"/>
          <w:numId w:val="0"/>
        </w:numPr>
        <w:ind w:left="720"/>
        <w:rPr>
          <w:rFonts w:cs="Open Sans"/>
          <w:sz w:val="22"/>
          <w:szCs w:val="22"/>
        </w:rPr>
      </w:pPr>
      <w:r w:rsidRPr="003312CA">
        <w:rPr>
          <w:rFonts w:cs="Open Sans"/>
          <w:sz w:val="22"/>
          <w:szCs w:val="22"/>
        </w:rPr>
        <w:lastRenderedPageBreak/>
        <w:t>Everyone has the right to bodily and mental integrity, autonomy and self-determination irrespective of sexual orientation, gender identity, gender expression or sex characteristics. Everyone has the right to be free from torture and cruel, inhuman and degrading treatment or punishment on the basis of sexual orientation, gender identity, gender expression and sex characteristics. No one shall be subjected to invasive or irreversible medical procedures that modify sex characteristics without their free, prior and informed consent, unless necessary to avoid serious, urgent and irreparable harm to the concerned person.</w:t>
      </w:r>
    </w:p>
    <w:p w:rsidR="00C10F24" w:rsidP="00C10F24" w:rsidRDefault="00C10F24" w14:paraId="390B5D46" w14:textId="2A12D161">
      <w:pPr>
        <w:pStyle w:val="SubmissionNormal"/>
        <w:numPr>
          <w:ilvl w:val="0"/>
          <w:numId w:val="0"/>
        </w:numPr>
        <w:rPr>
          <w:rFonts w:cs="Open Sans"/>
          <w:lang w:val="en-US"/>
        </w:rPr>
      </w:pPr>
      <w:r w:rsidRPr="7FC85F3A">
        <w:rPr>
          <w:rFonts w:cs="Open Sans"/>
          <w:lang w:val="en-US"/>
        </w:rPr>
        <w:t>Specifically, it calls on States Parties to</w:t>
      </w:r>
    </w:p>
    <w:p w:rsidRPr="00B3330B" w:rsidR="00C10F24" w:rsidP="002F7D27" w:rsidRDefault="00C10F24" w14:paraId="040628E4" w14:textId="77777777">
      <w:pPr>
        <w:pStyle w:val="SubmissionNormal"/>
        <w:numPr>
          <w:ilvl w:val="0"/>
          <w:numId w:val="31"/>
        </w:numPr>
        <w:ind w:left="709"/>
      </w:pPr>
      <w:r w:rsidRPr="00B3330B">
        <w:t>guarantee and protect the rights of everyone, including all children, to bodily and mental integrity, autonomy and self-determination (Principle 32(A))</w:t>
      </w:r>
    </w:p>
    <w:p w:rsidRPr="00B3330B" w:rsidR="00C10F24" w:rsidP="002F7D27" w:rsidRDefault="00C10F24" w14:paraId="7B5B59DD" w14:textId="77777777">
      <w:pPr>
        <w:pStyle w:val="SubmissionNormal"/>
        <w:numPr>
          <w:ilvl w:val="0"/>
          <w:numId w:val="31"/>
        </w:numPr>
        <w:ind w:left="709"/>
      </w:pPr>
      <w:r w:rsidRPr="00B3330B">
        <w:t>ensure that legislation protects everyone, including all children, from all forms of forced, coercive or otherwise involuntary modification of their sex characteristics (Principle 32(B))</w:t>
      </w:r>
    </w:p>
    <w:p w:rsidRPr="00B3330B" w:rsidR="00C10F24" w:rsidP="002F7D27" w:rsidRDefault="00C10F24" w14:paraId="7A936579" w14:textId="77777777">
      <w:pPr>
        <w:pStyle w:val="SubmissionNormal"/>
        <w:numPr>
          <w:ilvl w:val="0"/>
          <w:numId w:val="31"/>
        </w:numPr>
        <w:ind w:left="709"/>
      </w:pPr>
      <w:r w:rsidRPr="00B3330B">
        <w:t>take measures to address stigma, discrimination and stereotypes based on sex and gender, and combat the use of such stereotypes, as well as marriage prospects and other social, religious and cultural rationales, to justify modifications to sex characteristics, including of children (Principle 32(C))</w:t>
      </w:r>
    </w:p>
    <w:p w:rsidRPr="00B3330B" w:rsidR="00C10F24" w:rsidP="002F7D27" w:rsidRDefault="00C10F24" w14:paraId="03A8CC45" w14:textId="77777777">
      <w:pPr>
        <w:pStyle w:val="SubmissionNormal"/>
        <w:numPr>
          <w:ilvl w:val="0"/>
          <w:numId w:val="31"/>
        </w:numPr>
        <w:ind w:left="709"/>
      </w:pPr>
      <w:r w:rsidRPr="00B3330B">
        <w:t>bearing in mind the child’s right to life, non-discrimination, the best interests of the child, and respect for the child’s views, ensure that children are fully consulted and informed regarding any modifications to their sex characteristics necessary to avoid or remedy proven, serious physical harm, and ensure that any such modifications are consented to by the child concerned in a manner consistent with the child’s evolving capacity (Principle 32(D))</w:t>
      </w:r>
    </w:p>
    <w:p w:rsidRPr="00B3330B" w:rsidR="00C10F24" w:rsidP="002F7D27" w:rsidRDefault="00C10F24" w14:paraId="7DB12989" w14:textId="77777777">
      <w:pPr>
        <w:pStyle w:val="SubmissionNormal"/>
        <w:numPr>
          <w:ilvl w:val="0"/>
          <w:numId w:val="31"/>
        </w:numPr>
        <w:ind w:left="709"/>
      </w:pPr>
      <w:r w:rsidRPr="00B3330B">
        <w:t>ensure that the concept of the best interest of the child is not manipulated to justify practices that conflict with the child’s right to bodily integrity (Principle 32(E))</w:t>
      </w:r>
    </w:p>
    <w:p w:rsidRPr="00B3330B" w:rsidR="00C10F24" w:rsidP="002F7D27" w:rsidRDefault="00C10F24" w14:paraId="10936F00" w14:textId="77777777">
      <w:pPr>
        <w:pStyle w:val="SubmissionNormal"/>
        <w:numPr>
          <w:ilvl w:val="0"/>
          <w:numId w:val="31"/>
        </w:numPr>
        <w:ind w:left="709"/>
      </w:pPr>
      <w:r w:rsidRPr="00B3330B">
        <w:lastRenderedPageBreak/>
        <w:t>provide adequate, independent counselling and support to victims of violations, their families and communities, to enable victims to exercise and affirm rights to bodily and mental integrity, autonomy and self-determination (Principle 32(F)).</w:t>
      </w:r>
    </w:p>
    <w:p w:rsidR="006C3B64" w:rsidP="00CD7576" w:rsidRDefault="271A2CD0" w14:paraId="408323DD" w14:textId="1D25F7D2">
      <w:pPr>
        <w:pStyle w:val="AHRCHeading3"/>
      </w:pPr>
      <w:bookmarkStart w:name="_Toc85541395" w:id="66"/>
      <w:r>
        <w:t>Other laws</w:t>
      </w:r>
      <w:bookmarkEnd w:id="66"/>
    </w:p>
    <w:p w:rsidRPr="00CD7576" w:rsidR="001B2FDF" w:rsidP="00CD7576" w:rsidRDefault="642A9EDF" w14:paraId="0896FF4D" w14:textId="2115F350">
      <w:pPr>
        <w:pStyle w:val="SubmissionNormal"/>
        <w:numPr>
          <w:ilvl w:val="0"/>
          <w:numId w:val="0"/>
        </w:numPr>
        <w:rPr>
          <w:rFonts w:cs="Open Sans"/>
          <w:lang w:val="en-US"/>
        </w:rPr>
      </w:pPr>
      <w:r w:rsidRPr="00CD7576">
        <w:rPr>
          <w:rFonts w:cs="Open Sans"/>
          <w:lang w:val="en-US"/>
        </w:rPr>
        <w:t>The Commission acknowledges that there are a range of other laws that may be</w:t>
      </w:r>
      <w:r w:rsidRPr="00CD7576" w:rsidR="271A2CD0">
        <w:rPr>
          <w:rFonts w:cs="Open Sans"/>
          <w:lang w:val="en-US"/>
        </w:rPr>
        <w:t xml:space="preserve"> </w:t>
      </w:r>
      <w:r w:rsidRPr="00CD7576">
        <w:rPr>
          <w:rFonts w:cs="Open Sans"/>
          <w:lang w:val="en-US"/>
        </w:rPr>
        <w:t>relevant, including those that address sexual assault, privacy and discrimination, such as provisions relating to intersex people in the Sex Discrimination Act 1984.  These are not explored in further detail, as they are beyond the scope of the terms of reference of this report.</w:t>
      </w:r>
    </w:p>
    <w:p w:rsidRPr="00A135FB" w:rsidR="00C10F24" w:rsidP="00C10F24" w:rsidRDefault="00C10F24" w14:paraId="0315FACA" w14:textId="5A6C61F2">
      <w:pPr>
        <w:pStyle w:val="AHRCHeading2"/>
      </w:pPr>
      <w:bookmarkStart w:name="_Toc79703622" w:id="67"/>
      <w:bookmarkStart w:name="_Toc85541396" w:id="68"/>
      <w:r w:rsidRPr="00A135FB">
        <w:t>Applying a human rights framework</w:t>
      </w:r>
      <w:bookmarkEnd w:id="67"/>
      <w:bookmarkEnd w:id="68"/>
    </w:p>
    <w:p w:rsidR="4EFDB11F" w:rsidRDefault="4EFDB11F" w14:paraId="2BE03C79" w14:textId="5A6C61F2">
      <w:r>
        <w:t xml:space="preserve">Applying a human rights analysis to medical interventions in relation to people born with variations in sex characteristics has three principal benefits: </w:t>
      </w:r>
    </w:p>
    <w:p w:rsidR="4EFDB11F" w:rsidP="6A9E85D0" w:rsidRDefault="4EFDB11F" w14:paraId="2E001FE6" w14:textId="5A6C61F2">
      <w:pPr>
        <w:pStyle w:val="ListParagraph"/>
        <w:numPr>
          <w:ilvl w:val="0"/>
          <w:numId w:val="30"/>
        </w:numPr>
      </w:pPr>
      <w:r>
        <w:t>it promotes compliance with international and domestic law</w:t>
      </w:r>
    </w:p>
    <w:p w:rsidR="4EFDB11F" w:rsidP="6A9E85D0" w:rsidRDefault="4EFDB11F" w14:paraId="0F93EFDA" w14:textId="5A6C61F2">
      <w:pPr>
        <w:pStyle w:val="ListParagraph"/>
        <w:numPr>
          <w:ilvl w:val="0"/>
          <w:numId w:val="30"/>
        </w:numPr>
      </w:pPr>
      <w:r>
        <w:t>the human rights framework provides a near-universal set of norms by which to answer questions regarding medical interventions in relation to people born with variations in sex characteristics</w:t>
      </w:r>
    </w:p>
    <w:p w:rsidR="4EFDB11F" w:rsidP="6A9E85D0" w:rsidRDefault="4EFDB11F" w14:paraId="7E52600D" w14:textId="48AE5579">
      <w:pPr>
        <w:pStyle w:val="ListParagraph"/>
        <w:numPr>
          <w:ilvl w:val="0"/>
          <w:numId w:val="30"/>
        </w:numPr>
      </w:pPr>
      <w:r>
        <w:t>it provides a framework to consider the claimed benefits of performing these medical interventions without a person’s  personal consent, against any impingement on human rights.</w:t>
      </w:r>
    </w:p>
    <w:p w:rsidRPr="00336163" w:rsidR="00C10F24" w:rsidP="00C10F24" w:rsidRDefault="00C10F24" w14:paraId="7D42DC2A" w14:textId="53D414B2">
      <w:r w:rsidRPr="007430D1">
        <w:rPr>
          <w:b/>
          <w:bCs/>
        </w:rPr>
        <w:t>Recommendation 1</w:t>
      </w:r>
      <w:r>
        <w:rPr>
          <w:b/>
          <w:bCs/>
        </w:rPr>
        <w:t>:</w:t>
      </w:r>
      <w:r>
        <w:t xml:space="preserve"> </w:t>
      </w:r>
      <w:r>
        <w:rPr>
          <w:rFonts w:cs="Open Sans"/>
        </w:rPr>
        <w:t>R</w:t>
      </w:r>
      <w:r w:rsidRPr="00D94C89">
        <w:rPr>
          <w:rFonts w:cs="Open Sans"/>
        </w:rPr>
        <w:t xml:space="preserve">eform of laws and practices concerning medical interventions to </w:t>
      </w:r>
      <w:r w:rsidR="00CF6858">
        <w:rPr>
          <w:rFonts w:cs="Open Sans"/>
        </w:rPr>
        <w:t>modify</w:t>
      </w:r>
      <w:r w:rsidRPr="00D94C89">
        <w:rPr>
          <w:rFonts w:cs="Open Sans"/>
        </w:rPr>
        <w:t xml:space="preserve"> the sex characteristics of people born with variations in sex characteristics should be guided by a human rights framework</w:t>
      </w:r>
      <w:r w:rsidRPr="311F9320">
        <w:rPr>
          <w:rFonts w:cs="Open Sans"/>
        </w:rPr>
        <w:t xml:space="preserve"> </w:t>
      </w:r>
      <w:r w:rsidRPr="3F8026B4">
        <w:rPr>
          <w:rFonts w:cs="Open Sans"/>
        </w:rPr>
        <w:t xml:space="preserve">based on </w:t>
      </w:r>
      <w:r w:rsidRPr="00D94C89">
        <w:rPr>
          <w:rFonts w:cs="Open Sans"/>
        </w:rPr>
        <w:t>the following principles</w:t>
      </w:r>
      <w:r>
        <w:rPr>
          <w:rFonts w:cs="Open Sans"/>
        </w:rPr>
        <w:t>.</w:t>
      </w:r>
    </w:p>
    <w:p w:rsidR="00C10F24" w:rsidP="00170878" w:rsidRDefault="00C10F24" w14:paraId="09052DBA" w14:textId="77777777">
      <w:pPr>
        <w:pStyle w:val="xmsolistparagraph"/>
        <w:numPr>
          <w:ilvl w:val="0"/>
          <w:numId w:val="23"/>
        </w:numPr>
        <w:spacing w:after="240" w:line="252" w:lineRule="auto"/>
        <w:rPr>
          <w:rFonts w:ascii="Open Sans" w:hAnsi="Open Sans" w:eastAsia="Times New Roman" w:cs="Open Sans"/>
          <w:sz w:val="24"/>
          <w:szCs w:val="24"/>
        </w:rPr>
      </w:pPr>
      <w:r>
        <w:rPr>
          <w:rFonts w:ascii="Open Sans" w:hAnsi="Open Sans" w:eastAsia="Times New Roman" w:cs="Open Sans"/>
          <w:i/>
          <w:iCs/>
          <w:sz w:val="24"/>
          <w:szCs w:val="24"/>
        </w:rPr>
        <w:t>Bodily integrity principle</w:t>
      </w:r>
      <w:r>
        <w:rPr>
          <w:rFonts w:ascii="Open Sans" w:hAnsi="Open Sans" w:eastAsia="Times New Roman" w:cs="Open Sans"/>
          <w:sz w:val="24"/>
          <w:szCs w:val="24"/>
        </w:rPr>
        <w:t>: All people have the right to autonomy and bodily integrity. Medical interventions on people without their personal consent have the potential to seriously infringe these rights.</w:t>
      </w:r>
    </w:p>
    <w:p w:rsidR="00C10F24" w:rsidP="00170878" w:rsidRDefault="00C10F24" w14:paraId="26B7E35B" w14:textId="77777777">
      <w:pPr>
        <w:pStyle w:val="xmsolistparagraph"/>
        <w:numPr>
          <w:ilvl w:val="0"/>
          <w:numId w:val="23"/>
        </w:numPr>
        <w:spacing w:after="240" w:line="252" w:lineRule="auto"/>
        <w:rPr>
          <w:rFonts w:ascii="Open Sans" w:hAnsi="Open Sans" w:eastAsia="Times New Roman" w:cs="Open Sans"/>
          <w:sz w:val="24"/>
          <w:szCs w:val="24"/>
        </w:rPr>
      </w:pPr>
      <w:r>
        <w:rPr>
          <w:rFonts w:ascii="Open Sans" w:hAnsi="Open Sans" w:eastAsia="Times New Roman" w:cs="Open Sans"/>
          <w:i/>
          <w:iCs/>
          <w:sz w:val="24"/>
          <w:szCs w:val="24"/>
        </w:rPr>
        <w:t>Children’s agency principle</w:t>
      </w:r>
      <w:r>
        <w:rPr>
          <w:rFonts w:ascii="Open Sans" w:hAnsi="Open Sans" w:eastAsia="Times New Roman" w:cs="Open Sans"/>
          <w:sz w:val="24"/>
          <w:szCs w:val="24"/>
        </w:rPr>
        <w:t xml:space="preserve">: Children and young people have the right to express their views in relation to decisions that affect them, and those </w:t>
      </w:r>
      <w:r>
        <w:rPr>
          <w:rFonts w:ascii="Open Sans" w:hAnsi="Open Sans" w:eastAsia="Times New Roman" w:cs="Open Sans"/>
          <w:sz w:val="24"/>
          <w:szCs w:val="24"/>
        </w:rPr>
        <w:lastRenderedPageBreak/>
        <w:t xml:space="preserve">views must be given due weight in accordance with their age and maturity. The ability of children to consent to medical interventions generally increases as they grow older. Children and young people who are able to understand fully the nature and consequences of proposed medical interventions should be able to make their own decisions about whether those interventions proceed. </w:t>
      </w:r>
    </w:p>
    <w:p w:rsidR="00C10F24" w:rsidP="00170878" w:rsidRDefault="00C10F24" w14:paraId="7799E908" w14:textId="585030EC">
      <w:pPr>
        <w:pStyle w:val="xmsolistparagraph"/>
        <w:numPr>
          <w:ilvl w:val="0"/>
          <w:numId w:val="23"/>
        </w:numPr>
        <w:spacing w:after="240" w:line="252" w:lineRule="auto"/>
        <w:rPr>
          <w:rFonts w:ascii="Open Sans" w:hAnsi="Open Sans" w:eastAsia="Times New Roman" w:cs="Open Sans"/>
          <w:sz w:val="24"/>
          <w:szCs w:val="24"/>
        </w:rPr>
      </w:pPr>
      <w:r>
        <w:rPr>
          <w:rFonts w:ascii="Open Sans" w:hAnsi="Open Sans" w:eastAsia="Times New Roman" w:cs="Open Sans"/>
          <w:i/>
          <w:iCs/>
          <w:sz w:val="24"/>
          <w:szCs w:val="24"/>
        </w:rPr>
        <w:t>Precautionary principle</w:t>
      </w:r>
      <w:r>
        <w:rPr>
          <w:rFonts w:ascii="Open Sans" w:hAnsi="Open Sans" w:eastAsia="Times New Roman" w:cs="Open Sans"/>
          <w:sz w:val="24"/>
          <w:szCs w:val="24"/>
        </w:rPr>
        <w:t xml:space="preserve">: </w:t>
      </w:r>
      <w:r w:rsidRPr="007F59C8" w:rsidR="007F59C8">
        <w:rPr>
          <w:rFonts w:ascii="Open Sans" w:hAnsi="Open Sans" w:eastAsia="Times New Roman" w:cs="Open Sans"/>
          <w:sz w:val="24"/>
          <w:szCs w:val="24"/>
        </w:rPr>
        <w:t>Where safe to do so, medical interventions to modify the sex characteristics of a child born with variations in sex characteristics should be deferred until a time when the child is able to make their own decisions about what happens to their body</w:t>
      </w:r>
      <w:r>
        <w:rPr>
          <w:rFonts w:ascii="Open Sans" w:hAnsi="Open Sans" w:eastAsia="Times New Roman" w:cs="Open Sans"/>
          <w:sz w:val="24"/>
          <w:szCs w:val="24"/>
        </w:rPr>
        <w:t xml:space="preserve">. </w:t>
      </w:r>
    </w:p>
    <w:p w:rsidR="00C10F24" w:rsidP="00170878" w:rsidRDefault="00C10F24" w14:paraId="668DC2FA" w14:textId="50F00406">
      <w:pPr>
        <w:pStyle w:val="xmsolistparagraph"/>
        <w:numPr>
          <w:ilvl w:val="0"/>
          <w:numId w:val="23"/>
        </w:numPr>
        <w:spacing w:after="240" w:line="252" w:lineRule="auto"/>
        <w:rPr>
          <w:rFonts w:ascii="Open Sans" w:hAnsi="Open Sans" w:eastAsia="Times New Roman" w:cs="Open Sans"/>
          <w:sz w:val="24"/>
          <w:szCs w:val="24"/>
        </w:rPr>
      </w:pPr>
      <w:r>
        <w:rPr>
          <w:rFonts w:ascii="Open Sans" w:hAnsi="Open Sans" w:eastAsia="Times New Roman" w:cs="Open Sans"/>
          <w:i/>
          <w:iCs/>
          <w:sz w:val="24"/>
          <w:szCs w:val="24"/>
        </w:rPr>
        <w:t>Medical necessity principle</w:t>
      </w:r>
      <w:r>
        <w:rPr>
          <w:rFonts w:ascii="Open Sans" w:hAnsi="Open Sans" w:eastAsia="Times New Roman" w:cs="Open Sans"/>
          <w:sz w:val="24"/>
          <w:szCs w:val="24"/>
        </w:rPr>
        <w:t>:</w:t>
      </w:r>
      <w:r>
        <w:rPr>
          <w:rFonts w:ascii="Open Sans" w:hAnsi="Open Sans" w:eastAsia="Times New Roman" w:cs="Open Sans"/>
          <w:i/>
          <w:iCs/>
          <w:sz w:val="24"/>
          <w:szCs w:val="24"/>
        </w:rPr>
        <w:t xml:space="preserve"> </w:t>
      </w:r>
      <w:r>
        <w:rPr>
          <w:rFonts w:ascii="Open Sans" w:hAnsi="Open Sans" w:eastAsia="Times New Roman" w:cs="Open Sans"/>
          <w:sz w:val="24"/>
          <w:szCs w:val="24"/>
        </w:rPr>
        <w:t xml:space="preserve">In some cases, to protect the child’s rights to life or health, it may be medically necessary for a medical intervention to </w:t>
      </w:r>
      <w:r w:rsidR="00CF6858">
        <w:rPr>
          <w:rFonts w:ascii="Open Sans" w:hAnsi="Open Sans" w:eastAsia="Times New Roman" w:cs="Open Sans"/>
          <w:sz w:val="24"/>
          <w:szCs w:val="24"/>
        </w:rPr>
        <w:t>modify</w:t>
      </w:r>
      <w:r>
        <w:rPr>
          <w:rFonts w:ascii="Open Sans" w:hAnsi="Open Sans" w:eastAsia="Times New Roman" w:cs="Open Sans"/>
          <w:sz w:val="24"/>
          <w:szCs w:val="24"/>
        </w:rPr>
        <w:t xml:space="preserve"> the sex characteristics of a child born with variations in sex characteristics to occur, before a child can make their own decision. An intervention will be medically necessary if it is required urgently to avoid serious harm to the child. </w:t>
      </w:r>
    </w:p>
    <w:p w:rsidR="00C10F24" w:rsidP="00170878" w:rsidRDefault="00C10F24" w14:paraId="677DE063" w14:textId="48EA6541">
      <w:pPr>
        <w:pStyle w:val="xmsolistparagraph"/>
        <w:numPr>
          <w:ilvl w:val="0"/>
          <w:numId w:val="23"/>
        </w:numPr>
        <w:spacing w:after="240" w:line="252" w:lineRule="auto"/>
        <w:rPr>
          <w:rFonts w:ascii="Open Sans" w:hAnsi="Open Sans" w:eastAsia="Times New Roman" w:cs="Open Sans"/>
          <w:sz w:val="24"/>
          <w:szCs w:val="24"/>
        </w:rPr>
      </w:pPr>
      <w:r>
        <w:rPr>
          <w:rFonts w:ascii="Open Sans" w:hAnsi="Open Sans" w:eastAsia="Times New Roman" w:cs="Open Sans"/>
          <w:i/>
          <w:iCs/>
          <w:sz w:val="24"/>
          <w:szCs w:val="24"/>
        </w:rPr>
        <w:t>Independent oversight principle</w:t>
      </w:r>
      <w:r>
        <w:rPr>
          <w:rFonts w:ascii="Open Sans" w:hAnsi="Open Sans" w:eastAsia="Times New Roman" w:cs="Open Sans"/>
          <w:sz w:val="24"/>
          <w:szCs w:val="24"/>
        </w:rPr>
        <w:t xml:space="preserve">: Given the risk of making a wrong decision, decisions about whether a medical intervention to </w:t>
      </w:r>
      <w:r w:rsidR="00CF6858">
        <w:rPr>
          <w:rFonts w:ascii="Open Sans" w:hAnsi="Open Sans" w:eastAsia="Times New Roman" w:cs="Open Sans"/>
          <w:sz w:val="24"/>
          <w:szCs w:val="24"/>
        </w:rPr>
        <w:t>modify</w:t>
      </w:r>
      <w:r>
        <w:rPr>
          <w:rFonts w:ascii="Open Sans" w:hAnsi="Open Sans" w:eastAsia="Times New Roman" w:cs="Open Sans"/>
          <w:sz w:val="24"/>
          <w:szCs w:val="24"/>
        </w:rPr>
        <w:t xml:space="preserve"> the sex characteristics of a child born with variations in sex characteristics is medically necessary should be subject to effective independent oversight.</w:t>
      </w:r>
    </w:p>
    <w:p w:rsidR="00C10F24" w:rsidP="00C10F24" w:rsidRDefault="00C10F24" w14:paraId="6316218F" w14:textId="46534569">
      <w:pPr>
        <w:rPr>
          <w:rFonts w:cs="Open Sans"/>
        </w:rPr>
      </w:pPr>
    </w:p>
    <w:p w:rsidR="6A9E85D0" w:rsidP="00B3330B" w:rsidRDefault="00B3330B" w14:paraId="5FA5BD12" w14:textId="3B1B05BA">
      <w:pPr>
        <w:spacing w:before="0" w:after="0"/>
      </w:pPr>
      <w:r>
        <w:br w:type="page"/>
      </w:r>
    </w:p>
    <w:p w:rsidRPr="008D1B08" w:rsidR="008C0259" w:rsidP="005C1F23" w:rsidRDefault="008C0259" w14:paraId="37263E4D" w14:textId="77777777">
      <w:pPr>
        <w:pStyle w:val="AHRCHeading1"/>
      </w:pPr>
      <w:bookmarkStart w:name="_Toc79509639" w:id="69"/>
      <w:bookmarkStart w:name="_Toc85541397" w:id="70"/>
      <w:r>
        <w:lastRenderedPageBreak/>
        <w:t>Lived experience</w:t>
      </w:r>
      <w:bookmarkEnd w:id="69"/>
      <w:bookmarkEnd w:id="70"/>
    </w:p>
    <w:p w:rsidR="008C0259" w:rsidP="008C0259" w:rsidRDefault="1786C87D" w14:paraId="5130DEB9" w14:textId="27FF0416">
      <w:pPr>
        <w:rPr>
          <w:rStyle w:val="EndnoteReference"/>
          <w:rFonts w:cs="Open Sans"/>
        </w:rPr>
      </w:pPr>
      <w:r>
        <w:rPr>
          <w:rFonts w:cs="Open Sans"/>
        </w:rPr>
        <w:t xml:space="preserve">Listening to the accounts of people with lived experience has been central to the Commission’s assessment of </w:t>
      </w:r>
      <w:r w:rsidR="008C0259">
        <w:rPr>
          <w:rFonts w:cs="Open Sans"/>
        </w:rPr>
        <w:t>the human rights implications of medical interventions on people born with variations in sex characteristics</w:t>
      </w:r>
      <w:r w:rsidRPr="0C449446" w:rsidR="008C0259">
        <w:rPr>
          <w:rFonts w:cs="Open Sans"/>
        </w:rPr>
        <w:t xml:space="preserve">. This chapter summarises </w:t>
      </w:r>
      <w:r w:rsidR="008C0259">
        <w:rPr>
          <w:rFonts w:cs="Open Sans"/>
        </w:rPr>
        <w:t>this element of the Commission’s research</w:t>
      </w:r>
      <w:r w:rsidRPr="0C449446" w:rsidR="008C0259">
        <w:rPr>
          <w:rFonts w:cs="Open Sans"/>
        </w:rPr>
        <w:t>.</w:t>
      </w:r>
      <w:r w:rsidRPr="0117CC5D" w:rsidR="008C0259">
        <w:rPr>
          <w:rStyle w:val="EndnoteReference"/>
          <w:rFonts w:cs="Open Sans"/>
        </w:rPr>
        <w:endnoteReference w:id="64"/>
      </w:r>
    </w:p>
    <w:p w:rsidRPr="00372C38" w:rsidR="008C0259" w:rsidP="008C0259" w:rsidRDefault="008C0259" w14:paraId="5ADD4C60" w14:textId="6D426A90">
      <w:pPr>
        <w:rPr>
          <w:rFonts w:cs="Open Sans"/>
        </w:rPr>
      </w:pPr>
      <w:r w:rsidRPr="0C449446">
        <w:rPr>
          <w:rFonts w:cs="Open Sans"/>
        </w:rPr>
        <w:t>While individuals’ experiences varied widely, there were common themes</w:t>
      </w:r>
      <w:r w:rsidRPr="0117CC5D" w:rsidR="5042190E">
        <w:rPr>
          <w:rFonts w:cs="Open Sans"/>
        </w:rPr>
        <w:t xml:space="preserve">. These included ongoing </w:t>
      </w:r>
      <w:r w:rsidRPr="0C449446">
        <w:rPr>
          <w:rFonts w:cs="Open Sans"/>
        </w:rPr>
        <w:t xml:space="preserve">distress at physical and psychological consequences, stigma, lack of social and personal support, and challenging interactions with the health system. </w:t>
      </w:r>
    </w:p>
    <w:p w:rsidRPr="00B136B3" w:rsidR="008C0259" w:rsidP="008C0259" w:rsidRDefault="008C0259" w14:paraId="76C7F1AA" w14:textId="77777777">
      <w:pPr>
        <w:rPr>
          <w:rFonts w:cs="Open Sans"/>
        </w:rPr>
      </w:pPr>
      <w:r>
        <w:rPr>
          <w:rFonts w:cs="Open Sans"/>
        </w:rPr>
        <w:t xml:space="preserve">Many people with lived experience told the Commission that medical interventions that had occurred in both childhood and adulthood had a variety of negative consequences on their physical and mental wellbeing. They also emphasised how feelings of isolation further exacerbated poor mental health, reinforcing a sense of being somehow ‘abnormal’. Isolation was often accompanied by feelings of stigmatisation. These elements combined to create challenges in terms of self-identity and knowledge and in formation of relationships with family, friends and peers. A lack of access to records about past experiences and interventions has compounded the challenge of processing their past, and thus held back improvements to their health in adulthood. </w:t>
      </w:r>
    </w:p>
    <w:p w:rsidRPr="00B34022" w:rsidR="008C0259" w:rsidP="008C0259" w:rsidRDefault="008C0259" w14:paraId="6F8EEB16" w14:textId="77777777">
      <w:pPr>
        <w:rPr>
          <w:rFonts w:cs="Open Sans"/>
        </w:rPr>
      </w:pPr>
      <w:r>
        <w:rPr>
          <w:rFonts w:cs="Open Sans"/>
        </w:rPr>
        <w:t xml:space="preserve">The Commission acknowledges the courage of those who shared their personal, often intimate lived experience with us, and that reliving this experience can come at a significant personal cost. </w:t>
      </w:r>
      <w:r w:rsidRPr="0C449446">
        <w:rPr>
          <w:rFonts w:cs="Open Sans"/>
        </w:rPr>
        <w:t>Th</w:t>
      </w:r>
      <w:r>
        <w:rPr>
          <w:rFonts w:cs="Open Sans"/>
        </w:rPr>
        <w:t>is</w:t>
      </w:r>
      <w:r w:rsidRPr="0C449446">
        <w:rPr>
          <w:rFonts w:cs="Open Sans"/>
        </w:rPr>
        <w:t xml:space="preserve"> </w:t>
      </w:r>
      <w:r>
        <w:rPr>
          <w:rFonts w:cs="Open Sans"/>
        </w:rPr>
        <w:t xml:space="preserve">has provided </w:t>
      </w:r>
      <w:r w:rsidRPr="0C449446">
        <w:rPr>
          <w:rFonts w:cs="Open Sans"/>
        </w:rPr>
        <w:t xml:space="preserve">important information about many of the matters discussed in this Report and </w:t>
      </w:r>
      <w:r>
        <w:rPr>
          <w:rFonts w:cs="Open Sans"/>
        </w:rPr>
        <w:t xml:space="preserve">it has </w:t>
      </w:r>
      <w:r w:rsidRPr="0C449446">
        <w:rPr>
          <w:rFonts w:cs="Open Sans"/>
        </w:rPr>
        <w:t xml:space="preserve">helped inform the Commission’s conclusions and recommendations. </w:t>
      </w:r>
      <w:bookmarkStart w:name="_Toc56439573" w:id="71"/>
      <w:bookmarkStart w:name="_Toc56444459" w:id="72"/>
      <w:bookmarkStart w:name="_Toc56536872" w:id="73"/>
      <w:bookmarkStart w:name="_Toc56537083" w:id="74"/>
      <w:bookmarkStart w:name="_Toc56582622" w:id="75"/>
      <w:bookmarkStart w:name="_Toc56616145" w:id="76"/>
      <w:bookmarkStart w:name="_Toc56616362" w:id="77"/>
      <w:bookmarkStart w:name="_Toc56616579" w:id="78"/>
      <w:bookmarkStart w:name="_Toc57272728" w:id="79"/>
      <w:bookmarkStart w:name="_Toc56439574" w:id="80"/>
      <w:bookmarkStart w:name="_Toc56444460" w:id="81"/>
      <w:bookmarkStart w:name="_Toc56536873" w:id="82"/>
      <w:bookmarkStart w:name="_Toc56537084" w:id="83"/>
      <w:bookmarkStart w:name="_Toc56582623" w:id="84"/>
      <w:bookmarkStart w:name="_Toc56616146" w:id="85"/>
      <w:bookmarkStart w:name="_Toc56616363" w:id="86"/>
      <w:bookmarkStart w:name="_Toc56616580" w:id="87"/>
      <w:bookmarkStart w:name="_Toc57272729" w:id="88"/>
      <w:bookmarkStart w:name="_Toc56439575" w:id="89"/>
      <w:bookmarkStart w:name="_Toc56444461" w:id="90"/>
      <w:bookmarkStart w:name="_Toc56536874" w:id="91"/>
      <w:bookmarkStart w:name="_Toc56537085" w:id="92"/>
      <w:bookmarkStart w:name="_Toc56582624" w:id="93"/>
      <w:bookmarkStart w:name="_Toc56616147" w:id="94"/>
      <w:bookmarkStart w:name="_Toc56616364" w:id="95"/>
      <w:bookmarkStart w:name="_Toc56616581" w:id="96"/>
      <w:bookmarkStart w:name="_Toc57272730" w:id="97"/>
      <w:bookmarkStart w:name="_Toc56439576" w:id="98"/>
      <w:bookmarkStart w:name="_Toc56444462" w:id="99"/>
      <w:bookmarkStart w:name="_Toc56536875" w:id="100"/>
      <w:bookmarkStart w:name="_Toc56537086" w:id="101"/>
      <w:bookmarkStart w:name="_Toc56582625" w:id="102"/>
      <w:bookmarkStart w:name="_Toc56616148" w:id="103"/>
      <w:bookmarkStart w:name="_Toc56616365" w:id="104"/>
      <w:bookmarkStart w:name="_Toc56616582" w:id="105"/>
      <w:bookmarkStart w:name="_Toc57272731" w:id="106"/>
      <w:bookmarkStart w:name="_Toc536701323" w:id="107"/>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8C0259" w:rsidP="005C1F23" w:rsidRDefault="008C0259" w14:paraId="58DD8D39" w14:textId="2938BFD4">
      <w:pPr>
        <w:pStyle w:val="AHRCHeading2"/>
      </w:pPr>
      <w:bookmarkStart w:name="_Toc79509640" w:id="108"/>
      <w:bookmarkStart w:name="_Toc85541398" w:id="109"/>
      <w:bookmarkEnd w:id="107"/>
      <w:r>
        <w:t>Which medical interventions have occurred?</w:t>
      </w:r>
      <w:bookmarkEnd w:id="108"/>
      <w:bookmarkEnd w:id="109"/>
    </w:p>
    <w:p w:rsidRPr="005A6012" w:rsidR="00304B33" w:rsidP="005A6012" w:rsidRDefault="00866D3D" w14:paraId="59AE80EF" w14:textId="364674D7">
      <w:pPr>
        <w:pBdr>
          <w:top w:val="single" w:color="auto" w:sz="4" w:space="1"/>
          <w:left w:val="single" w:color="auto" w:sz="4" w:space="4"/>
          <w:bottom w:val="single" w:color="auto" w:sz="4" w:space="1"/>
          <w:right w:val="single" w:color="auto" w:sz="4" w:space="4"/>
        </w:pBdr>
        <w:jc w:val="center"/>
        <w:rPr>
          <w:rFonts w:cs="Open Sans"/>
          <w:b/>
          <w:bCs/>
        </w:rPr>
      </w:pPr>
      <w:r>
        <w:rPr>
          <w:rFonts w:cs="Open Sans"/>
          <w:b/>
          <w:bCs/>
        </w:rPr>
        <w:br/>
      </w:r>
      <w:r w:rsidRPr="005A6012" w:rsidR="005A6012">
        <w:rPr>
          <w:rFonts w:cs="Open Sans"/>
          <w:b/>
          <w:bCs/>
        </w:rPr>
        <w:t>Glossary of medical terms</w:t>
      </w:r>
    </w:p>
    <w:p w:rsidRPr="000B5CE1" w:rsidR="00304B33" w:rsidP="00304B33" w:rsidRDefault="00304B33" w14:paraId="59742DC0" w14:textId="2B88B2F7">
      <w:pPr>
        <w:pBdr>
          <w:top w:val="single" w:color="auto" w:sz="4" w:space="1"/>
          <w:left w:val="single" w:color="auto" w:sz="4" w:space="4"/>
          <w:bottom w:val="single" w:color="auto" w:sz="4" w:space="1"/>
          <w:right w:val="single" w:color="auto" w:sz="4" w:space="4"/>
        </w:pBdr>
        <w:rPr>
          <w:rFonts w:cs="Open Sans"/>
        </w:rPr>
      </w:pPr>
      <w:r w:rsidRPr="00520266">
        <w:rPr>
          <w:rFonts w:cs="Open Sans"/>
        </w:rPr>
        <w:t>Clitoridectomy (or clitorectomy): Surgery to reduce the size of the clitoris</w:t>
      </w:r>
      <w:r w:rsidR="00866D3D">
        <w:rPr>
          <w:rFonts w:cs="Open Sans"/>
        </w:rPr>
        <w:t>.</w:t>
      </w:r>
    </w:p>
    <w:p w:rsidRPr="000B5CE1" w:rsidR="00304B33" w:rsidP="00304B33" w:rsidRDefault="00304B33" w14:paraId="590C174F" w14:textId="75BFD9B2">
      <w:pPr>
        <w:pBdr>
          <w:top w:val="single" w:color="auto" w:sz="4" w:space="1"/>
          <w:left w:val="single" w:color="auto" w:sz="4" w:space="4"/>
          <w:bottom w:val="single" w:color="auto" w:sz="4" w:space="1"/>
          <w:right w:val="single" w:color="auto" w:sz="4" w:space="4"/>
        </w:pBdr>
        <w:rPr>
          <w:rFonts w:cs="Open Sans"/>
        </w:rPr>
      </w:pPr>
      <w:r w:rsidRPr="000B5CE1">
        <w:rPr>
          <w:rFonts w:cs="Open Sans"/>
        </w:rPr>
        <w:t xml:space="preserve">Clitoral recession: </w:t>
      </w:r>
      <w:r w:rsidRPr="005A6012">
        <w:rPr>
          <w:rFonts w:cs="Open Sans"/>
        </w:rPr>
        <w:t> Surgery to hide clitoral shaft under a fold of skin so only the glans remains visible</w:t>
      </w:r>
      <w:r w:rsidRPr="005A6012" w:rsidR="005A6012">
        <w:rPr>
          <w:rFonts w:cs="Open Sans"/>
        </w:rPr>
        <w:t>.</w:t>
      </w:r>
      <w:r w:rsidRPr="000B5CE1">
        <w:rPr>
          <w:rFonts w:cs="Open Sans"/>
        </w:rPr>
        <w:t xml:space="preserve"> </w:t>
      </w:r>
    </w:p>
    <w:p w:rsidRPr="00EF04E2" w:rsidR="00304B33" w:rsidP="00304B33" w:rsidRDefault="00304B33" w14:paraId="3FE720F8" w14:textId="0EF54EF7">
      <w:pPr>
        <w:pBdr>
          <w:top w:val="single" w:color="auto" w:sz="4" w:space="1"/>
          <w:left w:val="single" w:color="auto" w:sz="4" w:space="4"/>
          <w:bottom w:val="single" w:color="auto" w:sz="4" w:space="1"/>
          <w:right w:val="single" w:color="auto" w:sz="4" w:space="4"/>
        </w:pBdr>
        <w:rPr>
          <w:rFonts w:cs="Open Sans"/>
        </w:rPr>
      </w:pPr>
      <w:r>
        <w:rPr>
          <w:rFonts w:cs="Open Sans"/>
        </w:rPr>
        <w:lastRenderedPageBreak/>
        <w:t>G</w:t>
      </w:r>
      <w:r w:rsidRPr="00EF04E2">
        <w:rPr>
          <w:rFonts w:cs="Open Sans"/>
        </w:rPr>
        <w:t>onadectom</w:t>
      </w:r>
      <w:r>
        <w:rPr>
          <w:rFonts w:cs="Open Sans"/>
        </w:rPr>
        <w:t>y: Surgery to</w:t>
      </w:r>
      <w:r w:rsidRPr="00EF04E2">
        <w:rPr>
          <w:rFonts w:cs="Open Sans"/>
        </w:rPr>
        <w:t xml:space="preserve"> remov</w:t>
      </w:r>
      <w:r>
        <w:rPr>
          <w:rFonts w:cs="Open Sans"/>
        </w:rPr>
        <w:t>e</w:t>
      </w:r>
      <w:r w:rsidRPr="00EF04E2">
        <w:rPr>
          <w:rFonts w:cs="Open Sans"/>
        </w:rPr>
        <w:t xml:space="preserve"> of the </w:t>
      </w:r>
      <w:r w:rsidR="00FB4EA2">
        <w:rPr>
          <w:rFonts w:cs="Open Sans"/>
        </w:rPr>
        <w:t xml:space="preserve">gonads. </w:t>
      </w:r>
    </w:p>
    <w:p w:rsidR="00304B33" w:rsidP="00304B33" w:rsidRDefault="00304B33" w14:paraId="20E899D2" w14:textId="1E21EC69">
      <w:pPr>
        <w:pBdr>
          <w:top w:val="single" w:color="auto" w:sz="4" w:space="1"/>
          <w:left w:val="single" w:color="auto" w:sz="4" w:space="4"/>
          <w:bottom w:val="single" w:color="auto" w:sz="4" w:space="1"/>
          <w:right w:val="single" w:color="auto" w:sz="4" w:space="4"/>
        </w:pBdr>
        <w:rPr>
          <w:rFonts w:cs="Open Sans"/>
        </w:rPr>
      </w:pPr>
      <w:r>
        <w:rPr>
          <w:rFonts w:cs="Open Sans"/>
        </w:rPr>
        <w:t>H</w:t>
      </w:r>
      <w:r w:rsidRPr="00EF04E2">
        <w:rPr>
          <w:rFonts w:cs="Open Sans"/>
        </w:rPr>
        <w:t>ypospadias</w:t>
      </w:r>
      <w:r>
        <w:rPr>
          <w:rFonts w:cs="Open Sans"/>
        </w:rPr>
        <w:t>: W</w:t>
      </w:r>
      <w:r w:rsidRPr="00EF04E2">
        <w:rPr>
          <w:rFonts w:cs="Open Sans"/>
        </w:rPr>
        <w:t>here the exit of the urethra is not at the tip of the penis</w:t>
      </w:r>
      <w:r w:rsidR="005A6012">
        <w:rPr>
          <w:rFonts w:cs="Open Sans"/>
        </w:rPr>
        <w:t>.</w:t>
      </w:r>
    </w:p>
    <w:p w:rsidRPr="00EF04E2" w:rsidR="00304B33" w:rsidP="00304B33" w:rsidRDefault="00304B33" w14:paraId="1661CAF5" w14:textId="7555A3A7">
      <w:pPr>
        <w:pBdr>
          <w:top w:val="single" w:color="auto" w:sz="4" w:space="1"/>
          <w:left w:val="single" w:color="auto" w:sz="4" w:space="4"/>
          <w:bottom w:val="single" w:color="auto" w:sz="4" w:space="1"/>
          <w:right w:val="single" w:color="auto" w:sz="4" w:space="4"/>
        </w:pBdr>
        <w:rPr>
          <w:rFonts w:cs="Open Sans"/>
        </w:rPr>
      </w:pPr>
      <w:r>
        <w:rPr>
          <w:rFonts w:cs="Open Sans"/>
        </w:rPr>
        <w:t>H</w:t>
      </w:r>
      <w:r w:rsidRPr="00EF04E2">
        <w:rPr>
          <w:rFonts w:cs="Open Sans"/>
        </w:rPr>
        <w:t>ypogonadism</w:t>
      </w:r>
      <w:r>
        <w:rPr>
          <w:rFonts w:cs="Open Sans"/>
        </w:rPr>
        <w:t>:</w:t>
      </w:r>
      <w:r w:rsidRPr="00EF04E2">
        <w:rPr>
          <w:rFonts w:cs="Open Sans"/>
        </w:rPr>
        <w:t xml:space="preserve"> </w:t>
      </w:r>
      <w:r>
        <w:rPr>
          <w:rFonts w:cs="Open Sans"/>
        </w:rPr>
        <w:t>D</w:t>
      </w:r>
      <w:r w:rsidRPr="00EF04E2">
        <w:rPr>
          <w:rFonts w:cs="Open Sans"/>
        </w:rPr>
        <w:t>iminished gonad activity</w:t>
      </w:r>
      <w:r w:rsidR="005A6012">
        <w:rPr>
          <w:rFonts w:cs="Open Sans"/>
        </w:rPr>
        <w:t>.</w:t>
      </w:r>
    </w:p>
    <w:p w:rsidRPr="00520266" w:rsidR="00304B33" w:rsidP="00304B33" w:rsidRDefault="00304B33" w14:paraId="40B3DF49" w14:textId="20021883">
      <w:pPr>
        <w:pBdr>
          <w:top w:val="single" w:color="auto" w:sz="4" w:space="1"/>
          <w:left w:val="single" w:color="auto" w:sz="4" w:space="4"/>
          <w:bottom w:val="single" w:color="auto" w:sz="4" w:space="1"/>
          <w:right w:val="single" w:color="auto" w:sz="4" w:space="4"/>
        </w:pBdr>
        <w:rPr>
          <w:rFonts w:cs="Open Sans"/>
        </w:rPr>
      </w:pPr>
      <w:r w:rsidRPr="00520266">
        <w:rPr>
          <w:rFonts w:cs="Open Sans"/>
        </w:rPr>
        <w:t>Labi</w:t>
      </w:r>
      <w:r w:rsidR="00961988">
        <w:rPr>
          <w:rFonts w:cs="Open Sans"/>
        </w:rPr>
        <w:t>a</w:t>
      </w:r>
      <w:r w:rsidRPr="00520266">
        <w:rPr>
          <w:rFonts w:cs="Open Sans"/>
        </w:rPr>
        <w:t>plasty: Surgery to reduce the size or changing the shape of the labia minora</w:t>
      </w:r>
      <w:r w:rsidR="005A6012">
        <w:rPr>
          <w:rFonts w:cs="Open Sans"/>
        </w:rPr>
        <w:t>.</w:t>
      </w:r>
      <w:r w:rsidRPr="00520266">
        <w:rPr>
          <w:rFonts w:cs="Open Sans"/>
        </w:rPr>
        <w:t xml:space="preserve"> </w:t>
      </w:r>
    </w:p>
    <w:p w:rsidRPr="00520266" w:rsidR="00304B33" w:rsidP="00304B33" w:rsidRDefault="00304B33" w14:paraId="4F89DBE5" w14:textId="19010B35">
      <w:pPr>
        <w:pBdr>
          <w:top w:val="single" w:color="auto" w:sz="4" w:space="1"/>
          <w:left w:val="single" w:color="auto" w:sz="4" w:space="4"/>
          <w:bottom w:val="single" w:color="auto" w:sz="4" w:space="1"/>
          <w:right w:val="single" w:color="auto" w:sz="4" w:space="4"/>
        </w:pBdr>
        <w:rPr>
          <w:rFonts w:cs="Open Sans"/>
        </w:rPr>
      </w:pPr>
      <w:r w:rsidRPr="00520266">
        <w:rPr>
          <w:rFonts w:cs="Open Sans"/>
        </w:rPr>
        <w:t>Micropenis</w:t>
      </w:r>
      <w:r>
        <w:rPr>
          <w:rFonts w:cs="Open Sans"/>
        </w:rPr>
        <w:t xml:space="preserve"> (</w:t>
      </w:r>
      <w:r w:rsidRPr="00AE3BB1">
        <w:rPr>
          <w:rFonts w:cs="Open Sans"/>
        </w:rPr>
        <w:t>microphallus</w:t>
      </w:r>
      <w:r>
        <w:rPr>
          <w:rFonts w:cs="Open Sans"/>
        </w:rPr>
        <w:t>)</w:t>
      </w:r>
      <w:r w:rsidRPr="00520266">
        <w:rPr>
          <w:rFonts w:cs="Open Sans"/>
        </w:rPr>
        <w:t xml:space="preserve">: </w:t>
      </w:r>
      <w:r w:rsidR="005A6012">
        <w:rPr>
          <w:rFonts w:cs="Open Sans"/>
        </w:rPr>
        <w:t>S</w:t>
      </w:r>
      <w:r w:rsidRPr="00520266">
        <w:rPr>
          <w:rFonts w:cs="Open Sans"/>
        </w:rPr>
        <w:t xml:space="preserve">maller than </w:t>
      </w:r>
      <w:r w:rsidR="005A6012">
        <w:rPr>
          <w:rFonts w:cs="Open Sans"/>
        </w:rPr>
        <w:t>typical</w:t>
      </w:r>
      <w:r w:rsidRPr="00520266">
        <w:rPr>
          <w:rFonts w:cs="Open Sans"/>
        </w:rPr>
        <w:t xml:space="preserve"> male genitalia</w:t>
      </w:r>
      <w:r w:rsidR="005A6012">
        <w:rPr>
          <w:rFonts w:cs="Open Sans"/>
        </w:rPr>
        <w:t>.</w:t>
      </w:r>
      <w:r w:rsidRPr="00520266">
        <w:rPr>
          <w:rFonts w:cs="Open Sans"/>
        </w:rPr>
        <w:t xml:space="preserve"> </w:t>
      </w:r>
    </w:p>
    <w:p w:rsidRPr="00520266" w:rsidR="00304B33" w:rsidP="00304B33" w:rsidRDefault="00304B33" w14:paraId="76C5BB00" w14:textId="0A17CE7B">
      <w:pPr>
        <w:pBdr>
          <w:top w:val="single" w:color="auto" w:sz="4" w:space="1"/>
          <w:left w:val="single" w:color="auto" w:sz="4" w:space="4"/>
          <w:bottom w:val="single" w:color="auto" w:sz="4" w:space="1"/>
          <w:right w:val="single" w:color="auto" w:sz="4" w:space="4"/>
        </w:pBdr>
        <w:rPr>
          <w:rFonts w:cs="Open Sans"/>
        </w:rPr>
      </w:pPr>
      <w:r w:rsidRPr="00520266">
        <w:rPr>
          <w:rFonts w:cs="Open Sans"/>
        </w:rPr>
        <w:t xml:space="preserve">Vaginoplasty: </w:t>
      </w:r>
      <w:r w:rsidR="005A6012">
        <w:rPr>
          <w:rFonts w:cs="Open Sans"/>
        </w:rPr>
        <w:t>S</w:t>
      </w:r>
      <w:r w:rsidRPr="00520266">
        <w:rPr>
          <w:rFonts w:cs="Open Sans"/>
        </w:rPr>
        <w:t xml:space="preserve">urgery to create a vagina. </w:t>
      </w:r>
    </w:p>
    <w:p w:rsidRPr="005A6012" w:rsidR="00304B33" w:rsidP="005A6012" w:rsidRDefault="00304B33" w14:paraId="0123E77C" w14:textId="272C55E4">
      <w:pPr>
        <w:pBdr>
          <w:top w:val="single" w:color="auto" w:sz="4" w:space="1"/>
          <w:left w:val="single" w:color="auto" w:sz="4" w:space="4"/>
          <w:bottom w:val="single" w:color="auto" w:sz="4" w:space="1"/>
          <w:right w:val="single" w:color="auto" w:sz="4" w:space="4"/>
        </w:pBdr>
        <w:rPr>
          <w:rFonts w:cs="Open Sans"/>
        </w:rPr>
      </w:pPr>
      <w:r w:rsidRPr="00520266">
        <w:rPr>
          <w:rFonts w:cs="Open Sans"/>
        </w:rPr>
        <w:t xml:space="preserve">Vulvoplasty: Surgery </w:t>
      </w:r>
      <w:r w:rsidR="00F668EB">
        <w:rPr>
          <w:rFonts w:cs="Open Sans"/>
        </w:rPr>
        <w:t xml:space="preserve">to modify external female genitalia. </w:t>
      </w:r>
    </w:p>
    <w:p w:rsidR="008C0259" w:rsidP="008C0259" w:rsidRDefault="008C0259" w14:paraId="467FA2A4" w14:textId="72699B09">
      <w:pPr>
        <w:rPr>
          <w:rFonts w:cs="Open Sans"/>
        </w:rPr>
      </w:pPr>
      <w:r w:rsidRPr="00372C38">
        <w:rPr>
          <w:rFonts w:cs="Open Sans"/>
        </w:rPr>
        <w:t>The Commission heard from people who had experienced a range of medical interventions</w:t>
      </w:r>
      <w:r>
        <w:rPr>
          <w:rFonts w:cs="Open Sans"/>
        </w:rPr>
        <w:t xml:space="preserve"> without their consent</w:t>
      </w:r>
      <w:r w:rsidRPr="00372C38">
        <w:rPr>
          <w:rFonts w:cs="Open Sans"/>
        </w:rPr>
        <w:t>. These include</w:t>
      </w:r>
      <w:r>
        <w:rPr>
          <w:rFonts w:cs="Open Sans"/>
        </w:rPr>
        <w:t>:</w:t>
      </w:r>
      <w:r w:rsidRPr="00372C38">
        <w:rPr>
          <w:rFonts w:cs="Open Sans"/>
        </w:rPr>
        <w:t xml:space="preserve"> surgical interventions intended to ‘normalise’ the appearance of genitalia, such as surgeries to reduce the size of the clitoris (</w:t>
      </w:r>
      <w:r>
        <w:rPr>
          <w:rFonts w:cs="Open Sans"/>
        </w:rPr>
        <w:t xml:space="preserve">known as </w:t>
      </w:r>
      <w:r w:rsidRPr="007C5A6D">
        <w:rPr>
          <w:rFonts w:cs="Open Sans"/>
        </w:rPr>
        <w:t>clitoridectomy or clitorectomy</w:t>
      </w:r>
      <w:r w:rsidRPr="00372C38">
        <w:rPr>
          <w:rFonts w:cs="Open Sans"/>
        </w:rPr>
        <w:t xml:space="preserve">); other surgeries to </w:t>
      </w:r>
      <w:r w:rsidR="00CF6858">
        <w:rPr>
          <w:rFonts w:cs="Open Sans"/>
        </w:rPr>
        <w:t>modify</w:t>
      </w:r>
      <w:r w:rsidRPr="00372C38">
        <w:rPr>
          <w:rFonts w:cs="Open Sans"/>
        </w:rPr>
        <w:t xml:space="preserve"> female genitalia such as reducing the size or </w:t>
      </w:r>
      <w:r w:rsidR="00440DFD">
        <w:rPr>
          <w:rFonts w:cs="Open Sans"/>
        </w:rPr>
        <w:t>modifying</w:t>
      </w:r>
      <w:r w:rsidRPr="00372C38">
        <w:rPr>
          <w:rFonts w:cs="Open Sans"/>
        </w:rPr>
        <w:t xml:space="preserve"> the shape of the labia minora (</w:t>
      </w:r>
      <w:r>
        <w:rPr>
          <w:rFonts w:cs="Open Sans"/>
        </w:rPr>
        <w:t>labiaplasty</w:t>
      </w:r>
      <w:r w:rsidRPr="00372C38">
        <w:rPr>
          <w:rFonts w:cs="Open Sans"/>
        </w:rPr>
        <w:t>);</w:t>
      </w:r>
      <w:r w:rsidRPr="003705EE">
        <w:rPr>
          <w:rFonts w:cs="Open Sans"/>
        </w:rPr>
        <w:t xml:space="preserve"> surgery on external female genitals, generally reducing the size or addressing the asymmetry of the labia minora</w:t>
      </w:r>
      <w:r>
        <w:rPr>
          <w:rFonts w:cs="Open Sans"/>
        </w:rPr>
        <w:t xml:space="preserve"> (</w:t>
      </w:r>
      <w:r w:rsidRPr="003705EE">
        <w:rPr>
          <w:rFonts w:cs="Open Sans"/>
        </w:rPr>
        <w:t>vulvoplasty</w:t>
      </w:r>
      <w:r>
        <w:rPr>
          <w:rFonts w:cs="Open Sans"/>
        </w:rPr>
        <w:t>),</w:t>
      </w:r>
      <w:r w:rsidRPr="003A439D">
        <w:rPr>
          <w:rFonts w:cs="Open Sans"/>
          <w:sz w:val="20"/>
          <w:szCs w:val="20"/>
          <w:vertAlign w:val="superscript"/>
        </w:rPr>
        <w:endnoteReference w:id="65"/>
      </w:r>
      <w:r w:rsidRPr="003705EE">
        <w:rPr>
          <w:rFonts w:cs="Open Sans"/>
          <w:vertAlign w:val="superscript"/>
        </w:rPr>
        <w:t xml:space="preserve"> </w:t>
      </w:r>
      <w:r w:rsidRPr="00372C38">
        <w:rPr>
          <w:rFonts w:cs="Open Sans"/>
        </w:rPr>
        <w:t xml:space="preserve">and surgery on an infant born with smaller than usual male genitalia (micropenis) to create the appearance of </w:t>
      </w:r>
      <w:r w:rsidRPr="007C5A6D">
        <w:rPr>
          <w:rFonts w:cs="Open Sans"/>
        </w:rPr>
        <w:t>a female child by the construction of a vagina</w:t>
      </w:r>
      <w:r w:rsidRPr="00372C38">
        <w:rPr>
          <w:rFonts w:cs="Open Sans"/>
        </w:rPr>
        <w:t xml:space="preserve"> (</w:t>
      </w:r>
      <w:r w:rsidRPr="007C5A6D">
        <w:rPr>
          <w:rFonts w:cs="Open Sans"/>
        </w:rPr>
        <w:t>vaginoplasty</w:t>
      </w:r>
      <w:r w:rsidRPr="00372C38">
        <w:rPr>
          <w:rFonts w:cs="Open Sans"/>
        </w:rPr>
        <w:t>).</w:t>
      </w:r>
      <w:r>
        <w:rPr>
          <w:rFonts w:cs="Open Sans"/>
        </w:rPr>
        <w:t xml:space="preserve"> </w:t>
      </w:r>
      <w:r w:rsidRPr="00226B65">
        <w:rPr>
          <w:rFonts w:cs="Open Sans"/>
        </w:rPr>
        <w:t>The Commission was also told that people have been put on hormone treatment</w:t>
      </w:r>
      <w:r>
        <w:rPr>
          <w:rFonts w:cs="Open Sans"/>
        </w:rPr>
        <w:t>,</w:t>
      </w:r>
      <w:r w:rsidRPr="00226B65">
        <w:rPr>
          <w:rFonts w:cs="Open Sans"/>
        </w:rPr>
        <w:t xml:space="preserve"> to facilitate typical male or female sex development.</w:t>
      </w:r>
      <w:r w:rsidRPr="003A439D">
        <w:rPr>
          <w:rFonts w:cs="Open Sans"/>
          <w:sz w:val="20"/>
          <w:szCs w:val="20"/>
          <w:vertAlign w:val="superscript"/>
        </w:rPr>
        <w:endnoteReference w:id="66"/>
      </w:r>
    </w:p>
    <w:p w:rsidRPr="00A807F1" w:rsidR="008C0259" w:rsidP="008C0259" w:rsidRDefault="008C0259" w14:paraId="298F4CBD" w14:textId="77777777">
      <w:pPr>
        <w:rPr>
          <w:rFonts w:cs="Open Sans"/>
        </w:rPr>
      </w:pPr>
      <w:r w:rsidRPr="00A807F1">
        <w:rPr>
          <w:rFonts w:cs="Open Sans"/>
        </w:rPr>
        <w:t>Peer support and advocacy groups who collated lived experience</w:t>
      </w:r>
      <w:r>
        <w:rPr>
          <w:rFonts w:cs="Open Sans"/>
        </w:rPr>
        <w:t>s</w:t>
      </w:r>
      <w:r w:rsidRPr="00A807F1">
        <w:rPr>
          <w:rFonts w:cs="Open Sans"/>
        </w:rPr>
        <w:t xml:space="preserve">, reported that medical photography has </w:t>
      </w:r>
      <w:r>
        <w:rPr>
          <w:rFonts w:cs="Open Sans"/>
        </w:rPr>
        <w:t xml:space="preserve">also </w:t>
      </w:r>
      <w:r w:rsidRPr="00A807F1">
        <w:rPr>
          <w:rFonts w:cs="Open Sans"/>
        </w:rPr>
        <w:t>occurred without informed consent.</w:t>
      </w:r>
      <w:r w:rsidRPr="003A439D">
        <w:rPr>
          <w:rFonts w:cs="Open Sans"/>
          <w:sz w:val="20"/>
          <w:szCs w:val="20"/>
          <w:vertAlign w:val="superscript"/>
        </w:rPr>
        <w:endnoteReference w:id="67"/>
      </w:r>
      <w:r w:rsidRPr="00A807F1">
        <w:rPr>
          <w:rFonts w:cs="Open Sans"/>
        </w:rPr>
        <w:t xml:space="preserve"> </w:t>
      </w:r>
    </w:p>
    <w:p w:rsidR="008C0259" w:rsidP="008C0259" w:rsidRDefault="008C0259" w14:paraId="797FBC5C" w14:textId="77777777">
      <w:pPr>
        <w:rPr>
          <w:rFonts w:cs="Open Sans"/>
        </w:rPr>
      </w:pPr>
      <w:r w:rsidRPr="00A807F1">
        <w:rPr>
          <w:rFonts w:cs="Open Sans"/>
        </w:rPr>
        <w:t xml:space="preserve">Amnesty International </w:t>
      </w:r>
      <w:r>
        <w:rPr>
          <w:rFonts w:cs="Open Sans"/>
        </w:rPr>
        <w:t>reported</w:t>
      </w:r>
      <w:r w:rsidRPr="00A807F1">
        <w:rPr>
          <w:rFonts w:cs="Open Sans"/>
        </w:rPr>
        <w:t xml:space="preserve"> that surgical interventions remain part of current </w:t>
      </w:r>
      <w:r>
        <w:rPr>
          <w:rFonts w:cs="Open Sans"/>
        </w:rPr>
        <w:t xml:space="preserve">medical </w:t>
      </w:r>
      <w:r w:rsidRPr="00A807F1">
        <w:rPr>
          <w:rFonts w:cs="Open Sans"/>
        </w:rPr>
        <w:t xml:space="preserve">practice in Australia. It </w:t>
      </w:r>
      <w:r>
        <w:rPr>
          <w:rFonts w:cs="Open Sans"/>
        </w:rPr>
        <w:t xml:space="preserve">has </w:t>
      </w:r>
      <w:r w:rsidRPr="00A807F1">
        <w:rPr>
          <w:rFonts w:cs="Open Sans"/>
        </w:rPr>
        <w:t>document</w:t>
      </w:r>
      <w:r>
        <w:rPr>
          <w:rFonts w:cs="Open Sans"/>
        </w:rPr>
        <w:t>ed</w:t>
      </w:r>
      <w:r w:rsidRPr="00A807F1">
        <w:rPr>
          <w:rFonts w:cs="Open Sans"/>
        </w:rPr>
        <w:t xml:space="preserve"> </w:t>
      </w:r>
      <w:r>
        <w:rPr>
          <w:rFonts w:cs="Open Sans"/>
        </w:rPr>
        <w:t>the following interventions:</w:t>
      </w:r>
      <w:r w:rsidRPr="00A807F1">
        <w:rPr>
          <w:rFonts w:cs="Open Sans"/>
        </w:rPr>
        <w:t xml:space="preserve"> </w:t>
      </w:r>
    </w:p>
    <w:p w:rsidR="008C0259" w:rsidP="002F7D27" w:rsidRDefault="008C0259" w14:paraId="3469FD20" w14:textId="77777777">
      <w:pPr>
        <w:pStyle w:val="ListParagraph"/>
        <w:numPr>
          <w:ilvl w:val="0"/>
          <w:numId w:val="34"/>
        </w:numPr>
        <w:rPr>
          <w:rFonts w:cs="Open Sans"/>
        </w:rPr>
      </w:pPr>
      <w:r w:rsidRPr="009918F2">
        <w:rPr>
          <w:rFonts w:cs="Open Sans"/>
        </w:rPr>
        <w:t>operation</w:t>
      </w:r>
      <w:r>
        <w:rPr>
          <w:rFonts w:cs="Open Sans"/>
        </w:rPr>
        <w:t>s</w:t>
      </w:r>
      <w:r w:rsidRPr="009918F2">
        <w:rPr>
          <w:rFonts w:cs="Open Sans"/>
        </w:rPr>
        <w:t xml:space="preserve"> to hide an enlarged clitoris, which carr</w:t>
      </w:r>
      <w:r w:rsidRPr="00F451F0">
        <w:rPr>
          <w:rFonts w:cs="Open Sans"/>
        </w:rPr>
        <w:t>ies a risk of nerve damage, scarring and pain</w:t>
      </w:r>
    </w:p>
    <w:p w:rsidR="008C0259" w:rsidP="002F7D27" w:rsidRDefault="008C0259" w14:paraId="61207716" w14:textId="77777777">
      <w:pPr>
        <w:pStyle w:val="ListParagraph"/>
        <w:numPr>
          <w:ilvl w:val="0"/>
          <w:numId w:val="34"/>
        </w:numPr>
        <w:rPr>
          <w:rFonts w:cs="Open Sans"/>
        </w:rPr>
      </w:pPr>
      <w:r w:rsidRPr="009918F2">
        <w:rPr>
          <w:rFonts w:cs="Open Sans"/>
        </w:rPr>
        <w:lastRenderedPageBreak/>
        <w:t>vaginal surgery, or vaginoplasty, which may involve multiple surgeries over time on young children to create or enlarge a vaginal opening</w:t>
      </w:r>
    </w:p>
    <w:p w:rsidR="008C0259" w:rsidP="002F7D27" w:rsidRDefault="008C0259" w14:paraId="35856541" w14:textId="4F959F2A">
      <w:pPr>
        <w:pStyle w:val="ListParagraph"/>
        <w:numPr>
          <w:ilvl w:val="0"/>
          <w:numId w:val="34"/>
        </w:numPr>
        <w:rPr>
          <w:rFonts w:cs="Open Sans"/>
        </w:rPr>
      </w:pPr>
      <w:r w:rsidRPr="009918F2">
        <w:rPr>
          <w:rFonts w:cs="Open Sans"/>
        </w:rPr>
        <w:t>gonadectomies</w:t>
      </w:r>
      <w:r w:rsidR="00171575">
        <w:rPr>
          <w:rFonts w:cs="Open Sans"/>
        </w:rPr>
        <w:t xml:space="preserve"> –</w:t>
      </w:r>
      <w:r w:rsidR="00064EDB">
        <w:rPr>
          <w:rFonts w:cs="Open Sans"/>
        </w:rPr>
        <w:t xml:space="preserve"> </w:t>
      </w:r>
      <w:r w:rsidRPr="009918F2">
        <w:rPr>
          <w:rFonts w:cs="Open Sans"/>
        </w:rPr>
        <w:t xml:space="preserve">the removal of the gonads (including ovarian or testicular </w:t>
      </w:r>
      <w:r w:rsidRPr="00F451F0">
        <w:rPr>
          <w:rFonts w:cs="Open Sans"/>
        </w:rPr>
        <w:t>tissue)</w:t>
      </w:r>
      <w:r w:rsidR="00064EDB">
        <w:rPr>
          <w:rFonts w:cs="Open Sans"/>
        </w:rPr>
        <w:t xml:space="preserve"> – </w:t>
      </w:r>
      <w:r w:rsidRPr="00F451F0">
        <w:rPr>
          <w:rFonts w:cs="Open Sans"/>
        </w:rPr>
        <w:t>which are irreversible and result in a need for lifelong hormone treatment</w:t>
      </w:r>
    </w:p>
    <w:p w:rsidR="008C0259" w:rsidP="002F7D27" w:rsidRDefault="008C0259" w14:paraId="598A356B" w14:textId="35B6E14C">
      <w:pPr>
        <w:pStyle w:val="ListParagraph"/>
        <w:numPr>
          <w:ilvl w:val="0"/>
          <w:numId w:val="34"/>
        </w:numPr>
        <w:rPr>
          <w:rFonts w:cs="Open Sans"/>
        </w:rPr>
      </w:pPr>
      <w:r w:rsidRPr="00F451F0">
        <w:rPr>
          <w:rFonts w:cs="Open Sans"/>
        </w:rPr>
        <w:t>hypospadias operations</w:t>
      </w:r>
      <w:r w:rsidR="00064EDB">
        <w:rPr>
          <w:rFonts w:cs="Open Sans"/>
        </w:rPr>
        <w:t xml:space="preserve"> – </w:t>
      </w:r>
      <w:r w:rsidRPr="00F451F0">
        <w:rPr>
          <w:rFonts w:cs="Open Sans"/>
        </w:rPr>
        <w:t>surgeries to reposition the urethra to the tip of the penis, which is done to create a penis that is considered functionally and cosmetically typical</w:t>
      </w:r>
    </w:p>
    <w:p w:rsidRPr="009918F2" w:rsidR="008C0259" w:rsidP="002F7D27" w:rsidRDefault="008C0259" w14:paraId="26303CAA" w14:textId="77777777">
      <w:pPr>
        <w:pStyle w:val="ListParagraph"/>
        <w:numPr>
          <w:ilvl w:val="0"/>
          <w:numId w:val="34"/>
        </w:numPr>
        <w:rPr>
          <w:rFonts w:cs="Open Sans"/>
        </w:rPr>
      </w:pPr>
      <w:r w:rsidRPr="00F451F0">
        <w:rPr>
          <w:rFonts w:cs="Open Sans"/>
        </w:rPr>
        <w:t xml:space="preserve">hormone treatment, which includes </w:t>
      </w:r>
      <w:r>
        <w:rPr>
          <w:rFonts w:cs="Open Sans"/>
        </w:rPr>
        <w:t>h</w:t>
      </w:r>
      <w:r w:rsidRPr="00F451F0">
        <w:rPr>
          <w:rFonts w:cs="Open Sans"/>
        </w:rPr>
        <w:t xml:space="preserve">ormone </w:t>
      </w:r>
      <w:r>
        <w:rPr>
          <w:rFonts w:cs="Open Sans"/>
        </w:rPr>
        <w:t>r</w:t>
      </w:r>
      <w:r w:rsidRPr="00F451F0">
        <w:rPr>
          <w:rFonts w:cs="Open Sans"/>
        </w:rPr>
        <w:t xml:space="preserve">eplacement </w:t>
      </w:r>
      <w:r>
        <w:rPr>
          <w:rFonts w:cs="Open Sans"/>
        </w:rPr>
        <w:t>t</w:t>
      </w:r>
      <w:r w:rsidRPr="00F451F0">
        <w:rPr>
          <w:rFonts w:cs="Open Sans"/>
        </w:rPr>
        <w:t>herapy (HRT), induction of puberty when hypogonadism (diminished gonad activity) is present and</w:t>
      </w:r>
      <w:r>
        <w:rPr>
          <w:rFonts w:cs="Open Sans"/>
        </w:rPr>
        <w:t>,</w:t>
      </w:r>
      <w:r w:rsidRPr="00F451F0">
        <w:rPr>
          <w:rFonts w:cs="Open Sans"/>
        </w:rPr>
        <w:t xml:space="preserve"> in certain cases, suppression of puberty.</w:t>
      </w:r>
      <w:r w:rsidRPr="00977732">
        <w:rPr>
          <w:sz w:val="20"/>
          <w:szCs w:val="20"/>
          <w:vertAlign w:val="superscript"/>
        </w:rPr>
        <w:endnoteReference w:id="68"/>
      </w:r>
    </w:p>
    <w:p w:rsidRPr="00A807F1" w:rsidR="008C0259" w:rsidP="008C0259" w:rsidRDefault="008C0259" w14:paraId="239403BA" w14:textId="498896D6">
      <w:pPr>
        <w:rPr>
          <w:rFonts w:cs="Open Sans"/>
          <w:i/>
          <w:iCs/>
        </w:rPr>
      </w:pPr>
      <w:r>
        <w:rPr>
          <w:rFonts w:cs="Open Sans"/>
        </w:rPr>
        <w:t>C</w:t>
      </w:r>
      <w:r w:rsidRPr="00A807F1">
        <w:rPr>
          <w:rFonts w:cs="Open Sans"/>
        </w:rPr>
        <w:t xml:space="preserve">linicians </w:t>
      </w:r>
      <w:r>
        <w:rPr>
          <w:rFonts w:cs="Open Sans"/>
        </w:rPr>
        <w:t xml:space="preserve">observed </w:t>
      </w:r>
      <w:r w:rsidRPr="00A807F1">
        <w:rPr>
          <w:rFonts w:cs="Open Sans"/>
        </w:rPr>
        <w:t xml:space="preserve">that evolving knowledge has led to treatments </w:t>
      </w:r>
      <w:r>
        <w:rPr>
          <w:rFonts w:cs="Open Sans"/>
        </w:rPr>
        <w:t xml:space="preserve">that are less invasive than in previous times, and </w:t>
      </w:r>
      <w:r w:rsidRPr="00A807F1">
        <w:rPr>
          <w:rFonts w:cs="Open Sans"/>
        </w:rPr>
        <w:t>clinicians being less inclined to view surgical intervention as the presumed course of action</w:t>
      </w:r>
      <w:r>
        <w:rPr>
          <w:rFonts w:cs="Open Sans"/>
        </w:rPr>
        <w:t>.</w:t>
      </w:r>
      <w:r w:rsidRPr="00977732">
        <w:rPr>
          <w:rFonts w:cs="Open Sans"/>
          <w:sz w:val="20"/>
          <w:szCs w:val="20"/>
          <w:vertAlign w:val="superscript"/>
        </w:rPr>
        <w:endnoteReference w:id="69"/>
      </w:r>
      <w:r>
        <w:rPr>
          <w:rFonts w:cs="Open Sans"/>
        </w:rPr>
        <w:t xml:space="preserve"> S</w:t>
      </w:r>
      <w:r w:rsidRPr="00A807F1">
        <w:rPr>
          <w:rFonts w:cs="Open Sans"/>
        </w:rPr>
        <w:t>ome clinicians compared this</w:t>
      </w:r>
      <w:r>
        <w:rPr>
          <w:rFonts w:cs="Open Sans"/>
        </w:rPr>
        <w:t xml:space="preserve"> trend</w:t>
      </w:r>
      <w:r w:rsidRPr="00A807F1">
        <w:rPr>
          <w:rFonts w:cs="Open Sans"/>
        </w:rPr>
        <w:t xml:space="preserve"> to </w:t>
      </w:r>
      <w:r>
        <w:rPr>
          <w:rFonts w:cs="Open Sans"/>
        </w:rPr>
        <w:t xml:space="preserve">a </w:t>
      </w:r>
      <w:r w:rsidRPr="00A807F1">
        <w:rPr>
          <w:rFonts w:cs="Open Sans"/>
        </w:rPr>
        <w:t>contemporary trend away from routine performance of male infant circumcision.</w:t>
      </w:r>
      <w:r w:rsidRPr="00FE6243">
        <w:rPr>
          <w:rFonts w:cs="Open Sans"/>
          <w:sz w:val="20"/>
          <w:szCs w:val="20"/>
          <w:vertAlign w:val="superscript"/>
        </w:rPr>
        <w:endnoteReference w:id="70"/>
      </w:r>
      <w:r w:rsidRPr="00A807F1">
        <w:rPr>
          <w:rFonts w:cs="Open Sans"/>
        </w:rPr>
        <w:t xml:space="preserve"> </w:t>
      </w:r>
    </w:p>
    <w:p w:rsidRPr="00A807F1" w:rsidR="008C0259" w:rsidP="008C0259" w:rsidRDefault="008C0259" w14:paraId="005FB25E" w14:textId="77777777">
      <w:pPr>
        <w:rPr>
          <w:rFonts w:cs="Open Sans"/>
        </w:rPr>
      </w:pPr>
      <w:r w:rsidRPr="00A807F1">
        <w:rPr>
          <w:rFonts w:cs="Open Sans"/>
        </w:rPr>
        <w:t>Clinicians stated that the following interventions continue to occur</w:t>
      </w:r>
      <w:r>
        <w:rPr>
          <w:rFonts w:cs="Open Sans"/>
        </w:rPr>
        <w:t>:</w:t>
      </w:r>
      <w:r w:rsidRPr="00A807F1">
        <w:rPr>
          <w:rFonts w:cs="Open Sans"/>
        </w:rPr>
        <w:t xml:space="preserve"> hypospadias surgery;</w:t>
      </w:r>
      <w:r w:rsidRPr="00FE6243">
        <w:rPr>
          <w:rFonts w:cs="Open Sans"/>
          <w:sz w:val="20"/>
          <w:szCs w:val="20"/>
          <w:vertAlign w:val="superscript"/>
        </w:rPr>
        <w:endnoteReference w:id="71"/>
      </w:r>
      <w:r w:rsidRPr="00A807F1">
        <w:rPr>
          <w:rFonts w:cs="Open Sans"/>
        </w:rPr>
        <w:t xml:space="preserve"> gonadectomies;</w:t>
      </w:r>
      <w:r w:rsidRPr="00FE6243">
        <w:rPr>
          <w:rFonts w:cs="Open Sans"/>
          <w:sz w:val="20"/>
          <w:szCs w:val="20"/>
          <w:vertAlign w:val="superscript"/>
        </w:rPr>
        <w:endnoteReference w:id="72"/>
      </w:r>
      <w:r w:rsidRPr="00A807F1">
        <w:rPr>
          <w:rFonts w:cs="Open Sans"/>
        </w:rPr>
        <w:t xml:space="preserve"> clitoral recession;</w:t>
      </w:r>
      <w:r w:rsidRPr="00FE6243">
        <w:rPr>
          <w:rFonts w:cs="Open Sans"/>
          <w:sz w:val="20"/>
          <w:szCs w:val="20"/>
          <w:vertAlign w:val="superscript"/>
        </w:rPr>
        <w:endnoteReference w:id="73"/>
      </w:r>
      <w:r w:rsidRPr="00A807F1">
        <w:rPr>
          <w:rFonts w:cs="Open Sans"/>
        </w:rPr>
        <w:t xml:space="preserve"> and hormone treatment. Clinician</w:t>
      </w:r>
      <w:r>
        <w:rPr>
          <w:rFonts w:cs="Open Sans"/>
        </w:rPr>
        <w:t>s</w:t>
      </w:r>
      <w:r w:rsidRPr="00A807F1">
        <w:rPr>
          <w:rFonts w:cs="Open Sans"/>
        </w:rPr>
        <w:t xml:space="preserve"> </w:t>
      </w:r>
      <w:r>
        <w:rPr>
          <w:rFonts w:cs="Open Sans"/>
        </w:rPr>
        <w:t>described the circumstances in which</w:t>
      </w:r>
      <w:r w:rsidRPr="00A807F1">
        <w:rPr>
          <w:rFonts w:cs="Open Sans"/>
        </w:rPr>
        <w:t xml:space="preserve"> hormone treatment </w:t>
      </w:r>
      <w:r>
        <w:rPr>
          <w:rFonts w:cs="Open Sans"/>
        </w:rPr>
        <w:t>occurs. This</w:t>
      </w:r>
      <w:r w:rsidRPr="00A807F1">
        <w:rPr>
          <w:rFonts w:cs="Open Sans"/>
        </w:rPr>
        <w:t xml:space="preserve"> includes HRT, induction of puberty when hypogonadism (diminished gonad activity) is present and, in certain cases, suppression of puberty. Individuals for whom hormonal treatment is prescribed include individuals born with variations in which sufficient hormones are not produced, or are not sufficiently responded to, in a way that supports ‘typical’ development of sex characteristics.</w:t>
      </w:r>
      <w:r w:rsidRPr="006A2EC3">
        <w:rPr>
          <w:rFonts w:cs="Open Sans"/>
          <w:sz w:val="20"/>
          <w:szCs w:val="20"/>
          <w:vertAlign w:val="superscript"/>
        </w:rPr>
        <w:endnoteReference w:id="74"/>
      </w:r>
      <w:r w:rsidRPr="00A807F1">
        <w:rPr>
          <w:rFonts w:cs="Open Sans"/>
        </w:rPr>
        <w:t xml:space="preserve"> Clinician</w:t>
      </w:r>
      <w:r>
        <w:rPr>
          <w:rFonts w:cs="Open Sans"/>
        </w:rPr>
        <w:t>s</w:t>
      </w:r>
      <w:r w:rsidRPr="00A807F1">
        <w:rPr>
          <w:rFonts w:cs="Open Sans"/>
        </w:rPr>
        <w:t xml:space="preserve"> advised that the possibility of gender fluidity</w:t>
      </w:r>
      <w:r>
        <w:rPr>
          <w:rFonts w:cs="Open Sans"/>
        </w:rPr>
        <w:t xml:space="preserve"> or </w:t>
      </w:r>
      <w:r w:rsidRPr="00A807F1">
        <w:rPr>
          <w:rFonts w:cs="Open Sans"/>
        </w:rPr>
        <w:t>diversity</w:t>
      </w:r>
      <w:r>
        <w:rPr>
          <w:rFonts w:cs="Open Sans"/>
        </w:rPr>
        <w:t>,</w:t>
      </w:r>
      <w:r w:rsidRPr="00A807F1">
        <w:rPr>
          <w:rFonts w:cs="Open Sans"/>
        </w:rPr>
        <w:t xml:space="preserve"> and the development of gender dysphoria, are taken into account before hormone therapy is commenced.</w:t>
      </w:r>
      <w:r w:rsidRPr="00891008">
        <w:rPr>
          <w:rFonts w:cs="Open Sans"/>
          <w:sz w:val="20"/>
          <w:szCs w:val="20"/>
          <w:vertAlign w:val="superscript"/>
        </w:rPr>
        <w:endnoteReference w:id="75"/>
      </w:r>
    </w:p>
    <w:p w:rsidRPr="00A807F1" w:rsidR="008C0259" w:rsidP="008C0259" w:rsidRDefault="008C0259" w14:paraId="724A71AC" w14:textId="77777777">
      <w:pPr>
        <w:rPr>
          <w:rFonts w:cs="Open Sans"/>
        </w:rPr>
      </w:pPr>
      <w:r w:rsidRPr="00A807F1">
        <w:rPr>
          <w:rFonts w:cs="Open Sans"/>
        </w:rPr>
        <w:t xml:space="preserve">More specifically, clinicians told </w:t>
      </w:r>
      <w:r>
        <w:rPr>
          <w:rFonts w:cs="Open Sans"/>
        </w:rPr>
        <w:t>the</w:t>
      </w:r>
      <w:r w:rsidRPr="00A807F1">
        <w:rPr>
          <w:rFonts w:cs="Open Sans"/>
        </w:rPr>
        <w:t xml:space="preserve"> Commission that treatments provided to individuals with a diagnosed X and Y chromosome variation can include the administration of early testosterone boosters in </w:t>
      </w:r>
      <w:r w:rsidRPr="00755949">
        <w:rPr>
          <w:rFonts w:cs="Open Sans"/>
        </w:rPr>
        <w:t>infants. Clinicians stated that hormones may be administered when pubertal age approaches, and to stimulate onset of puberty and hormonal treatment in adults.</w:t>
      </w:r>
      <w:r w:rsidRPr="00755949">
        <w:rPr>
          <w:rFonts w:cs="Open Sans"/>
          <w:sz w:val="20"/>
          <w:szCs w:val="20"/>
          <w:vertAlign w:val="superscript"/>
        </w:rPr>
        <w:endnoteReference w:id="76"/>
      </w:r>
    </w:p>
    <w:p w:rsidR="008C0259" w:rsidP="008C0259" w:rsidRDefault="008C0259" w14:paraId="2CF7D62A" w14:textId="77777777">
      <w:pPr>
        <w:rPr>
          <w:rFonts w:cs="Open Sans"/>
        </w:rPr>
      </w:pPr>
      <w:r>
        <w:rPr>
          <w:rFonts w:cs="Open Sans"/>
        </w:rPr>
        <w:lastRenderedPageBreak/>
        <w:t xml:space="preserve">The </w:t>
      </w:r>
      <w:r w:rsidRPr="005C248C">
        <w:rPr>
          <w:rFonts w:cs="Open Sans"/>
        </w:rPr>
        <w:t xml:space="preserve">Australasian Paediatric Endocrine Group </w:t>
      </w:r>
      <w:r>
        <w:rPr>
          <w:rFonts w:cs="Open Sans"/>
        </w:rPr>
        <w:t xml:space="preserve">(APEG) </w:t>
      </w:r>
      <w:r w:rsidRPr="00A807F1">
        <w:rPr>
          <w:rFonts w:cs="Open Sans"/>
        </w:rPr>
        <w:t>stated that the harmfulness of practices</w:t>
      </w:r>
      <w:r>
        <w:rPr>
          <w:rFonts w:cs="Open Sans"/>
        </w:rPr>
        <w:t>,</w:t>
      </w:r>
      <w:r w:rsidRPr="00A807F1">
        <w:rPr>
          <w:rFonts w:cs="Open Sans"/>
        </w:rPr>
        <w:t xml:space="preserve"> including unauthorised photography and examination by multiple people, is now well known and </w:t>
      </w:r>
      <w:r>
        <w:rPr>
          <w:rFonts w:cs="Open Sans"/>
        </w:rPr>
        <w:t xml:space="preserve">these practices are </w:t>
      </w:r>
      <w:r w:rsidRPr="00A807F1">
        <w:rPr>
          <w:rFonts w:cs="Open Sans"/>
        </w:rPr>
        <w:t xml:space="preserve">no longer </w:t>
      </w:r>
      <w:r>
        <w:rPr>
          <w:rFonts w:cs="Open Sans"/>
        </w:rPr>
        <w:t>considered acceptable</w:t>
      </w:r>
      <w:r w:rsidRPr="00A807F1">
        <w:rPr>
          <w:rFonts w:cs="Open Sans"/>
        </w:rPr>
        <w:t xml:space="preserve">. </w:t>
      </w:r>
      <w:r>
        <w:rPr>
          <w:rFonts w:cs="Open Sans"/>
        </w:rPr>
        <w:t>H</w:t>
      </w:r>
      <w:r w:rsidRPr="00A807F1">
        <w:rPr>
          <w:rFonts w:cs="Open Sans"/>
        </w:rPr>
        <w:t xml:space="preserve">owever, </w:t>
      </w:r>
      <w:r>
        <w:rPr>
          <w:rFonts w:cs="Open Sans"/>
        </w:rPr>
        <w:t>APEG noted that</w:t>
      </w:r>
      <w:r w:rsidRPr="00A807F1">
        <w:rPr>
          <w:rFonts w:cs="Open Sans"/>
        </w:rPr>
        <w:t xml:space="preserve"> photography </w:t>
      </w:r>
      <w:r>
        <w:rPr>
          <w:rFonts w:cs="Open Sans"/>
        </w:rPr>
        <w:t xml:space="preserve">can have value </w:t>
      </w:r>
      <w:r w:rsidRPr="00A807F1">
        <w:rPr>
          <w:rFonts w:cs="Open Sans"/>
        </w:rPr>
        <w:t xml:space="preserve">in minimising </w:t>
      </w:r>
      <w:r>
        <w:rPr>
          <w:rFonts w:cs="Open Sans"/>
        </w:rPr>
        <w:t xml:space="preserve">the </w:t>
      </w:r>
      <w:r w:rsidRPr="00A807F1">
        <w:rPr>
          <w:rFonts w:cs="Open Sans"/>
        </w:rPr>
        <w:t xml:space="preserve">need for physical examination by multiple clinicians, and promoting useful, informed discussion </w:t>
      </w:r>
      <w:r>
        <w:rPr>
          <w:rFonts w:cs="Open Sans"/>
        </w:rPr>
        <w:t>of</w:t>
      </w:r>
      <w:r w:rsidRPr="00A807F1">
        <w:rPr>
          <w:rFonts w:cs="Open Sans"/>
        </w:rPr>
        <w:t xml:space="preserve"> treatment plans.</w:t>
      </w:r>
      <w:r w:rsidRPr="00C759F4">
        <w:rPr>
          <w:rFonts w:cs="Open Sans"/>
          <w:sz w:val="20"/>
          <w:szCs w:val="20"/>
          <w:vertAlign w:val="superscript"/>
        </w:rPr>
        <w:endnoteReference w:id="77"/>
      </w:r>
      <w:r w:rsidRPr="00A807F1">
        <w:rPr>
          <w:rFonts w:cs="Open Sans"/>
        </w:rPr>
        <w:t xml:space="preserve"> The </w:t>
      </w:r>
      <w:r>
        <w:rPr>
          <w:rFonts w:cs="Open Sans"/>
        </w:rPr>
        <w:t>2006</w:t>
      </w:r>
      <w:r w:rsidRPr="00A807F1">
        <w:rPr>
          <w:rFonts w:cs="Open Sans"/>
        </w:rPr>
        <w:t xml:space="preserve"> Consensus Statement </w:t>
      </w:r>
      <w:r>
        <w:rPr>
          <w:rFonts w:cs="Open Sans"/>
        </w:rPr>
        <w:t xml:space="preserve">acknowledges that photography can be ‘deeply shaming’, but also </w:t>
      </w:r>
      <w:r w:rsidRPr="00A807F1">
        <w:rPr>
          <w:rFonts w:cs="Open Sans"/>
        </w:rPr>
        <w:t>notes the value of photographs in record keeping, and recommends photography under anaesthetic for certain groups of patients, including adolescents.</w:t>
      </w:r>
      <w:r w:rsidRPr="00A21B5B">
        <w:rPr>
          <w:rStyle w:val="EndnoteReference"/>
          <w:rFonts w:cs="Open Sans"/>
          <w:szCs w:val="20"/>
        </w:rPr>
        <w:endnoteReference w:id="78"/>
      </w:r>
    </w:p>
    <w:p w:rsidR="008C0259" w:rsidP="005C1F23" w:rsidRDefault="008C0259" w14:paraId="3ADFC2BA" w14:textId="77777777">
      <w:pPr>
        <w:pStyle w:val="AHRCHeading2"/>
      </w:pPr>
      <w:bookmarkStart w:name="_Toc79509641" w:id="111"/>
      <w:bookmarkStart w:name="_Toc85541399" w:id="112"/>
      <w:r>
        <w:t>Impacts of medical interventions</w:t>
      </w:r>
      <w:bookmarkEnd w:id="111"/>
      <w:bookmarkEnd w:id="112"/>
    </w:p>
    <w:p w:rsidRPr="00372C38" w:rsidR="008C0259" w:rsidP="008C0259" w:rsidRDefault="008C0259" w14:paraId="353E3FA0" w14:textId="77777777">
      <w:pPr>
        <w:rPr>
          <w:rFonts w:cs="Open Sans"/>
        </w:rPr>
      </w:pPr>
      <w:r>
        <w:rPr>
          <w:rFonts w:cs="Open Sans"/>
        </w:rPr>
        <w:t xml:space="preserve">Seventeen people who had been subject to medical interventions as infants, in adolescence and adulthood, shared their experiences. Additionally, the Commission received </w:t>
      </w:r>
      <w:r w:rsidRPr="0079254C">
        <w:rPr>
          <w:rFonts w:cs="Open Sans"/>
        </w:rPr>
        <w:t xml:space="preserve">four submissions from </w:t>
      </w:r>
      <w:r>
        <w:rPr>
          <w:rFonts w:cs="Open Sans"/>
        </w:rPr>
        <w:t>peer-</w:t>
      </w:r>
      <w:r w:rsidRPr="0079254C">
        <w:rPr>
          <w:rFonts w:cs="Open Sans"/>
        </w:rPr>
        <w:t>support groups which collated the experience of their members.</w:t>
      </w:r>
      <w:r>
        <w:rPr>
          <w:rFonts w:cs="Open Sans"/>
        </w:rPr>
        <w:t xml:space="preserve"> Some of these interventions occurred many years ago and some occurred comparatively recently, though not all participants disclosed the exact timing of their experiences. </w:t>
      </w:r>
    </w:p>
    <w:p w:rsidR="008C0259" w:rsidP="008C0259" w:rsidRDefault="008C0259" w14:paraId="301B9FBD" w14:textId="77777777">
      <w:pPr>
        <w:rPr>
          <w:rFonts w:cs="Open Sans"/>
        </w:rPr>
      </w:pPr>
      <w:r>
        <w:rPr>
          <w:rFonts w:cs="Open Sans"/>
        </w:rPr>
        <w:t>These p</w:t>
      </w:r>
      <w:r w:rsidRPr="00372C38">
        <w:rPr>
          <w:rFonts w:cs="Open Sans"/>
        </w:rPr>
        <w:t xml:space="preserve">eople </w:t>
      </w:r>
      <w:r>
        <w:rPr>
          <w:rFonts w:cs="Open Sans"/>
        </w:rPr>
        <w:t xml:space="preserve">described </w:t>
      </w:r>
      <w:r w:rsidRPr="00372C38">
        <w:rPr>
          <w:rFonts w:cs="Open Sans"/>
        </w:rPr>
        <w:t xml:space="preserve">their experiences resulting from societal attitudes, the medical interventions performed on them, and their interactions with medical professionals. </w:t>
      </w:r>
      <w:r>
        <w:rPr>
          <w:rFonts w:cs="Open Sans"/>
        </w:rPr>
        <w:t>These experiences</w:t>
      </w:r>
      <w:r w:rsidRPr="00372C38">
        <w:rPr>
          <w:rFonts w:cs="Open Sans"/>
        </w:rPr>
        <w:t xml:space="preserve"> have had profound effects</w:t>
      </w:r>
      <w:r>
        <w:rPr>
          <w:rFonts w:cs="Open Sans"/>
        </w:rPr>
        <w:t xml:space="preserve">. </w:t>
      </w:r>
    </w:p>
    <w:p w:rsidRPr="006B32E3" w:rsidR="008C0259" w:rsidP="008C0259" w:rsidRDefault="008C0259" w14:paraId="2ECBDB7F" w14:textId="77777777">
      <w:pPr>
        <w:pStyle w:val="Heading3"/>
      </w:pPr>
      <w:bookmarkStart w:name="_Toc79509642" w:id="113"/>
      <w:bookmarkStart w:name="_Toc85541400" w:id="114"/>
      <w:r w:rsidRPr="006B32E3">
        <w:t>Physical consequences</w:t>
      </w:r>
      <w:bookmarkEnd w:id="113"/>
      <w:bookmarkEnd w:id="114"/>
    </w:p>
    <w:p w:rsidR="008C0259" w:rsidP="008C0259" w:rsidRDefault="008C0259" w14:paraId="5DB055B3" w14:textId="77777777">
      <w:pPr>
        <w:rPr>
          <w:rFonts w:cs="Open Sans"/>
        </w:rPr>
      </w:pPr>
      <w:r>
        <w:rPr>
          <w:rFonts w:cs="Open Sans"/>
        </w:rPr>
        <w:t xml:space="preserve">Those who had experienced medical interventions reported a variety of immediate and long-term consequences for their physical health. </w:t>
      </w:r>
    </w:p>
    <w:p w:rsidRPr="00D831A0" w:rsidR="008C0259" w:rsidP="008C0259" w:rsidRDefault="008C0259" w14:paraId="50D4A791" w14:textId="540F7361">
      <w:pPr>
        <w:rPr>
          <w:rFonts w:cs="Open Sans"/>
        </w:rPr>
      </w:pPr>
      <w:r w:rsidRPr="00372C38">
        <w:rPr>
          <w:rFonts w:cs="Open Sans"/>
        </w:rPr>
        <w:t>Some reported that early treatment</w:t>
      </w:r>
      <w:r>
        <w:rPr>
          <w:rFonts w:cs="Open Sans"/>
        </w:rPr>
        <w:t xml:space="preserve"> without personal informed consent</w:t>
      </w:r>
      <w:r w:rsidRPr="00372C38">
        <w:rPr>
          <w:rFonts w:cs="Open Sans"/>
        </w:rPr>
        <w:t xml:space="preserve"> necessitated future treatment and procedures throughout their lives (eg</w:t>
      </w:r>
      <w:r>
        <w:rPr>
          <w:rFonts w:cs="Open Sans"/>
        </w:rPr>
        <w:t>,</w:t>
      </w:r>
      <w:r w:rsidRPr="00372C38">
        <w:rPr>
          <w:rFonts w:cs="Open Sans"/>
        </w:rPr>
        <w:t xml:space="preserve"> </w:t>
      </w:r>
      <w:r>
        <w:rPr>
          <w:rFonts w:cs="Open Sans"/>
        </w:rPr>
        <w:t xml:space="preserve">repeated surgical </w:t>
      </w:r>
      <w:r w:rsidR="00446BD2">
        <w:rPr>
          <w:rFonts w:cs="Open Sans"/>
        </w:rPr>
        <w:t>interventions</w:t>
      </w:r>
      <w:r w:rsidRPr="00372C38">
        <w:rPr>
          <w:rFonts w:cs="Open Sans"/>
        </w:rPr>
        <w:t>).</w:t>
      </w:r>
      <w:r w:rsidRPr="006330B2">
        <w:rPr>
          <w:rStyle w:val="EndnoteReference"/>
          <w:rFonts w:cs="Open Sans"/>
          <w:szCs w:val="20"/>
        </w:rPr>
        <w:endnoteReference w:id="79"/>
      </w:r>
      <w:r w:rsidRPr="00372C38">
        <w:rPr>
          <w:rFonts w:cs="Open Sans"/>
        </w:rPr>
        <w:t xml:space="preserve"> Others reported physical scarring from interventions.</w:t>
      </w:r>
      <w:r w:rsidRPr="006330B2">
        <w:rPr>
          <w:rStyle w:val="EndnoteReference"/>
          <w:rFonts w:cs="Open Sans"/>
          <w:szCs w:val="20"/>
        </w:rPr>
        <w:endnoteReference w:id="80"/>
      </w:r>
      <w:r w:rsidRPr="00372C38">
        <w:rPr>
          <w:rFonts w:cs="Open Sans"/>
        </w:rPr>
        <w:t xml:space="preserve"> One individual </w:t>
      </w:r>
      <w:r>
        <w:rPr>
          <w:rFonts w:cs="Open Sans"/>
        </w:rPr>
        <w:t>was administered</w:t>
      </w:r>
      <w:r w:rsidRPr="00372C38">
        <w:rPr>
          <w:rFonts w:cs="Open Sans"/>
        </w:rPr>
        <w:t xml:space="preserve"> vaginal dilation</w:t>
      </w:r>
      <w:r>
        <w:rPr>
          <w:rFonts w:cs="Open Sans"/>
        </w:rPr>
        <w:t xml:space="preserve"> from the age of </w:t>
      </w:r>
      <w:r w:rsidRPr="00372C38">
        <w:rPr>
          <w:rFonts w:cs="Open Sans"/>
        </w:rPr>
        <w:t xml:space="preserve">13 years, </w:t>
      </w:r>
      <w:r>
        <w:rPr>
          <w:rFonts w:cs="Open Sans"/>
        </w:rPr>
        <w:t xml:space="preserve">and described the experience </w:t>
      </w:r>
      <w:r w:rsidRPr="006816DC">
        <w:rPr>
          <w:rFonts w:cs="Open Sans"/>
        </w:rPr>
        <w:t xml:space="preserve">as </w:t>
      </w:r>
      <w:r>
        <w:rPr>
          <w:rFonts w:cs="Open Sans"/>
        </w:rPr>
        <w:t>a ‘</w:t>
      </w:r>
      <w:r w:rsidRPr="006816DC">
        <w:rPr>
          <w:rFonts w:cs="Open Sans"/>
        </w:rPr>
        <w:t xml:space="preserve">painful, bloody and completely </w:t>
      </w:r>
      <w:r w:rsidRPr="006816DC">
        <w:rPr>
          <w:rFonts w:cs="Open Sans"/>
        </w:rPr>
        <w:lastRenderedPageBreak/>
        <w:t>unsupervised practice aimed at allowing me to successfully accommodate a future fictitious husband and hence make me a more normal female</w:t>
      </w:r>
      <w:r>
        <w:rPr>
          <w:rFonts w:cs="Open Sans"/>
        </w:rPr>
        <w:t>’</w:t>
      </w:r>
      <w:r w:rsidRPr="00D831A0">
        <w:rPr>
          <w:rFonts w:cs="Open Sans"/>
        </w:rPr>
        <w:t>.</w:t>
      </w:r>
      <w:r w:rsidRPr="00BB5BC8">
        <w:rPr>
          <w:rStyle w:val="EndnoteReference"/>
          <w:rFonts w:cs="Open Sans"/>
          <w:szCs w:val="20"/>
        </w:rPr>
        <w:endnoteReference w:id="81"/>
      </w:r>
    </w:p>
    <w:p w:rsidR="008C0259" w:rsidP="008C0259" w:rsidRDefault="008C0259" w14:paraId="092D42F7" w14:textId="77777777">
      <w:pPr>
        <w:rPr>
          <w:rFonts w:cs="Open Sans"/>
        </w:rPr>
      </w:pPr>
      <w:r w:rsidRPr="00372C38">
        <w:rPr>
          <w:rFonts w:cs="Open Sans"/>
        </w:rPr>
        <w:t>Other physical consequences related to loss of fertility from interventions</w:t>
      </w:r>
      <w:r>
        <w:rPr>
          <w:rFonts w:cs="Open Sans"/>
        </w:rPr>
        <w:t>,</w:t>
      </w:r>
      <w:r w:rsidRPr="00BB5BC8">
        <w:rPr>
          <w:rStyle w:val="EndnoteReference"/>
          <w:rFonts w:cs="Open Sans"/>
          <w:szCs w:val="20"/>
        </w:rPr>
        <w:endnoteReference w:id="82"/>
      </w:r>
      <w:r w:rsidRPr="00372C38">
        <w:rPr>
          <w:rFonts w:cs="Open Sans"/>
        </w:rPr>
        <w:t xml:space="preserve"> and urinary tract issues, including incontinence, arising from interventions</w:t>
      </w:r>
      <w:r>
        <w:rPr>
          <w:rFonts w:cs="Open Sans"/>
        </w:rPr>
        <w:t>.</w:t>
      </w:r>
      <w:r w:rsidRPr="00BB5BC8">
        <w:rPr>
          <w:rStyle w:val="EndnoteReference"/>
          <w:rFonts w:cs="Open Sans"/>
          <w:szCs w:val="20"/>
        </w:rPr>
        <w:endnoteReference w:id="83"/>
      </w:r>
      <w:r w:rsidRPr="00372C38">
        <w:rPr>
          <w:rFonts w:cs="Open Sans"/>
        </w:rPr>
        <w:t xml:space="preserve"> </w:t>
      </w:r>
      <w:r>
        <w:rPr>
          <w:rFonts w:cs="Open Sans"/>
        </w:rPr>
        <w:t>S</w:t>
      </w:r>
      <w:r w:rsidRPr="00372C38">
        <w:rPr>
          <w:rFonts w:cs="Open Sans"/>
        </w:rPr>
        <w:t xml:space="preserve">ome </w:t>
      </w:r>
      <w:r>
        <w:rPr>
          <w:rFonts w:cs="Open Sans"/>
        </w:rPr>
        <w:t xml:space="preserve">people </w:t>
      </w:r>
      <w:r w:rsidRPr="00372C38">
        <w:rPr>
          <w:rFonts w:cs="Open Sans"/>
        </w:rPr>
        <w:t>reported loss or diminution of sexual function, sensitivity and/or capacity to experience sexual pleasure.</w:t>
      </w:r>
      <w:r w:rsidRPr="00BB5BC8">
        <w:rPr>
          <w:rStyle w:val="EndnoteReference"/>
          <w:rFonts w:cs="Open Sans"/>
          <w:szCs w:val="20"/>
        </w:rPr>
        <w:endnoteReference w:id="84"/>
      </w:r>
    </w:p>
    <w:p w:rsidRPr="00372C38" w:rsidR="008C0259" w:rsidP="008C0259" w:rsidRDefault="008C0259" w14:paraId="286EB6AE" w14:textId="77777777">
      <w:pPr>
        <w:rPr>
          <w:rFonts w:cs="Open Sans"/>
        </w:rPr>
      </w:pPr>
      <w:bookmarkStart w:name="_Toc57272734" w:id="116"/>
      <w:bookmarkEnd w:id="116"/>
      <w:r>
        <w:rPr>
          <w:rFonts w:cs="Open Sans"/>
        </w:rPr>
        <w:t>One person</w:t>
      </w:r>
      <w:r w:rsidRPr="00301076">
        <w:rPr>
          <w:rFonts w:cs="Open Sans"/>
        </w:rPr>
        <w:t xml:space="preserve"> receiving </w:t>
      </w:r>
      <w:r w:rsidRPr="00827D18">
        <w:rPr>
          <w:rFonts w:cs="Open Sans"/>
        </w:rPr>
        <w:t xml:space="preserve">hormone treatment reported big swings in mood and behaviour affecting their day-to-day </w:t>
      </w:r>
      <w:r>
        <w:rPr>
          <w:rFonts w:cs="Open Sans"/>
        </w:rPr>
        <w:t>life</w:t>
      </w:r>
      <w:r w:rsidRPr="00827D18">
        <w:rPr>
          <w:rFonts w:cs="Open Sans"/>
        </w:rPr>
        <w:t xml:space="preserve">. </w:t>
      </w:r>
      <w:r>
        <w:rPr>
          <w:rFonts w:cs="Open Sans"/>
        </w:rPr>
        <w:t>They</w:t>
      </w:r>
      <w:r w:rsidRPr="00827D18">
        <w:rPr>
          <w:rFonts w:cs="Open Sans"/>
        </w:rPr>
        <w:t xml:space="preserve"> noted the apparent lack of understand</w:t>
      </w:r>
      <w:r w:rsidRPr="00AC4FD2">
        <w:rPr>
          <w:rFonts w:cs="Open Sans"/>
        </w:rPr>
        <w:t>ing or empathy of these impacts from their prescribing practitioners.</w:t>
      </w:r>
      <w:r w:rsidRPr="00E52F37">
        <w:rPr>
          <w:rStyle w:val="EndnoteReference"/>
          <w:rFonts w:cs="Open Sans"/>
          <w:szCs w:val="20"/>
        </w:rPr>
        <w:endnoteReference w:id="85"/>
      </w:r>
      <w:r w:rsidRPr="00E52F37">
        <w:rPr>
          <w:rFonts w:cs="Open Sans"/>
          <w:sz w:val="20"/>
          <w:szCs w:val="20"/>
        </w:rPr>
        <w:t xml:space="preserve"> </w:t>
      </w:r>
      <w:r>
        <w:rPr>
          <w:rFonts w:cs="Open Sans"/>
        </w:rPr>
        <w:t>In describing the severe effects on their body, the individual stated:</w:t>
      </w:r>
    </w:p>
    <w:p w:rsidRPr="00B3330B" w:rsidR="008C0259" w:rsidP="008C0259" w:rsidRDefault="008C0259" w14:paraId="3A62E67C" w14:textId="77777777">
      <w:pPr>
        <w:ind w:left="720"/>
        <w:rPr>
          <w:rFonts w:cs="Open Sans"/>
          <w:sz w:val="22"/>
          <w:szCs w:val="22"/>
        </w:rPr>
      </w:pPr>
      <w:r w:rsidRPr="00B3330B">
        <w:rPr>
          <w:rFonts w:cs="Open Sans"/>
          <w:sz w:val="22"/>
          <w:szCs w:val="22"/>
        </w:rPr>
        <w:t xml:space="preserve">The HRT tended to make me extremely aggro, and to the point of where I got expelled from my private school because I turned over a desk during an exam. The HRT actually caused cervical damage to the point that I needed cervical surgery in 2015, and it almost killed me. It [HRT] was definitely not suited to my body, to the point where I had all sorts of things, liked severe depression, double cycles, I went through hell in a handbasket and no-one could explain to me what was going on. And I could not see through the black cloud enough to ask for help … </w:t>
      </w:r>
    </w:p>
    <w:p w:rsidRPr="00B3330B" w:rsidR="008C0259" w:rsidP="008C0259" w:rsidRDefault="008C0259" w14:paraId="7F310281" w14:textId="77777777">
      <w:pPr>
        <w:ind w:left="720"/>
        <w:rPr>
          <w:rFonts w:cs="Open Sans"/>
          <w:sz w:val="22"/>
          <w:szCs w:val="22"/>
        </w:rPr>
      </w:pPr>
      <w:r w:rsidRPr="00B3330B">
        <w:rPr>
          <w:rFonts w:cs="Open Sans"/>
          <w:sz w:val="22"/>
          <w:szCs w:val="22"/>
        </w:rPr>
        <w:t>I’m now a lot calmer … I can self-calm now, which couldn’t do before when I was on hormones.</w:t>
      </w:r>
      <w:r w:rsidRPr="00B3330B">
        <w:rPr>
          <w:rStyle w:val="EndnoteReference"/>
          <w:rFonts w:cs="Open Sans"/>
          <w:sz w:val="22"/>
          <w:szCs w:val="22"/>
        </w:rPr>
        <w:endnoteReference w:id="86"/>
      </w:r>
    </w:p>
    <w:p w:rsidRPr="00372C38" w:rsidR="008C0259" w:rsidP="008C0259" w:rsidRDefault="008C0259" w14:paraId="1639F871" w14:textId="77777777">
      <w:pPr>
        <w:pStyle w:val="Heading3"/>
      </w:pPr>
      <w:bookmarkStart w:name="_Toc79509643" w:id="118"/>
      <w:bookmarkStart w:name="_Toc85541401" w:id="119"/>
      <w:r w:rsidRPr="00372C38">
        <w:t>Stigma and isolation</w:t>
      </w:r>
      <w:bookmarkEnd w:id="118"/>
      <w:bookmarkEnd w:id="119"/>
    </w:p>
    <w:p w:rsidRPr="00956D6B" w:rsidR="008C0259" w:rsidP="008C0259" w:rsidRDefault="008C0259" w14:paraId="48FCB7FB" w14:textId="77777777">
      <w:pPr>
        <w:rPr>
          <w:rFonts w:cs="Open Sans"/>
        </w:rPr>
      </w:pPr>
      <w:r w:rsidRPr="00755949">
        <w:rPr>
          <w:rFonts w:cs="Open Sans"/>
        </w:rPr>
        <w:t>Although innate variations in sex characteristics are not uncommon in the general population, many individuals reported widespread stigma, discrimination, ill-treatment</w:t>
      </w:r>
      <w:r w:rsidRPr="00956D6B">
        <w:rPr>
          <w:rFonts w:cs="Open Sans"/>
        </w:rPr>
        <w:t xml:space="preserve"> and misunderstanding. </w:t>
      </w:r>
    </w:p>
    <w:p w:rsidRPr="00956D6B" w:rsidR="008C0259" w:rsidP="008C0259" w:rsidRDefault="008C0259" w14:paraId="222AE31D" w14:textId="77777777">
      <w:pPr>
        <w:rPr>
          <w:rFonts w:cs="Open Sans"/>
        </w:rPr>
      </w:pPr>
      <w:r w:rsidRPr="00956D6B">
        <w:rPr>
          <w:rFonts w:cs="Open Sans"/>
        </w:rPr>
        <w:t>This stigma result</w:t>
      </w:r>
      <w:r>
        <w:rPr>
          <w:rFonts w:cs="Open Sans"/>
        </w:rPr>
        <w:t>ed</w:t>
      </w:r>
      <w:r w:rsidRPr="00956D6B">
        <w:rPr>
          <w:rFonts w:cs="Open Sans"/>
        </w:rPr>
        <w:t xml:space="preserve"> in shame and silence </w:t>
      </w:r>
      <w:r>
        <w:rPr>
          <w:rFonts w:cs="Open Sans"/>
        </w:rPr>
        <w:t>for these</w:t>
      </w:r>
      <w:r w:rsidRPr="00956D6B">
        <w:rPr>
          <w:rFonts w:cs="Open Sans"/>
        </w:rPr>
        <w:t xml:space="preserve"> individuals and </w:t>
      </w:r>
      <w:r>
        <w:rPr>
          <w:rFonts w:cs="Open Sans"/>
        </w:rPr>
        <w:t xml:space="preserve">their </w:t>
      </w:r>
      <w:r w:rsidRPr="00956D6B">
        <w:rPr>
          <w:rFonts w:cs="Open Sans"/>
        </w:rPr>
        <w:t>families, leading to withdrawal from public facets of life and ongoing impacts on mental and physical health.</w:t>
      </w:r>
    </w:p>
    <w:p w:rsidR="008C0259" w:rsidP="008C0259" w:rsidRDefault="008C0259" w14:paraId="62579B96" w14:textId="77777777">
      <w:pPr>
        <w:rPr>
          <w:rFonts w:cs="Open Sans"/>
        </w:rPr>
      </w:pPr>
      <w:r w:rsidRPr="00956D6B">
        <w:rPr>
          <w:rFonts w:cs="Open Sans"/>
        </w:rPr>
        <w:t>Many individuals report</w:t>
      </w:r>
      <w:r>
        <w:rPr>
          <w:rFonts w:cs="Open Sans"/>
        </w:rPr>
        <w:t>ed</w:t>
      </w:r>
      <w:r w:rsidRPr="00956D6B">
        <w:rPr>
          <w:rFonts w:cs="Open Sans"/>
        </w:rPr>
        <w:t xml:space="preserve"> that although the source of such stigma is public misunderstanding of variations in sex characteristics, it is most clearly manifested in a medical context, where decisions permanently affecting their bodies are made.</w:t>
      </w:r>
    </w:p>
    <w:p w:rsidR="008C0259" w:rsidP="008C0259" w:rsidRDefault="008C0259" w14:paraId="55F8B157" w14:textId="77777777">
      <w:pPr>
        <w:rPr>
          <w:rFonts w:cs="Open Sans"/>
        </w:rPr>
      </w:pPr>
      <w:r>
        <w:rPr>
          <w:rFonts w:cs="Open Sans"/>
        </w:rPr>
        <w:lastRenderedPageBreak/>
        <w:t>S</w:t>
      </w:r>
      <w:r w:rsidRPr="00372C38">
        <w:rPr>
          <w:rFonts w:cs="Open Sans"/>
        </w:rPr>
        <w:t xml:space="preserve">ome people </w:t>
      </w:r>
      <w:r>
        <w:rPr>
          <w:rFonts w:cs="Open Sans"/>
        </w:rPr>
        <w:t>told the Commission that</w:t>
      </w:r>
      <w:r w:rsidRPr="00372C38">
        <w:rPr>
          <w:rFonts w:cs="Open Sans"/>
        </w:rPr>
        <w:t xml:space="preserve"> treating</w:t>
      </w:r>
      <w:r>
        <w:rPr>
          <w:rFonts w:cs="Open Sans"/>
        </w:rPr>
        <w:t xml:space="preserve"> medical</w:t>
      </w:r>
      <w:r w:rsidRPr="00372C38">
        <w:rPr>
          <w:rFonts w:cs="Open Sans"/>
        </w:rPr>
        <w:t xml:space="preserve"> teams </w:t>
      </w:r>
      <w:r>
        <w:rPr>
          <w:rFonts w:cs="Open Sans"/>
        </w:rPr>
        <w:t>had given</w:t>
      </w:r>
      <w:r w:rsidRPr="00372C38">
        <w:rPr>
          <w:rFonts w:cs="Open Sans"/>
        </w:rPr>
        <w:t xml:space="preserve"> families </w:t>
      </w:r>
      <w:r>
        <w:rPr>
          <w:rFonts w:cs="Open Sans"/>
        </w:rPr>
        <w:t xml:space="preserve">advice </w:t>
      </w:r>
      <w:r w:rsidRPr="00372C38">
        <w:rPr>
          <w:rFonts w:cs="Open Sans"/>
        </w:rPr>
        <w:t>to adopt behaviours that reinforced isolation, stigma and shame</w:t>
      </w:r>
      <w:r>
        <w:rPr>
          <w:rFonts w:cs="Open Sans"/>
        </w:rPr>
        <w:t>—</w:t>
      </w:r>
      <w:r w:rsidRPr="00372C38">
        <w:rPr>
          <w:rFonts w:cs="Open Sans"/>
        </w:rPr>
        <w:t>for example</w:t>
      </w:r>
      <w:r>
        <w:rPr>
          <w:rFonts w:cs="Open Sans"/>
        </w:rPr>
        <w:t>,</w:t>
      </w:r>
      <w:r w:rsidRPr="00372C38">
        <w:rPr>
          <w:rFonts w:cs="Open Sans"/>
        </w:rPr>
        <w:t xml:space="preserve"> advising </w:t>
      </w:r>
      <w:r>
        <w:rPr>
          <w:rFonts w:cs="Open Sans"/>
        </w:rPr>
        <w:t xml:space="preserve">them </w:t>
      </w:r>
      <w:r w:rsidRPr="00372C38">
        <w:rPr>
          <w:rFonts w:cs="Open Sans"/>
        </w:rPr>
        <w:t>not to tell anyone about their variation</w:t>
      </w:r>
      <w:r>
        <w:rPr>
          <w:rFonts w:cs="Open Sans"/>
        </w:rPr>
        <w:t>.</w:t>
      </w:r>
      <w:r w:rsidRPr="00E90820">
        <w:rPr>
          <w:rStyle w:val="EndnoteReference"/>
          <w:rFonts w:cs="Open Sans"/>
          <w:szCs w:val="20"/>
        </w:rPr>
        <w:endnoteReference w:id="87"/>
      </w:r>
      <w:r w:rsidRPr="00372C38">
        <w:rPr>
          <w:rFonts w:cs="Open Sans"/>
        </w:rPr>
        <w:t xml:space="preserve"> </w:t>
      </w:r>
      <w:r>
        <w:rPr>
          <w:rFonts w:cs="Open Sans"/>
        </w:rPr>
        <w:t>One person with a variation in sex characteristics reported their experience of isolation:</w:t>
      </w:r>
    </w:p>
    <w:p w:rsidRPr="00B3330B" w:rsidR="008C0259" w:rsidP="008C0259" w:rsidRDefault="008C0259" w14:paraId="40B84D5E" w14:textId="77777777">
      <w:pPr>
        <w:ind w:left="720"/>
        <w:rPr>
          <w:rFonts w:cs="Open Sans"/>
          <w:sz w:val="22"/>
          <w:szCs w:val="22"/>
        </w:rPr>
      </w:pPr>
      <w:r w:rsidRPr="00B3330B">
        <w:rPr>
          <w:rFonts w:cs="Open Sans"/>
          <w:sz w:val="22"/>
          <w:szCs w:val="22"/>
        </w:rPr>
        <w:t>I just thought … that I was the only person who it had happened to … that I really shouldn’t talk about it to too many people, and then me not knowing that my parents had been told not to talk about it even to me, I felt incredibly isolated.</w:t>
      </w:r>
      <w:r w:rsidRPr="00B3330B">
        <w:rPr>
          <w:rStyle w:val="EndnoteReference"/>
          <w:rFonts w:cs="Open Sans"/>
          <w:sz w:val="22"/>
          <w:szCs w:val="22"/>
        </w:rPr>
        <w:endnoteReference w:id="88"/>
      </w:r>
    </w:p>
    <w:p w:rsidR="008C0259" w:rsidP="008C0259" w:rsidRDefault="008C0259" w14:paraId="797CE52A" w14:textId="77777777">
      <w:pPr>
        <w:rPr>
          <w:rFonts w:cs="Open Sans"/>
        </w:rPr>
      </w:pPr>
      <w:r w:rsidRPr="00372C38">
        <w:rPr>
          <w:rFonts w:cs="Open Sans"/>
        </w:rPr>
        <w:t>Others stated that their families received advice from treating teams that each individual was so unique that there were no other or alternative sources of help (eg peer groups), and that reinforced a sense of shame and sometimes self-imposed isolation.</w:t>
      </w:r>
      <w:r w:rsidRPr="007C18B6">
        <w:rPr>
          <w:rStyle w:val="EndnoteReference"/>
          <w:rFonts w:cs="Open Sans"/>
          <w:szCs w:val="20"/>
        </w:rPr>
        <w:endnoteReference w:id="89"/>
      </w:r>
    </w:p>
    <w:p w:rsidR="008C0259" w:rsidP="008C0259" w:rsidRDefault="008C0259" w14:paraId="47706A2D" w14:textId="77777777">
      <w:pPr>
        <w:rPr>
          <w:rFonts w:cs="Open Sans"/>
        </w:rPr>
      </w:pPr>
      <w:r>
        <w:rPr>
          <w:rFonts w:cs="Open Sans"/>
        </w:rPr>
        <w:t>One person</w:t>
      </w:r>
      <w:r w:rsidRPr="00372C38">
        <w:rPr>
          <w:rFonts w:cs="Open Sans"/>
        </w:rPr>
        <w:t xml:space="preserve"> </w:t>
      </w:r>
      <w:r>
        <w:rPr>
          <w:rFonts w:cs="Open Sans"/>
        </w:rPr>
        <w:t>reflected on</w:t>
      </w:r>
      <w:r w:rsidRPr="00372C38">
        <w:rPr>
          <w:rFonts w:cs="Open Sans"/>
        </w:rPr>
        <w:t xml:space="preserve"> their </w:t>
      </w:r>
      <w:r>
        <w:rPr>
          <w:rFonts w:cs="Open Sans"/>
        </w:rPr>
        <w:t xml:space="preserve">feelings of shame: </w:t>
      </w:r>
    </w:p>
    <w:p w:rsidRPr="00B3330B" w:rsidR="008C0259" w:rsidP="008C0259" w:rsidRDefault="008C0259" w14:paraId="3EA62C2B" w14:textId="77777777">
      <w:pPr>
        <w:ind w:left="720"/>
        <w:rPr>
          <w:rFonts w:cs="Open Sans"/>
          <w:sz w:val="22"/>
          <w:szCs w:val="22"/>
        </w:rPr>
      </w:pPr>
      <w:r w:rsidRPr="00B3330B">
        <w:rPr>
          <w:rFonts w:cs="Open Sans"/>
          <w:sz w:val="22"/>
          <w:szCs w:val="22"/>
        </w:rPr>
        <w:t>My parents weren’t given any advice on how to talk about it or what would be healthy to talk about. I was basically told that it was really shameful and I should never talk about it and that I was fixed basically like so I didn’t have to talk about.</w:t>
      </w:r>
      <w:r w:rsidRPr="00B3330B">
        <w:rPr>
          <w:rStyle w:val="EndnoteReference"/>
          <w:rFonts w:cs="Open Sans"/>
          <w:sz w:val="22"/>
          <w:szCs w:val="22"/>
        </w:rPr>
        <w:endnoteReference w:id="90"/>
      </w:r>
    </w:p>
    <w:p w:rsidRPr="00372C38" w:rsidR="008C0259" w:rsidP="008C0259" w:rsidRDefault="008C0259" w14:paraId="07F95613" w14:textId="77777777">
      <w:pPr>
        <w:rPr>
          <w:rFonts w:cs="Open Sans"/>
        </w:rPr>
      </w:pPr>
      <w:r>
        <w:rPr>
          <w:rFonts w:cs="Open Sans"/>
        </w:rPr>
        <w:t>Another person</w:t>
      </w:r>
      <w:r w:rsidRPr="00372C38">
        <w:rPr>
          <w:rFonts w:cs="Open Sans"/>
        </w:rPr>
        <w:t xml:space="preserve"> reported their experience of secrecy: </w:t>
      </w:r>
    </w:p>
    <w:p w:rsidRPr="00B3330B" w:rsidR="008C0259" w:rsidP="008C0259" w:rsidRDefault="008C0259" w14:paraId="0367D253" w14:textId="77777777">
      <w:pPr>
        <w:ind w:left="720"/>
        <w:rPr>
          <w:rFonts w:cs="Open Sans"/>
          <w:sz w:val="22"/>
          <w:szCs w:val="22"/>
        </w:rPr>
      </w:pPr>
      <w:r w:rsidRPr="00B3330B">
        <w:rPr>
          <w:rFonts w:cs="Open Sans"/>
          <w:sz w:val="22"/>
          <w:szCs w:val="22"/>
        </w:rPr>
        <w:t>I originally was with a gynaecologist who gave me the diagnosis and she told me that it was very unlikely that I’d meet someone else like me and encouraged me to keep things relatively quiet and not discuss my diagnosis with anyone. There was no counselling or support services offered.</w:t>
      </w:r>
      <w:r w:rsidRPr="00B3330B">
        <w:rPr>
          <w:rStyle w:val="EndnoteReference"/>
          <w:rFonts w:cs="Open Sans"/>
          <w:sz w:val="22"/>
          <w:szCs w:val="22"/>
        </w:rPr>
        <w:endnoteReference w:id="91"/>
      </w:r>
    </w:p>
    <w:p w:rsidRPr="006816DC" w:rsidR="008C0259" w:rsidP="008C0259" w:rsidRDefault="008C0259" w14:paraId="40FC6F34" w14:textId="77777777">
      <w:pPr>
        <w:rPr>
          <w:rFonts w:cs="Open Sans"/>
        </w:rPr>
      </w:pPr>
      <w:r>
        <w:rPr>
          <w:rFonts w:cs="Open Sans"/>
        </w:rPr>
        <w:t xml:space="preserve">Another person, speaking about the fact that doctors had not referred them to any support networks, said </w:t>
      </w:r>
      <w:r w:rsidRPr="006816DC">
        <w:rPr>
          <w:rFonts w:cs="Open Sans"/>
        </w:rPr>
        <w:t>that ‘I got told there was no support network, I got told that there were no other people nearby</w:t>
      </w:r>
      <w:r>
        <w:rPr>
          <w:rFonts w:cs="Open Sans"/>
        </w:rPr>
        <w:t>’</w:t>
      </w:r>
      <w:r w:rsidRPr="006816DC">
        <w:rPr>
          <w:rFonts w:cs="Open Sans"/>
        </w:rPr>
        <w:t>.</w:t>
      </w:r>
      <w:r w:rsidRPr="005A6795">
        <w:rPr>
          <w:rStyle w:val="EndnoteReference"/>
          <w:rFonts w:cs="Open Sans"/>
        </w:rPr>
        <w:endnoteReference w:id="92"/>
      </w:r>
    </w:p>
    <w:p w:rsidRPr="00372C38" w:rsidR="008C0259" w:rsidP="008C0259" w:rsidRDefault="008C0259" w14:paraId="2F42E872" w14:textId="77777777">
      <w:pPr>
        <w:rPr>
          <w:rFonts w:cs="Open Sans"/>
        </w:rPr>
      </w:pPr>
      <w:r w:rsidRPr="0C449446">
        <w:rPr>
          <w:rFonts w:cs="Open Sans"/>
        </w:rPr>
        <w:t>Similarly, one person</w:t>
      </w:r>
      <w:r>
        <w:rPr>
          <w:rFonts w:cs="Open Sans"/>
        </w:rPr>
        <w:t xml:space="preserve">, whose variation </w:t>
      </w:r>
      <w:r w:rsidRPr="11EEA776">
        <w:rPr>
          <w:rFonts w:cs="Open Sans"/>
        </w:rPr>
        <w:t>is</w:t>
      </w:r>
      <w:r>
        <w:rPr>
          <w:rFonts w:cs="Open Sans"/>
        </w:rPr>
        <w:t xml:space="preserve"> anonymised</w:t>
      </w:r>
      <w:r w:rsidRPr="11EEA776">
        <w:rPr>
          <w:rFonts w:cs="Open Sans"/>
        </w:rPr>
        <w:t xml:space="preserve"> here</w:t>
      </w:r>
      <w:r>
        <w:rPr>
          <w:rFonts w:cs="Open Sans"/>
        </w:rPr>
        <w:t>,</w:t>
      </w:r>
      <w:r w:rsidRPr="0C449446">
        <w:rPr>
          <w:rFonts w:cs="Open Sans"/>
        </w:rPr>
        <w:t xml:space="preserve"> described their experience receiving a diagnosis: </w:t>
      </w:r>
    </w:p>
    <w:p w:rsidRPr="00B3330B" w:rsidR="008C0259" w:rsidP="008C0259" w:rsidRDefault="008C0259" w14:paraId="34DC2CFD" w14:textId="77777777">
      <w:pPr>
        <w:ind w:left="720"/>
        <w:rPr>
          <w:rFonts w:cs="Open Sans"/>
          <w:sz w:val="22"/>
          <w:szCs w:val="22"/>
        </w:rPr>
      </w:pPr>
      <w:r w:rsidRPr="00B3330B">
        <w:rPr>
          <w:rFonts w:cs="Open Sans"/>
          <w:sz w:val="22"/>
          <w:szCs w:val="22"/>
        </w:rPr>
        <w:t xml:space="preserve">She [a clinician] gave me everything in 5 minutes, and also threw in: ‘of course because you don’t have (. . .) chromosomes you will not be allowed to compete in </w:t>
      </w:r>
      <w:r w:rsidRPr="00B3330B">
        <w:rPr>
          <w:rFonts w:cs="Open Sans"/>
          <w:sz w:val="22"/>
          <w:szCs w:val="22"/>
        </w:rPr>
        <w:lastRenderedPageBreak/>
        <w:t>the Olympic games’, and that was actually information I received in my medical notes last year.</w:t>
      </w:r>
      <w:r w:rsidRPr="00B3330B">
        <w:rPr>
          <w:rStyle w:val="EndnoteReference"/>
          <w:rFonts w:cs="Open Sans"/>
          <w:sz w:val="22"/>
          <w:szCs w:val="22"/>
        </w:rPr>
        <w:endnoteReference w:id="93"/>
      </w:r>
      <w:r w:rsidRPr="00B3330B">
        <w:rPr>
          <w:rFonts w:cs="Open Sans"/>
          <w:sz w:val="22"/>
          <w:szCs w:val="22"/>
        </w:rPr>
        <w:t xml:space="preserve"> </w:t>
      </w:r>
    </w:p>
    <w:p w:rsidR="008C0259" w:rsidP="008C0259" w:rsidRDefault="008C0259" w14:paraId="7DB6BC00" w14:textId="7DE0AE45">
      <w:pPr>
        <w:rPr>
          <w:rFonts w:cs="Open Sans"/>
        </w:rPr>
      </w:pPr>
      <w:r>
        <w:rPr>
          <w:rFonts w:cs="Open Sans"/>
        </w:rPr>
        <w:t>This person</w:t>
      </w:r>
      <w:r w:rsidRPr="00372C38">
        <w:rPr>
          <w:rFonts w:cs="Open Sans"/>
        </w:rPr>
        <w:t xml:space="preserve"> </w:t>
      </w:r>
      <w:r>
        <w:rPr>
          <w:rFonts w:cs="Open Sans"/>
        </w:rPr>
        <w:t>stated that</w:t>
      </w:r>
      <w:r w:rsidRPr="00372C38">
        <w:rPr>
          <w:rFonts w:cs="Open Sans"/>
        </w:rPr>
        <w:t xml:space="preserve"> within this five-minute timeframe</w:t>
      </w:r>
      <w:r>
        <w:rPr>
          <w:rFonts w:cs="Open Sans"/>
        </w:rPr>
        <w:t>,</w:t>
      </w:r>
      <w:r w:rsidRPr="00372C38">
        <w:rPr>
          <w:rFonts w:cs="Open Sans"/>
        </w:rPr>
        <w:t xml:space="preserve"> they were given information about the state of development of their gonads</w:t>
      </w:r>
      <w:r>
        <w:rPr>
          <w:rFonts w:cs="Open Sans"/>
        </w:rPr>
        <w:t xml:space="preserve"> and</w:t>
      </w:r>
      <w:r w:rsidRPr="00372C38">
        <w:rPr>
          <w:rFonts w:cs="Open Sans"/>
        </w:rPr>
        <w:t xml:space="preserve"> the </w:t>
      </w:r>
      <w:r>
        <w:rPr>
          <w:rFonts w:cs="Open Sans"/>
        </w:rPr>
        <w:t xml:space="preserve">associated </w:t>
      </w:r>
      <w:r w:rsidRPr="00372C38">
        <w:rPr>
          <w:rFonts w:cs="Open Sans"/>
        </w:rPr>
        <w:t xml:space="preserve">risk </w:t>
      </w:r>
      <w:r>
        <w:rPr>
          <w:rFonts w:cs="Open Sans"/>
        </w:rPr>
        <w:t xml:space="preserve">of </w:t>
      </w:r>
      <w:r w:rsidRPr="00372C38">
        <w:rPr>
          <w:rFonts w:cs="Open Sans"/>
        </w:rPr>
        <w:t xml:space="preserve">cancer, and </w:t>
      </w:r>
      <w:r>
        <w:rPr>
          <w:rFonts w:cs="Open Sans"/>
        </w:rPr>
        <w:t xml:space="preserve">told </w:t>
      </w:r>
      <w:r w:rsidRPr="00372C38">
        <w:rPr>
          <w:rFonts w:cs="Open Sans"/>
        </w:rPr>
        <w:t xml:space="preserve">that they were atypical chromosomally. </w:t>
      </w:r>
      <w:r>
        <w:rPr>
          <w:rFonts w:cs="Open Sans"/>
        </w:rPr>
        <w:t>The individual</w:t>
      </w:r>
      <w:r w:rsidRPr="0117CC5D" w:rsidR="369909FB">
        <w:rPr>
          <w:rFonts w:cs="Open Sans"/>
        </w:rPr>
        <w:t xml:space="preserve"> </w:t>
      </w:r>
      <w:r>
        <w:rPr>
          <w:rFonts w:cs="Open Sans"/>
        </w:rPr>
        <w:t xml:space="preserve">said: </w:t>
      </w:r>
    </w:p>
    <w:p w:rsidRPr="00B3330B" w:rsidR="008C0259" w:rsidP="008C0259" w:rsidRDefault="008C0259" w14:paraId="665740E3" w14:textId="77777777">
      <w:pPr>
        <w:ind w:left="720"/>
        <w:rPr>
          <w:rFonts w:cs="Open Sans"/>
          <w:sz w:val="22"/>
          <w:szCs w:val="22"/>
        </w:rPr>
      </w:pPr>
      <w:r w:rsidRPr="00B3330B">
        <w:rPr>
          <w:rFonts w:cs="Open Sans"/>
          <w:sz w:val="22"/>
          <w:szCs w:val="22"/>
        </w:rPr>
        <w:t>[My] parents were told by my GP without my knowledge that they should never talk to me about having (. . .) they told their friends they risked me being ostracised by the local community.</w:t>
      </w:r>
      <w:r w:rsidRPr="00B3330B">
        <w:rPr>
          <w:rStyle w:val="EndnoteReference"/>
          <w:rFonts w:cs="Open Sans"/>
          <w:sz w:val="22"/>
          <w:szCs w:val="22"/>
        </w:rPr>
        <w:endnoteReference w:id="94"/>
      </w:r>
    </w:p>
    <w:p w:rsidR="008C0259" w:rsidP="008C0259" w:rsidRDefault="008C0259" w14:paraId="3C612C17" w14:textId="77777777">
      <w:pPr>
        <w:rPr>
          <w:rFonts w:cs="Open Sans"/>
        </w:rPr>
      </w:pPr>
      <w:r>
        <w:rPr>
          <w:rFonts w:cs="Open Sans"/>
        </w:rPr>
        <w:t>One person reported</w:t>
      </w:r>
      <w:r w:rsidRPr="00372C38">
        <w:rPr>
          <w:rFonts w:cs="Open Sans"/>
        </w:rPr>
        <w:t xml:space="preserve"> how their parents were encouraged to keep secret from them information about their bodies and treatments that had occurred before they were old enough to understand and participate.</w:t>
      </w:r>
      <w:r w:rsidRPr="008F3D80">
        <w:rPr>
          <w:rStyle w:val="EndnoteReference"/>
          <w:rFonts w:cs="Open Sans"/>
          <w:szCs w:val="20"/>
        </w:rPr>
        <w:endnoteReference w:id="95"/>
      </w:r>
      <w:r>
        <w:rPr>
          <w:rFonts w:cs="Open Sans"/>
        </w:rPr>
        <w:t xml:space="preserve"> One peer support organisation cited the experience of members, stating </w:t>
      </w:r>
      <w:r w:rsidRPr="00933DC3">
        <w:rPr>
          <w:rFonts w:cs="Open Sans"/>
        </w:rPr>
        <w:t>that ‘</w:t>
      </w:r>
      <w:r w:rsidRPr="00FA01F0">
        <w:rPr>
          <w:rFonts w:cs="Open Sans"/>
        </w:rPr>
        <w:t xml:space="preserve">many older people are unaware of their variation as families hid this information for fear of shame </w:t>
      </w:r>
      <w:r>
        <w:rPr>
          <w:rFonts w:cs="Open Sans"/>
        </w:rPr>
        <w:t>and</w:t>
      </w:r>
      <w:r w:rsidRPr="00FA01F0">
        <w:rPr>
          <w:rFonts w:cs="Open Sans"/>
        </w:rPr>
        <w:t xml:space="preserve"> stigma</w:t>
      </w:r>
      <w:r>
        <w:rPr>
          <w:rFonts w:cs="Open Sans"/>
        </w:rPr>
        <w:t>’</w:t>
      </w:r>
      <w:r w:rsidRPr="00FA01F0">
        <w:rPr>
          <w:rFonts w:cs="Open Sans"/>
        </w:rPr>
        <w:t>.</w:t>
      </w:r>
      <w:r w:rsidRPr="008F3D80">
        <w:rPr>
          <w:rStyle w:val="EndnoteReference"/>
          <w:rFonts w:cs="Open Sans"/>
          <w:szCs w:val="20"/>
        </w:rPr>
        <w:endnoteReference w:id="96"/>
      </w:r>
      <w:r w:rsidRPr="00FA01F0">
        <w:rPr>
          <w:rFonts w:cs="Open Sans"/>
        </w:rPr>
        <w:t xml:space="preserve">  </w:t>
      </w:r>
    </w:p>
    <w:p w:rsidRPr="00403B9F" w:rsidR="008C0259" w:rsidP="008C0259" w:rsidRDefault="008C0259" w14:paraId="76E55035" w14:textId="77777777">
      <w:pPr>
        <w:rPr>
          <w:rFonts w:cs="Open Sans"/>
        </w:rPr>
      </w:pPr>
      <w:r w:rsidRPr="00372C38">
        <w:rPr>
          <w:rFonts w:cs="Open Sans"/>
        </w:rPr>
        <w:t>According to</w:t>
      </w:r>
      <w:r>
        <w:rPr>
          <w:rFonts w:cs="Open Sans"/>
        </w:rPr>
        <w:t xml:space="preserve"> this peer support organisation, </w:t>
      </w:r>
      <w:r w:rsidRPr="00372C38">
        <w:rPr>
          <w:rFonts w:cs="Open Sans"/>
        </w:rPr>
        <w:t>this lack of awareness, knowledge and understanding deprives people of affirming language to describe themselves and their bodies.</w:t>
      </w:r>
      <w:r w:rsidRPr="008F3D80">
        <w:rPr>
          <w:rFonts w:cs="Open Sans"/>
          <w:sz w:val="20"/>
          <w:szCs w:val="20"/>
          <w:vertAlign w:val="superscript"/>
        </w:rPr>
        <w:endnoteReference w:id="97"/>
      </w:r>
      <w:r w:rsidRPr="00372C38">
        <w:rPr>
          <w:rFonts w:cs="Open Sans"/>
        </w:rPr>
        <w:t xml:space="preserve"> This </w:t>
      </w:r>
      <w:r>
        <w:rPr>
          <w:rFonts w:cs="Open Sans"/>
        </w:rPr>
        <w:t xml:space="preserve">organisation </w:t>
      </w:r>
      <w:r w:rsidRPr="00372C38">
        <w:rPr>
          <w:rFonts w:cs="Open Sans"/>
        </w:rPr>
        <w:t>said that it also makes it harder for people to ask for, or even be aware of, available support and services.</w:t>
      </w:r>
      <w:r w:rsidRPr="008F3D80">
        <w:rPr>
          <w:rFonts w:cs="Open Sans"/>
          <w:sz w:val="20"/>
          <w:szCs w:val="20"/>
          <w:vertAlign w:val="superscript"/>
        </w:rPr>
        <w:endnoteReference w:id="98"/>
      </w:r>
      <w:r w:rsidRPr="00372C38">
        <w:rPr>
          <w:rFonts w:cs="Open Sans"/>
        </w:rPr>
        <w:t xml:space="preserve"> </w:t>
      </w:r>
    </w:p>
    <w:p w:rsidR="008C0259" w:rsidP="008C0259" w:rsidRDefault="008C0259" w14:paraId="564309FF" w14:textId="77777777">
      <w:pPr>
        <w:rPr>
          <w:rFonts w:cs="Open Sans"/>
        </w:rPr>
      </w:pPr>
      <w:r w:rsidRPr="00372C38">
        <w:rPr>
          <w:rFonts w:cs="Open Sans"/>
        </w:rPr>
        <w:t xml:space="preserve">The Commission was told </w:t>
      </w:r>
      <w:r>
        <w:rPr>
          <w:rFonts w:cs="Open Sans"/>
        </w:rPr>
        <w:t>about</w:t>
      </w:r>
      <w:r w:rsidRPr="00372C38">
        <w:rPr>
          <w:rFonts w:cs="Open Sans"/>
        </w:rPr>
        <w:t xml:space="preserve"> </w:t>
      </w:r>
      <w:r>
        <w:rPr>
          <w:rFonts w:cs="Open Sans"/>
        </w:rPr>
        <w:t xml:space="preserve">broader, </w:t>
      </w:r>
      <w:r w:rsidRPr="00372C38">
        <w:rPr>
          <w:rFonts w:cs="Open Sans"/>
        </w:rPr>
        <w:t>community-wide lack of awareness, knowledge and understanding of variations in sex characteristics.</w:t>
      </w:r>
      <w:r w:rsidRPr="00284162">
        <w:rPr>
          <w:rStyle w:val="EndnoteReference"/>
          <w:rFonts w:cs="Open Sans"/>
          <w:szCs w:val="20"/>
        </w:rPr>
        <w:endnoteReference w:id="99"/>
      </w:r>
      <w:r w:rsidRPr="00372C38">
        <w:rPr>
          <w:rFonts w:cs="Open Sans"/>
        </w:rPr>
        <w:t xml:space="preserve"> </w:t>
      </w:r>
      <w:r>
        <w:rPr>
          <w:rFonts w:cs="Open Sans"/>
        </w:rPr>
        <w:t>A peak body representing mental health professionals</w:t>
      </w:r>
      <w:r w:rsidRPr="00372C38">
        <w:rPr>
          <w:rFonts w:cs="Open Sans"/>
        </w:rPr>
        <w:t xml:space="preserve"> </w:t>
      </w:r>
      <w:r>
        <w:rPr>
          <w:rFonts w:cs="Open Sans"/>
        </w:rPr>
        <w:t xml:space="preserve">cited research that indicated that this </w:t>
      </w:r>
      <w:r w:rsidRPr="00372C38">
        <w:rPr>
          <w:rFonts w:cs="Open Sans"/>
        </w:rPr>
        <w:t>mak</w:t>
      </w:r>
      <w:r>
        <w:rPr>
          <w:rFonts w:cs="Open Sans"/>
        </w:rPr>
        <w:t>es</w:t>
      </w:r>
      <w:r w:rsidRPr="00372C38">
        <w:rPr>
          <w:rFonts w:cs="Open Sans"/>
        </w:rPr>
        <w:t xml:space="preserve"> it harder for people to identify as having variations in sex characteristics, should they wish to do so.</w:t>
      </w:r>
      <w:r w:rsidRPr="00284162">
        <w:rPr>
          <w:rFonts w:cs="Open Sans"/>
          <w:sz w:val="20"/>
          <w:szCs w:val="20"/>
          <w:vertAlign w:val="superscript"/>
        </w:rPr>
        <w:endnoteReference w:id="100"/>
      </w:r>
      <w:r w:rsidRPr="00372C38">
        <w:rPr>
          <w:rFonts w:cs="Open Sans"/>
        </w:rPr>
        <w:t xml:space="preserve"> </w:t>
      </w:r>
    </w:p>
    <w:p w:rsidR="008C0259" w:rsidP="008C0259" w:rsidRDefault="008C0259" w14:paraId="64E36881" w14:textId="77777777">
      <w:pPr>
        <w:rPr>
          <w:rFonts w:cs="Open Sans"/>
        </w:rPr>
      </w:pPr>
      <w:r>
        <w:rPr>
          <w:rFonts w:cs="Open Sans"/>
        </w:rPr>
        <w:t xml:space="preserve">The </w:t>
      </w:r>
      <w:r w:rsidRPr="00372C38">
        <w:rPr>
          <w:rFonts w:cs="Open Sans"/>
        </w:rPr>
        <w:t>Commissioner for Children and Young People, Western Australia,</w:t>
      </w:r>
      <w:r>
        <w:rPr>
          <w:rFonts w:cs="Open Sans"/>
        </w:rPr>
        <w:t xml:space="preserve"> observed that</w:t>
      </w:r>
      <w:r w:rsidRPr="00372C38">
        <w:rPr>
          <w:rFonts w:cs="Open Sans"/>
        </w:rPr>
        <w:t xml:space="preserve"> </w:t>
      </w:r>
      <w:r>
        <w:rPr>
          <w:rFonts w:cs="Open Sans"/>
        </w:rPr>
        <w:t>the</w:t>
      </w:r>
      <w:r w:rsidRPr="00372C38">
        <w:rPr>
          <w:rFonts w:cs="Open Sans"/>
        </w:rPr>
        <w:t xml:space="preserve"> </w:t>
      </w:r>
      <w:r>
        <w:rPr>
          <w:rFonts w:cs="Open Sans"/>
        </w:rPr>
        <w:t xml:space="preserve">broader </w:t>
      </w:r>
      <w:r w:rsidRPr="00372C38">
        <w:rPr>
          <w:rFonts w:cs="Open Sans"/>
        </w:rPr>
        <w:t xml:space="preserve">lack of visibility and knowledge </w:t>
      </w:r>
      <w:r>
        <w:rPr>
          <w:rFonts w:cs="Open Sans"/>
        </w:rPr>
        <w:t xml:space="preserve">about variations in sex characteristics </w:t>
      </w:r>
      <w:r w:rsidRPr="00372C38">
        <w:rPr>
          <w:rFonts w:cs="Open Sans"/>
        </w:rPr>
        <w:t xml:space="preserve">can </w:t>
      </w:r>
      <w:r>
        <w:rPr>
          <w:rFonts w:cs="Open Sans"/>
        </w:rPr>
        <w:t xml:space="preserve">have wider practical effects, in </w:t>
      </w:r>
      <w:r w:rsidRPr="00372C38">
        <w:rPr>
          <w:rFonts w:cs="Open Sans"/>
        </w:rPr>
        <w:t>deter</w:t>
      </w:r>
      <w:r>
        <w:rPr>
          <w:rFonts w:cs="Open Sans"/>
        </w:rPr>
        <w:t>ring</w:t>
      </w:r>
      <w:r w:rsidRPr="00372C38">
        <w:rPr>
          <w:rFonts w:cs="Open Sans"/>
        </w:rPr>
        <w:t xml:space="preserve"> communities from acknowledging the need for specific services and responding to people with variations in informed and respectful ways.</w:t>
      </w:r>
      <w:r w:rsidRPr="00284162">
        <w:rPr>
          <w:rFonts w:cs="Open Sans"/>
          <w:sz w:val="20"/>
          <w:szCs w:val="20"/>
          <w:vertAlign w:val="superscript"/>
        </w:rPr>
        <w:endnoteReference w:id="101"/>
      </w:r>
    </w:p>
    <w:p w:rsidR="008C0259" w:rsidP="008C0259" w:rsidRDefault="008C0259" w14:paraId="032D1A26" w14:textId="77777777">
      <w:pPr>
        <w:pStyle w:val="Heading3"/>
        <w:rPr>
          <w:rFonts w:cs="Open Sans"/>
          <w:szCs w:val="24"/>
        </w:rPr>
      </w:pPr>
      <w:bookmarkStart w:name="_Toc57272736" w:id="121"/>
      <w:bookmarkStart w:name="_Toc57272739" w:id="122"/>
      <w:bookmarkStart w:name="_Toc57272740" w:id="123"/>
      <w:bookmarkStart w:name="_Toc57272741" w:id="124"/>
      <w:bookmarkStart w:name="_Toc57272742" w:id="125"/>
      <w:bookmarkStart w:name="_Toc57272743" w:id="126"/>
      <w:bookmarkStart w:name="_Toc57272744" w:id="127"/>
      <w:bookmarkStart w:name="_Toc57272745" w:id="128"/>
      <w:bookmarkStart w:name="_Toc57272746" w:id="129"/>
      <w:bookmarkStart w:name="_Toc57272747" w:id="130"/>
      <w:bookmarkStart w:name="_Toc57272748" w:id="131"/>
      <w:bookmarkStart w:name="_Toc57272749" w:id="132"/>
      <w:bookmarkStart w:name="_Toc57272750" w:id="133"/>
      <w:bookmarkStart w:name="_Toc57272751" w:id="134"/>
      <w:bookmarkStart w:name="_Toc57272752" w:id="135"/>
      <w:bookmarkStart w:name="_Toc57272753" w:id="136"/>
      <w:bookmarkStart w:name="_Toc57272754" w:id="137"/>
      <w:bookmarkStart w:name="_Toc57272755" w:id="138"/>
      <w:bookmarkStart w:name="_Toc79509644" w:id="139"/>
      <w:bookmarkStart w:name="_Toc85541402" w:id="14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rFonts w:cs="Open Sans"/>
          <w:szCs w:val="24"/>
        </w:rPr>
        <w:t>Invasive practices</w:t>
      </w:r>
      <w:bookmarkEnd w:id="139"/>
      <w:bookmarkEnd w:id="140"/>
      <w:r>
        <w:rPr>
          <w:rFonts w:cs="Open Sans"/>
          <w:szCs w:val="24"/>
        </w:rPr>
        <w:t xml:space="preserve"> </w:t>
      </w:r>
    </w:p>
    <w:p w:rsidR="008C0259" w:rsidP="008C0259" w:rsidRDefault="008C0259" w14:paraId="7450CBE3" w14:textId="77777777">
      <w:pPr>
        <w:rPr>
          <w:rFonts w:cs="Open Sans"/>
        </w:rPr>
      </w:pPr>
      <w:r>
        <w:rPr>
          <w:rFonts w:cs="Open Sans"/>
        </w:rPr>
        <w:t xml:space="preserve">An </w:t>
      </w:r>
      <w:r w:rsidRPr="00F15917">
        <w:rPr>
          <w:rFonts w:cs="Open Sans"/>
        </w:rPr>
        <w:t>aspect of medical treatment that has caused particular distress for some people born with variations in sex characteristics</w:t>
      </w:r>
      <w:r>
        <w:rPr>
          <w:rFonts w:cs="Open Sans"/>
        </w:rPr>
        <w:t>,</w:t>
      </w:r>
      <w:r w:rsidRPr="00F15917">
        <w:rPr>
          <w:rFonts w:cs="Open Sans"/>
        </w:rPr>
        <w:t xml:space="preserve"> has been the significant </w:t>
      </w:r>
      <w:r w:rsidRPr="00F15917">
        <w:rPr>
          <w:rFonts w:cs="Open Sans"/>
        </w:rPr>
        <w:lastRenderedPageBreak/>
        <w:t xml:space="preserve">physical invasions of privacy experienced during treatment and examinations, and the lack of sensitivity shown to them at those times. </w:t>
      </w:r>
    </w:p>
    <w:p w:rsidRPr="00372C38" w:rsidR="008C0259" w:rsidP="008C0259" w:rsidRDefault="008C0259" w14:paraId="5AAACA7D" w14:textId="77777777">
      <w:pPr>
        <w:rPr>
          <w:rFonts w:cs="Open Sans"/>
        </w:rPr>
      </w:pPr>
      <w:r>
        <w:rPr>
          <w:rFonts w:cs="Open Sans"/>
        </w:rPr>
        <w:t xml:space="preserve">Some of the interventions that have occurred have themselves been extremely invasive and had a significant effect on those who experienced them. An example cited was </w:t>
      </w:r>
      <w:r w:rsidRPr="00372C38">
        <w:rPr>
          <w:rFonts w:cs="Open Sans"/>
        </w:rPr>
        <w:t>vaginal dilation.</w:t>
      </w:r>
      <w:r w:rsidRPr="00057B90">
        <w:rPr>
          <w:rStyle w:val="EndnoteReference"/>
          <w:rFonts w:cs="Open Sans"/>
          <w:szCs w:val="20"/>
        </w:rPr>
        <w:endnoteReference w:id="102"/>
      </w:r>
    </w:p>
    <w:p w:rsidRPr="00372C38" w:rsidR="008C0259" w:rsidP="008C0259" w:rsidRDefault="008C0259" w14:paraId="6526F41A" w14:textId="77777777">
      <w:pPr>
        <w:rPr>
          <w:rFonts w:cs="Open Sans"/>
        </w:rPr>
      </w:pPr>
      <w:r>
        <w:rPr>
          <w:rFonts w:cs="Open Sans"/>
        </w:rPr>
        <w:t>A number of p</w:t>
      </w:r>
      <w:r w:rsidRPr="00372C38">
        <w:rPr>
          <w:rFonts w:cs="Open Sans"/>
        </w:rPr>
        <w:t>eople told the Commission that they had experienced repeated invasive examinations, sometimes for student training and sometimes in front of several people (concurrently or sequentially)</w:t>
      </w:r>
      <w:r>
        <w:rPr>
          <w:rFonts w:cs="Open Sans"/>
        </w:rPr>
        <w:t>, displaying a lack of sensitivity.</w:t>
      </w:r>
      <w:r w:rsidRPr="00057B90">
        <w:rPr>
          <w:rStyle w:val="EndnoteReference"/>
          <w:rFonts w:cs="Open Sans"/>
          <w:szCs w:val="20"/>
        </w:rPr>
        <w:endnoteReference w:id="103"/>
      </w:r>
      <w:r w:rsidRPr="00372C38">
        <w:rPr>
          <w:rFonts w:cs="Open Sans"/>
        </w:rPr>
        <w:t xml:space="preserve"> </w:t>
      </w:r>
      <w:r>
        <w:rPr>
          <w:rFonts w:cs="Open Sans"/>
        </w:rPr>
        <w:t>For instance, o</w:t>
      </w:r>
      <w:r w:rsidRPr="00372C38">
        <w:rPr>
          <w:rFonts w:cs="Open Sans"/>
        </w:rPr>
        <w:t xml:space="preserve">ne individual described how </w:t>
      </w:r>
      <w:r w:rsidRPr="0052172E">
        <w:rPr>
          <w:rFonts w:cs="Open Sans"/>
        </w:rPr>
        <w:t>‘lots of men would look between my legs, put their fingers in my vagina, and talk about how abnormal I was’</w:t>
      </w:r>
      <w:r w:rsidRPr="00372C38">
        <w:rPr>
          <w:rFonts w:cs="Open Sans"/>
        </w:rPr>
        <w:t>.</w:t>
      </w:r>
      <w:r w:rsidRPr="00057B90">
        <w:rPr>
          <w:rStyle w:val="EndnoteReference"/>
          <w:rFonts w:cs="Open Sans"/>
          <w:szCs w:val="20"/>
        </w:rPr>
        <w:endnoteReference w:id="104"/>
      </w:r>
      <w:r w:rsidRPr="00372C38">
        <w:rPr>
          <w:rFonts w:cs="Open Sans"/>
        </w:rPr>
        <w:t xml:space="preserve"> </w:t>
      </w:r>
      <w:r>
        <w:rPr>
          <w:rFonts w:cs="Open Sans"/>
        </w:rPr>
        <w:t>Another</w:t>
      </w:r>
      <w:r w:rsidRPr="00372C38">
        <w:rPr>
          <w:rFonts w:cs="Open Sans"/>
        </w:rPr>
        <w:t>, in describing their experience of being examined, stated:</w:t>
      </w:r>
    </w:p>
    <w:p w:rsidRPr="00B3330B" w:rsidR="008C0259" w:rsidP="008C0259" w:rsidRDefault="008C0259" w14:paraId="226F695B" w14:textId="77777777">
      <w:pPr>
        <w:ind w:left="720"/>
        <w:rPr>
          <w:rFonts w:cs="Open Sans"/>
          <w:sz w:val="22"/>
          <w:szCs w:val="22"/>
        </w:rPr>
      </w:pPr>
      <w:r w:rsidRPr="00B3330B">
        <w:rPr>
          <w:rFonts w:cs="Open Sans"/>
          <w:sz w:val="22"/>
          <w:szCs w:val="22"/>
        </w:rPr>
        <w:t>All of a sudden the room is full of doctors and trainee doctors looking at me down there, forgetting about me as a person, just looking at this phenomenon, and they’re talking around me and as an adult, even now, I find that incredibly offensive. And they’re the times when I feel as a child I felt like, I felt like I was sexually raped because I was just made of meat—and examinations that happened in front of numerous doctors—I knew what was going to happen but it didn’t stop the internal emotional pain. And I had to come to grips with that much later in my life.</w:t>
      </w:r>
      <w:r w:rsidRPr="00B3330B">
        <w:rPr>
          <w:rStyle w:val="EndnoteReference"/>
          <w:rFonts w:cs="Open Sans"/>
          <w:sz w:val="22"/>
          <w:szCs w:val="22"/>
        </w:rPr>
        <w:endnoteReference w:id="105"/>
      </w:r>
    </w:p>
    <w:p w:rsidRPr="004D7F3C" w:rsidR="008C0259" w:rsidP="008C0259" w:rsidRDefault="008C0259" w14:paraId="27298EB8" w14:textId="77777777">
      <w:pPr>
        <w:rPr>
          <w:rFonts w:cs="Open Sans"/>
        </w:rPr>
      </w:pPr>
      <w:r>
        <w:rPr>
          <w:rFonts w:cs="Open Sans"/>
        </w:rPr>
        <w:t xml:space="preserve">The consequences of these repeated invasive experiences can be profound. One US-based advocacy group has stated that such experiences can and </w:t>
      </w:r>
      <w:r w:rsidRPr="00403B9F">
        <w:rPr>
          <w:rFonts w:cs="Open Sans"/>
        </w:rPr>
        <w:t>have</w:t>
      </w:r>
      <w:r w:rsidRPr="00B757D3">
        <w:rPr>
          <w:rFonts w:cs="Open Sans"/>
        </w:rPr>
        <w:t xml:space="preserve"> led to</w:t>
      </w:r>
      <w:r w:rsidRPr="004D7F3C">
        <w:rPr>
          <w:rFonts w:cs="Open Sans"/>
          <w:lang w:val="en-US"/>
        </w:rPr>
        <w:t xml:space="preserve"> ‘levels of Post Traumatic Stress Disorder equivalent to the experience of childhood sexual abuse</w:t>
      </w:r>
      <w:r>
        <w:rPr>
          <w:rFonts w:cs="Open Sans"/>
          <w:lang w:val="en-US"/>
        </w:rPr>
        <w:t>’</w:t>
      </w:r>
      <w:r w:rsidRPr="004D7F3C">
        <w:rPr>
          <w:rFonts w:cs="Open Sans"/>
          <w:lang w:val="en-US"/>
        </w:rPr>
        <w:t>.</w:t>
      </w:r>
      <w:r w:rsidRPr="00D009E7">
        <w:rPr>
          <w:rStyle w:val="EndnoteReference"/>
          <w:rFonts w:cs="Open Sans"/>
          <w:szCs w:val="20"/>
          <w:lang w:val="en-US"/>
        </w:rPr>
        <w:endnoteReference w:id="106"/>
      </w:r>
    </w:p>
    <w:p w:rsidRPr="00372C38" w:rsidR="008C0259" w:rsidP="008C0259" w:rsidRDefault="008C0259" w14:paraId="0054E757" w14:textId="77777777">
      <w:pPr>
        <w:pStyle w:val="Heading3"/>
        <w:rPr>
          <w:rFonts w:cs="Open Sans"/>
          <w:bCs w:val="0"/>
        </w:rPr>
      </w:pPr>
      <w:bookmarkStart w:name="_Toc57272757" w:id="142"/>
      <w:bookmarkStart w:name="_Toc79509645" w:id="143"/>
      <w:bookmarkStart w:name="_Toc85541403" w:id="144"/>
      <w:bookmarkEnd w:id="142"/>
      <w:r w:rsidRPr="00372C38">
        <w:rPr>
          <w:rFonts w:cs="Open Sans"/>
          <w:bCs w:val="0"/>
        </w:rPr>
        <w:t>Autonomy, identity, personal history</w:t>
      </w:r>
      <w:bookmarkEnd w:id="143"/>
      <w:bookmarkEnd w:id="144"/>
    </w:p>
    <w:p w:rsidRPr="00372C38" w:rsidR="008C0259" w:rsidP="008C0259" w:rsidRDefault="008C0259" w14:paraId="543B9473" w14:textId="77777777">
      <w:pPr>
        <w:rPr>
          <w:rFonts w:cs="Open Sans"/>
        </w:rPr>
      </w:pPr>
      <w:r w:rsidRPr="00372C38">
        <w:rPr>
          <w:rFonts w:cs="Open Sans"/>
        </w:rPr>
        <w:t xml:space="preserve">People with lived experience </w:t>
      </w:r>
      <w:r w:rsidRPr="21966E37">
        <w:rPr>
          <w:rFonts w:cs="Open Sans"/>
        </w:rPr>
        <w:t xml:space="preserve">of variations in sex characteristics </w:t>
      </w:r>
      <w:r w:rsidRPr="00372C38">
        <w:rPr>
          <w:rFonts w:cs="Open Sans"/>
        </w:rPr>
        <w:t xml:space="preserve">reported a range of consequences </w:t>
      </w:r>
      <w:r>
        <w:rPr>
          <w:rFonts w:cs="Open Sans"/>
        </w:rPr>
        <w:t>of</w:t>
      </w:r>
      <w:r w:rsidRPr="00372C38">
        <w:rPr>
          <w:rFonts w:cs="Open Sans"/>
        </w:rPr>
        <w:t xml:space="preserve"> medical treatment without personal consent </w:t>
      </w:r>
      <w:r>
        <w:rPr>
          <w:rFonts w:cs="Open Sans"/>
        </w:rPr>
        <w:t xml:space="preserve">that </w:t>
      </w:r>
      <w:r w:rsidRPr="00372C38">
        <w:rPr>
          <w:rFonts w:cs="Open Sans"/>
        </w:rPr>
        <w:t>related to their formation of identity and sense of self</w:t>
      </w:r>
      <w:r>
        <w:rPr>
          <w:rFonts w:cs="Open Sans"/>
        </w:rPr>
        <w:t xml:space="preserve">. They reported long-lasting, even </w:t>
      </w:r>
      <w:r w:rsidRPr="21966E37">
        <w:rPr>
          <w:rFonts w:cs="Open Sans"/>
        </w:rPr>
        <w:t>lifelong</w:t>
      </w:r>
      <w:r>
        <w:rPr>
          <w:rFonts w:cs="Open Sans"/>
        </w:rPr>
        <w:t xml:space="preserve">, consequences. </w:t>
      </w:r>
    </w:p>
    <w:p w:rsidRPr="00372C38" w:rsidR="008C0259" w:rsidP="008C0259" w:rsidRDefault="008C0259" w14:paraId="0CBAE130" w14:textId="77777777">
      <w:pPr>
        <w:rPr>
          <w:rFonts w:cs="Open Sans"/>
        </w:rPr>
      </w:pPr>
      <w:r w:rsidRPr="00372C38">
        <w:rPr>
          <w:rFonts w:cs="Open Sans"/>
        </w:rPr>
        <w:lastRenderedPageBreak/>
        <w:t>Some described how they can never know the truth of what happened to them as infants or children and that this is experienced by them as a fundamental deprivation.</w:t>
      </w:r>
      <w:r w:rsidRPr="00F17467">
        <w:rPr>
          <w:rStyle w:val="EndnoteReference"/>
          <w:rFonts w:cs="Open Sans"/>
          <w:szCs w:val="20"/>
        </w:rPr>
        <w:endnoteReference w:id="107"/>
      </w:r>
      <w:r w:rsidRPr="00A3244D">
        <w:rPr>
          <w:rFonts w:cs="Open Sans"/>
        </w:rPr>
        <w:t xml:space="preserve"> </w:t>
      </w:r>
      <w:r>
        <w:rPr>
          <w:rFonts w:cs="Open Sans"/>
        </w:rPr>
        <w:t>T</w:t>
      </w:r>
      <w:r w:rsidRPr="00372C38">
        <w:rPr>
          <w:rFonts w:cs="Open Sans"/>
        </w:rPr>
        <w:t>his was particularly the case for older people who have been unable to access reliable documentation or other information</w:t>
      </w:r>
      <w:r>
        <w:rPr>
          <w:rFonts w:cs="Open Sans"/>
        </w:rPr>
        <w:t>.</w:t>
      </w:r>
    </w:p>
    <w:p w:rsidR="008C0259" w:rsidP="008C0259" w:rsidRDefault="008C0259" w14:paraId="785DB564" w14:textId="77777777">
      <w:pPr>
        <w:rPr>
          <w:rFonts w:cs="Open Sans"/>
          <w:i/>
          <w:iCs/>
        </w:rPr>
      </w:pPr>
      <w:r>
        <w:rPr>
          <w:rFonts w:cs="Open Sans"/>
        </w:rPr>
        <w:t>One person said that their realisation in adulthood that their ‘body was at the whim of others’ negatively affected their sense of self.</w:t>
      </w:r>
      <w:r w:rsidRPr="00EC4719">
        <w:rPr>
          <w:rStyle w:val="EndnoteReference"/>
          <w:rFonts w:cs="Open Sans"/>
          <w:szCs w:val="20"/>
        </w:rPr>
        <w:endnoteReference w:id="108"/>
      </w:r>
      <w:r>
        <w:rPr>
          <w:rFonts w:cs="Open Sans"/>
        </w:rPr>
        <w:t xml:space="preserve"> </w:t>
      </w:r>
    </w:p>
    <w:p w:rsidRPr="00372C38" w:rsidR="008C0259" w:rsidP="008C0259" w:rsidRDefault="008C0259" w14:paraId="3E04BE0E" w14:textId="77777777">
      <w:pPr>
        <w:rPr>
          <w:rFonts w:cs="Open Sans"/>
        </w:rPr>
      </w:pPr>
      <w:r>
        <w:rPr>
          <w:rFonts w:cs="Open Sans"/>
        </w:rPr>
        <w:t>Another</w:t>
      </w:r>
      <w:r w:rsidRPr="00372C38">
        <w:rPr>
          <w:rFonts w:cs="Open Sans"/>
        </w:rPr>
        <w:t xml:space="preserve"> commented:</w:t>
      </w:r>
    </w:p>
    <w:p w:rsidRPr="00B3330B" w:rsidR="008C0259" w:rsidP="008C0259" w:rsidRDefault="008C0259" w14:paraId="56FBFB52" w14:textId="77777777">
      <w:pPr>
        <w:ind w:left="720"/>
        <w:rPr>
          <w:rFonts w:cs="Open Sans"/>
          <w:sz w:val="22"/>
          <w:szCs w:val="22"/>
        </w:rPr>
      </w:pPr>
      <w:r w:rsidRPr="00B3330B">
        <w:rPr>
          <w:rFonts w:cs="Open Sans"/>
          <w:sz w:val="22"/>
          <w:szCs w:val="22"/>
        </w:rPr>
        <w:t>Many older intersex people have little or no records of surgery as a child and live a life of limbo in relation to their bodies adding to mental health issues and the inability to ever gain bodily autonomy and of course never bodily integrity.</w:t>
      </w:r>
      <w:r w:rsidRPr="00B3330B">
        <w:rPr>
          <w:rFonts w:cs="Open Sans"/>
          <w:sz w:val="22"/>
          <w:szCs w:val="22"/>
          <w:vertAlign w:val="superscript"/>
        </w:rPr>
        <w:endnoteReference w:id="109"/>
      </w:r>
    </w:p>
    <w:p w:rsidR="008C0259" w:rsidP="008C0259" w:rsidRDefault="008C0259" w14:paraId="1BE569A2" w14:textId="77777777">
      <w:pPr>
        <w:rPr>
          <w:rFonts w:cs="Open Sans"/>
        </w:rPr>
      </w:pPr>
      <w:r w:rsidRPr="0C449446">
        <w:rPr>
          <w:rFonts w:cs="Open Sans"/>
        </w:rPr>
        <w:t xml:space="preserve">Contributors born with variations in sex characteristics expressed distress at their lack of access to records about interventions which had been undertaken and the decision-making processes that had accompanied them. </w:t>
      </w:r>
    </w:p>
    <w:p w:rsidRPr="00372C38" w:rsidR="008C0259" w:rsidP="008C0259" w:rsidRDefault="008C0259" w14:paraId="4B123475" w14:textId="77777777">
      <w:pPr>
        <w:rPr>
          <w:rFonts w:cs="Open Sans"/>
        </w:rPr>
      </w:pPr>
      <w:r>
        <w:rPr>
          <w:rFonts w:cs="Open Sans"/>
        </w:rPr>
        <w:t xml:space="preserve">As discussed in </w:t>
      </w:r>
      <w:r w:rsidRPr="00A1536F">
        <w:rPr>
          <w:rFonts w:cs="Open Sans"/>
        </w:rPr>
        <w:t xml:space="preserve">Chapter 9 </w:t>
      </w:r>
      <w:r>
        <w:rPr>
          <w:rFonts w:cs="Open Sans"/>
        </w:rPr>
        <w:t>–</w:t>
      </w:r>
      <w:r w:rsidRPr="00A1536F">
        <w:rPr>
          <w:rFonts w:cs="Open Sans"/>
        </w:rPr>
        <w:t xml:space="preserve"> Data and Health Records Access, practices</w:t>
      </w:r>
      <w:r>
        <w:rPr>
          <w:rFonts w:cs="Open Sans"/>
        </w:rPr>
        <w:t xml:space="preserve"> concerning the retention</w:t>
      </w:r>
      <w:r w:rsidRPr="00372C38">
        <w:rPr>
          <w:rFonts w:cs="Open Sans"/>
        </w:rPr>
        <w:t xml:space="preserve"> and destruction</w:t>
      </w:r>
      <w:r>
        <w:rPr>
          <w:rFonts w:cs="Open Sans"/>
        </w:rPr>
        <w:t xml:space="preserve"> of medical records were seen as </w:t>
      </w:r>
      <w:r w:rsidRPr="00372C38">
        <w:rPr>
          <w:rFonts w:cs="Open Sans"/>
        </w:rPr>
        <w:t xml:space="preserve">disempowering people from taking full agency in management of their health and well-being </w:t>
      </w:r>
      <w:r>
        <w:rPr>
          <w:rFonts w:cs="Open Sans"/>
        </w:rPr>
        <w:t xml:space="preserve">and </w:t>
      </w:r>
      <w:r w:rsidRPr="00372C38">
        <w:rPr>
          <w:rFonts w:cs="Open Sans"/>
        </w:rPr>
        <w:t xml:space="preserve">detracting from </w:t>
      </w:r>
      <w:r>
        <w:rPr>
          <w:rFonts w:cs="Open Sans"/>
        </w:rPr>
        <w:t>people’s</w:t>
      </w:r>
      <w:r w:rsidRPr="00372C38">
        <w:rPr>
          <w:rFonts w:cs="Open Sans"/>
        </w:rPr>
        <w:t xml:space="preserve"> sense of identity and safety.</w:t>
      </w:r>
      <w:r w:rsidRPr="00C31981">
        <w:rPr>
          <w:rStyle w:val="EndnoteReference"/>
          <w:rFonts w:cs="Open Sans"/>
          <w:szCs w:val="20"/>
        </w:rPr>
        <w:endnoteReference w:id="110"/>
      </w:r>
    </w:p>
    <w:p w:rsidRPr="00372C38" w:rsidR="008C0259" w:rsidP="008C0259" w:rsidRDefault="008C0259" w14:paraId="147346B8" w14:textId="77777777">
      <w:pPr>
        <w:pStyle w:val="Heading3"/>
        <w:rPr>
          <w:rFonts w:cs="Open Sans"/>
          <w:bCs w:val="0"/>
        </w:rPr>
      </w:pPr>
      <w:bookmarkStart w:name="_Toc57272759" w:id="145"/>
      <w:bookmarkStart w:name="_Toc57272761" w:id="146"/>
      <w:bookmarkStart w:name="_Toc57272762" w:id="147"/>
      <w:bookmarkStart w:name="_Toc57272765" w:id="148"/>
      <w:bookmarkStart w:name="_Toc79509646" w:id="149"/>
      <w:bookmarkStart w:name="_Toc85541404" w:id="150"/>
      <w:bookmarkEnd w:id="145"/>
      <w:bookmarkEnd w:id="146"/>
      <w:bookmarkEnd w:id="147"/>
      <w:bookmarkEnd w:id="148"/>
      <w:r w:rsidRPr="00372C38">
        <w:rPr>
          <w:rFonts w:cs="Open Sans"/>
          <w:bCs w:val="0"/>
        </w:rPr>
        <w:t>Relationships</w:t>
      </w:r>
      <w:bookmarkEnd w:id="149"/>
      <w:bookmarkEnd w:id="150"/>
    </w:p>
    <w:p w:rsidR="008C0259" w:rsidP="008C0259" w:rsidRDefault="008C0259" w14:paraId="256CCEFF" w14:textId="77777777">
      <w:pPr>
        <w:rPr>
          <w:rFonts w:cs="Open Sans"/>
        </w:rPr>
      </w:pPr>
      <w:r w:rsidRPr="00372C38">
        <w:rPr>
          <w:rFonts w:cs="Open Sans"/>
        </w:rPr>
        <w:t xml:space="preserve">People with lived experience </w:t>
      </w:r>
      <w:r w:rsidRPr="21966E37">
        <w:rPr>
          <w:rFonts w:cs="Open Sans"/>
        </w:rPr>
        <w:t>of variations in sex characteristics</w:t>
      </w:r>
      <w:r w:rsidRPr="00372C38">
        <w:rPr>
          <w:rFonts w:cs="Open Sans"/>
        </w:rPr>
        <w:t xml:space="preserve"> reported negative impacts on personal relationships, flowing from medical interventions. They described adverse effects, regardless of whether early intervention was undertaken or not.</w:t>
      </w:r>
      <w:r w:rsidRPr="00FF4807">
        <w:rPr>
          <w:rFonts w:cs="Open Sans"/>
          <w:sz w:val="20"/>
          <w:szCs w:val="20"/>
          <w:vertAlign w:val="superscript"/>
        </w:rPr>
        <w:endnoteReference w:id="111"/>
      </w:r>
      <w:r w:rsidRPr="00372C38">
        <w:rPr>
          <w:rFonts w:cs="Open Sans"/>
        </w:rPr>
        <w:t xml:space="preserve"> Th</w:t>
      </w:r>
      <w:r>
        <w:rPr>
          <w:rFonts w:cs="Open Sans"/>
        </w:rPr>
        <w:t>ese effects</w:t>
      </w:r>
      <w:r w:rsidRPr="00372C38">
        <w:rPr>
          <w:rFonts w:cs="Open Sans"/>
        </w:rPr>
        <w:t xml:space="preserve"> include</w:t>
      </w:r>
      <w:r>
        <w:rPr>
          <w:rFonts w:cs="Open Sans"/>
        </w:rPr>
        <w:t>d</w:t>
      </w:r>
      <w:r w:rsidRPr="00372C38">
        <w:rPr>
          <w:rFonts w:cs="Open Sans"/>
        </w:rPr>
        <w:t xml:space="preserve"> estrangement and stresses in relationships with parents and other family members, arising sometimes from their parents having authorised treatment that they would not themselves have chosen to consent to. </w:t>
      </w:r>
      <w:r>
        <w:rPr>
          <w:rFonts w:cs="Open Sans"/>
        </w:rPr>
        <w:t>One person with lived experience said that the adult realisation of their lack of autonomy ‘</w:t>
      </w:r>
      <w:r w:rsidRPr="009A4B23">
        <w:rPr>
          <w:rFonts w:cs="Open Sans"/>
        </w:rPr>
        <w:t>impacts on my ability to form relationships and gel with society</w:t>
      </w:r>
      <w:r>
        <w:rPr>
          <w:rFonts w:cs="Open Sans"/>
        </w:rPr>
        <w:t>’.</w:t>
      </w:r>
      <w:r w:rsidRPr="00220A57">
        <w:rPr>
          <w:rStyle w:val="EndnoteReference"/>
          <w:rFonts w:cs="Open Sans"/>
          <w:szCs w:val="20"/>
        </w:rPr>
        <w:endnoteReference w:id="112"/>
      </w:r>
    </w:p>
    <w:p w:rsidRPr="00372C38" w:rsidR="008C0259" w:rsidP="008C0259" w:rsidRDefault="008C0259" w14:paraId="5A4DD16B" w14:textId="77777777">
      <w:pPr>
        <w:rPr>
          <w:rFonts w:cs="Open Sans"/>
        </w:rPr>
      </w:pPr>
      <w:r>
        <w:rPr>
          <w:rFonts w:cs="Open Sans"/>
        </w:rPr>
        <w:t>A community health organisation asserted that</w:t>
      </w:r>
      <w:r w:rsidRPr="00372C38">
        <w:rPr>
          <w:rFonts w:cs="Open Sans"/>
        </w:rPr>
        <w:t xml:space="preserve"> experiences</w:t>
      </w:r>
      <w:r>
        <w:rPr>
          <w:rFonts w:cs="Open Sans"/>
        </w:rPr>
        <w:t xml:space="preserve"> of medically unnecessary interventions</w:t>
      </w:r>
      <w:r w:rsidRPr="00372C38">
        <w:rPr>
          <w:rFonts w:cs="Open Sans"/>
        </w:rPr>
        <w:t xml:space="preserve"> had led to difficulties </w:t>
      </w:r>
      <w:r>
        <w:rPr>
          <w:rFonts w:cs="Open Sans"/>
        </w:rPr>
        <w:t xml:space="preserve">for individuals in </w:t>
      </w:r>
      <w:r w:rsidRPr="00372C38">
        <w:rPr>
          <w:rFonts w:cs="Open Sans"/>
        </w:rPr>
        <w:t>negotiating intimate relationships.</w:t>
      </w:r>
      <w:r w:rsidRPr="00220A57">
        <w:rPr>
          <w:rStyle w:val="EndnoteReference"/>
          <w:rFonts w:cs="Open Sans"/>
          <w:szCs w:val="20"/>
        </w:rPr>
        <w:endnoteReference w:id="113"/>
      </w:r>
    </w:p>
    <w:p w:rsidRPr="00372C38" w:rsidR="008C0259" w:rsidP="008C0259" w:rsidRDefault="008C0259" w14:paraId="7667EC54" w14:textId="77777777">
      <w:pPr>
        <w:pStyle w:val="Heading3"/>
        <w:rPr>
          <w:rFonts w:cs="Open Sans"/>
          <w:bCs w:val="0"/>
        </w:rPr>
      </w:pPr>
      <w:bookmarkStart w:name="_Toc57272767" w:id="152"/>
      <w:bookmarkStart w:name="_Toc79509647" w:id="153"/>
      <w:bookmarkStart w:name="_Toc85541405" w:id="154"/>
      <w:bookmarkEnd w:id="152"/>
      <w:r>
        <w:rPr>
          <w:rFonts w:cs="Open Sans"/>
          <w:bCs w:val="0"/>
        </w:rPr>
        <w:lastRenderedPageBreak/>
        <w:t>M</w:t>
      </w:r>
      <w:r w:rsidRPr="00372C38">
        <w:rPr>
          <w:rFonts w:cs="Open Sans"/>
          <w:bCs w:val="0"/>
        </w:rPr>
        <w:t>ental health</w:t>
      </w:r>
      <w:bookmarkEnd w:id="153"/>
      <w:bookmarkEnd w:id="154"/>
    </w:p>
    <w:p w:rsidRPr="00372C38" w:rsidR="008C0259" w:rsidP="008C0259" w:rsidRDefault="008C0259" w14:paraId="0BE25964" w14:textId="77777777">
      <w:pPr>
        <w:rPr>
          <w:rFonts w:cs="Open Sans"/>
        </w:rPr>
      </w:pPr>
      <w:r w:rsidRPr="00372C38">
        <w:rPr>
          <w:rFonts w:cs="Open Sans"/>
        </w:rPr>
        <w:t xml:space="preserve">People born with variations in sex characteristics reported a range of negative physical and mental outcomes. </w:t>
      </w:r>
    </w:p>
    <w:p w:rsidRPr="00372C38" w:rsidR="008C0259" w:rsidP="008C0259" w:rsidRDefault="008C0259" w14:paraId="058C0302" w14:textId="77777777">
      <w:pPr>
        <w:rPr>
          <w:rFonts w:cs="Open Sans"/>
          <w:sz w:val="18"/>
          <w:szCs w:val="18"/>
        </w:rPr>
      </w:pPr>
      <w:r>
        <w:rPr>
          <w:rFonts w:cs="Open Sans"/>
        </w:rPr>
        <w:t>A number of stakeholders, including specialist psychological organisations, emphasised</w:t>
      </w:r>
      <w:r w:rsidRPr="00372C38">
        <w:rPr>
          <w:rFonts w:cs="Open Sans"/>
        </w:rPr>
        <w:t xml:space="preserve"> that </w:t>
      </w:r>
      <w:r>
        <w:rPr>
          <w:rFonts w:cs="Open Sans"/>
        </w:rPr>
        <w:t>people</w:t>
      </w:r>
      <w:r w:rsidRPr="00372C38">
        <w:rPr>
          <w:rFonts w:cs="Open Sans"/>
        </w:rPr>
        <w:t xml:space="preserve"> experienced poor mental health arising not from variations in sex characteristics </w:t>
      </w:r>
      <w:r w:rsidRPr="00CD17BC">
        <w:rPr>
          <w:rFonts w:cs="Open Sans"/>
        </w:rPr>
        <w:t>of themselves</w:t>
      </w:r>
      <w:r w:rsidRPr="00372C38">
        <w:rPr>
          <w:rFonts w:cs="Open Sans"/>
        </w:rPr>
        <w:t>, but from how others characterise their variation as problematic.</w:t>
      </w:r>
      <w:r w:rsidRPr="00220A57">
        <w:rPr>
          <w:rFonts w:cs="Open Sans"/>
          <w:sz w:val="20"/>
          <w:szCs w:val="20"/>
          <w:vertAlign w:val="superscript"/>
        </w:rPr>
        <w:endnoteReference w:id="114"/>
      </w:r>
      <w:r w:rsidRPr="00372C38">
        <w:rPr>
          <w:rFonts w:cs="Open Sans"/>
        </w:rPr>
        <w:t xml:space="preserve"> This was reported regardless of whether diagnosis of variations occurred at an early age and regardless of whether there was early intervention</w:t>
      </w:r>
      <w:r>
        <w:rPr>
          <w:rFonts w:cs="Open Sans"/>
        </w:rPr>
        <w:t>. P</w:t>
      </w:r>
      <w:r w:rsidRPr="00372C38">
        <w:rPr>
          <w:rFonts w:cs="Open Sans"/>
        </w:rPr>
        <w:t xml:space="preserve">oor mental health was reported as being compounded where intervention was </w:t>
      </w:r>
      <w:r>
        <w:rPr>
          <w:rFonts w:cs="Open Sans"/>
        </w:rPr>
        <w:t>carried out</w:t>
      </w:r>
      <w:r w:rsidRPr="00372C38">
        <w:rPr>
          <w:rFonts w:cs="Open Sans"/>
        </w:rPr>
        <w:t xml:space="preserve"> without personal consent.</w:t>
      </w:r>
      <w:r w:rsidRPr="0117CC5D">
        <w:rPr>
          <w:rStyle w:val="EndnoteReference"/>
          <w:rFonts w:cs="Open Sans"/>
        </w:rPr>
        <w:endnoteReference w:id="115"/>
      </w:r>
      <w:r w:rsidRPr="00220A57">
        <w:rPr>
          <w:rFonts w:cs="Open Sans"/>
          <w:sz w:val="20"/>
          <w:szCs w:val="20"/>
        </w:rPr>
        <w:t xml:space="preserve"> </w:t>
      </w:r>
    </w:p>
    <w:p w:rsidRPr="00372C38" w:rsidR="008C0259" w:rsidP="008C0259" w:rsidRDefault="008C0259" w14:paraId="675C279C" w14:textId="77777777">
      <w:pPr>
        <w:spacing w:after="160" w:line="259" w:lineRule="auto"/>
        <w:rPr>
          <w:rFonts w:cs="Open Sans"/>
        </w:rPr>
      </w:pPr>
      <w:r>
        <w:rPr>
          <w:rFonts w:cs="Open Sans"/>
        </w:rPr>
        <w:t>One specialist psychological organisation cited research that indicated that</w:t>
      </w:r>
      <w:r w:rsidRPr="00372C38">
        <w:rPr>
          <w:rFonts w:cs="Open Sans"/>
        </w:rPr>
        <w:t xml:space="preserve"> </w:t>
      </w:r>
      <w:r>
        <w:rPr>
          <w:rFonts w:cs="Open Sans"/>
        </w:rPr>
        <w:t xml:space="preserve">people born with variations in sex characteristics </w:t>
      </w:r>
      <w:r w:rsidRPr="00372C38">
        <w:rPr>
          <w:rFonts w:cs="Open Sans"/>
        </w:rPr>
        <w:t>reported attempts at self-harm,</w:t>
      </w:r>
      <w:r w:rsidRPr="00220A57">
        <w:rPr>
          <w:rFonts w:cs="Open Sans"/>
          <w:sz w:val="20"/>
          <w:szCs w:val="20"/>
          <w:vertAlign w:val="superscript"/>
        </w:rPr>
        <w:endnoteReference w:id="116"/>
      </w:r>
      <w:r w:rsidRPr="00372C38">
        <w:rPr>
          <w:rFonts w:cs="Open Sans"/>
        </w:rPr>
        <w:t xml:space="preserve"> suicidality</w:t>
      </w:r>
      <w:r>
        <w:rPr>
          <w:rFonts w:cs="Open Sans"/>
        </w:rPr>
        <w:t>, including</w:t>
      </w:r>
      <w:r w:rsidRPr="00372C38">
        <w:rPr>
          <w:rFonts w:cs="Open Sans"/>
        </w:rPr>
        <w:t xml:space="preserve"> suicidal ideation</w:t>
      </w:r>
      <w:r>
        <w:rPr>
          <w:rFonts w:cs="Open Sans"/>
        </w:rPr>
        <w:t>,</w:t>
      </w:r>
      <w:r w:rsidRPr="00372C38">
        <w:rPr>
          <w:rFonts w:cs="Open Sans"/>
        </w:rPr>
        <w:t xml:space="preserve"> linked to negative responses from those around them or their sense of isolation, </w:t>
      </w:r>
      <w:r>
        <w:rPr>
          <w:rFonts w:cs="Open Sans"/>
        </w:rPr>
        <w:t>and being ‘</w:t>
      </w:r>
      <w:r w:rsidRPr="00372C38">
        <w:rPr>
          <w:rFonts w:cs="Open Sans"/>
        </w:rPr>
        <w:t>other</w:t>
      </w:r>
      <w:r>
        <w:rPr>
          <w:rFonts w:cs="Open Sans"/>
        </w:rPr>
        <w:t>ed’.</w:t>
      </w:r>
      <w:r w:rsidRPr="00220A57">
        <w:rPr>
          <w:rFonts w:cs="Open Sans"/>
          <w:sz w:val="20"/>
          <w:szCs w:val="20"/>
          <w:vertAlign w:val="superscript"/>
        </w:rPr>
        <w:endnoteReference w:id="117"/>
      </w:r>
      <w:r w:rsidRPr="00372C38">
        <w:rPr>
          <w:rFonts w:cs="Open Sans"/>
        </w:rPr>
        <w:t xml:space="preserve"> </w:t>
      </w:r>
      <w:r>
        <w:rPr>
          <w:rFonts w:cs="Open Sans"/>
        </w:rPr>
        <w:t>An individual with lived experience stated that people with variations in sex characteristics are</w:t>
      </w:r>
      <w:r w:rsidRPr="00372C38">
        <w:rPr>
          <w:rFonts w:cs="Open Sans"/>
        </w:rPr>
        <w:t xml:space="preserve"> reluctan</w:t>
      </w:r>
      <w:r>
        <w:rPr>
          <w:rFonts w:cs="Open Sans"/>
        </w:rPr>
        <w:t>t</w:t>
      </w:r>
      <w:r w:rsidRPr="00372C38">
        <w:rPr>
          <w:rFonts w:cs="Open Sans"/>
        </w:rPr>
        <w:t xml:space="preserve"> to seek medical and other kinds of help,</w:t>
      </w:r>
      <w:r>
        <w:rPr>
          <w:rFonts w:cs="Open Sans"/>
        </w:rPr>
        <w:t xml:space="preserve"> due to ‘being burdened by shame and stigma’.</w:t>
      </w:r>
      <w:r w:rsidRPr="00EC270A">
        <w:rPr>
          <w:rStyle w:val="EndnoteReference"/>
          <w:rFonts w:cs="Open Sans"/>
          <w:szCs w:val="20"/>
        </w:rPr>
        <w:endnoteReference w:id="118"/>
      </w:r>
    </w:p>
    <w:p w:rsidRPr="00372C38" w:rsidR="008C0259" w:rsidP="008C0259" w:rsidRDefault="008C0259" w14:paraId="55687B3D" w14:textId="77777777">
      <w:pPr>
        <w:rPr>
          <w:rFonts w:cs="Open Sans"/>
        </w:rPr>
      </w:pPr>
      <w:r w:rsidRPr="0C449446">
        <w:rPr>
          <w:rFonts w:cs="Open Sans"/>
        </w:rPr>
        <w:t xml:space="preserve">People born with variations in sex characteristics also </w:t>
      </w:r>
      <w:r w:rsidRPr="00372C38">
        <w:rPr>
          <w:rFonts w:cs="Open Sans"/>
        </w:rPr>
        <w:t xml:space="preserve">described the </w:t>
      </w:r>
      <w:r>
        <w:rPr>
          <w:rFonts w:cs="Open Sans"/>
        </w:rPr>
        <w:t xml:space="preserve">stress and </w:t>
      </w:r>
      <w:r w:rsidRPr="00372C38">
        <w:rPr>
          <w:rFonts w:cs="Open Sans"/>
        </w:rPr>
        <w:t>lifelong burden of educating a series of health care providers.</w:t>
      </w:r>
      <w:r w:rsidRPr="00EC270A">
        <w:rPr>
          <w:rStyle w:val="EndnoteReference"/>
          <w:rFonts w:cs="Open Sans"/>
          <w:szCs w:val="20"/>
        </w:rPr>
        <w:endnoteReference w:id="119"/>
      </w:r>
      <w:r w:rsidRPr="00372C38">
        <w:rPr>
          <w:rFonts w:cs="Open Sans"/>
        </w:rPr>
        <w:t xml:space="preserve"> </w:t>
      </w:r>
      <w:r>
        <w:rPr>
          <w:rFonts w:cs="Open Sans"/>
        </w:rPr>
        <w:t>W</w:t>
      </w:r>
      <w:r w:rsidRPr="00372C38">
        <w:rPr>
          <w:rFonts w:cs="Open Sans"/>
        </w:rPr>
        <w:t xml:space="preserve">here healthcare professionals did seek to inform themselves, that was welcomed and appreciated by </w:t>
      </w:r>
      <w:r>
        <w:rPr>
          <w:rFonts w:cs="Open Sans"/>
        </w:rPr>
        <w:t>individuals with variations</w:t>
      </w:r>
      <w:r w:rsidRPr="00372C38">
        <w:rPr>
          <w:rFonts w:cs="Open Sans"/>
        </w:rPr>
        <w:t>.</w:t>
      </w:r>
      <w:r w:rsidRPr="00EC270A">
        <w:rPr>
          <w:rStyle w:val="EndnoteReference"/>
          <w:rFonts w:cs="Open Sans"/>
          <w:szCs w:val="20"/>
        </w:rPr>
        <w:endnoteReference w:id="120"/>
      </w:r>
    </w:p>
    <w:p w:rsidRPr="00372C38" w:rsidR="008C0259" w:rsidP="008C0259" w:rsidRDefault="008C0259" w14:paraId="244CBEC2" w14:textId="77777777">
      <w:pPr>
        <w:rPr>
          <w:rFonts w:cs="Open Sans"/>
        </w:rPr>
      </w:pPr>
      <w:r w:rsidRPr="00372C38">
        <w:rPr>
          <w:rFonts w:cs="Open Sans"/>
        </w:rPr>
        <w:t xml:space="preserve">Some </w:t>
      </w:r>
      <w:r>
        <w:rPr>
          <w:rFonts w:cs="Open Sans"/>
        </w:rPr>
        <w:t xml:space="preserve">people </w:t>
      </w:r>
      <w:r w:rsidRPr="00372C38">
        <w:rPr>
          <w:rFonts w:cs="Open Sans"/>
        </w:rPr>
        <w:t>described the distress associated with gender dysphoria, where sex of rearing did not align with gender identity as it developed</w:t>
      </w:r>
      <w:r>
        <w:rPr>
          <w:rFonts w:cs="Open Sans"/>
        </w:rPr>
        <w:t>.</w:t>
      </w:r>
      <w:r w:rsidRPr="009A500A">
        <w:rPr>
          <w:rStyle w:val="EndnoteReference"/>
          <w:rFonts w:cs="Open Sans"/>
          <w:szCs w:val="20"/>
        </w:rPr>
        <w:endnoteReference w:id="121"/>
      </w:r>
      <w:r w:rsidRPr="00372C38">
        <w:rPr>
          <w:rFonts w:cs="Open Sans"/>
        </w:rPr>
        <w:t xml:space="preserve"> </w:t>
      </w:r>
      <w:r>
        <w:rPr>
          <w:rFonts w:cs="Open Sans"/>
        </w:rPr>
        <w:t>O</w:t>
      </w:r>
      <w:r w:rsidRPr="00372C38">
        <w:rPr>
          <w:rFonts w:cs="Open Sans"/>
        </w:rPr>
        <w:t xml:space="preserve">thers identified experiencing PTSD </w:t>
      </w:r>
      <w:r>
        <w:rPr>
          <w:rFonts w:cs="Open Sans"/>
        </w:rPr>
        <w:t>consequent to</w:t>
      </w:r>
      <w:r w:rsidRPr="00372C38">
        <w:rPr>
          <w:rFonts w:cs="Open Sans"/>
        </w:rPr>
        <w:t xml:space="preserve"> </w:t>
      </w:r>
      <w:r>
        <w:rPr>
          <w:rFonts w:cs="Open Sans"/>
        </w:rPr>
        <w:t>medical interventions, based on a sense that their ‘body was at the whim of others’</w:t>
      </w:r>
      <w:r w:rsidRPr="00372C38">
        <w:rPr>
          <w:rFonts w:cs="Open Sans"/>
        </w:rPr>
        <w:t>.</w:t>
      </w:r>
      <w:r w:rsidRPr="009A500A">
        <w:rPr>
          <w:rStyle w:val="EndnoteReference"/>
          <w:rFonts w:cs="Open Sans"/>
          <w:szCs w:val="20"/>
        </w:rPr>
        <w:endnoteReference w:id="122"/>
      </w:r>
      <w:r w:rsidRPr="00372C38">
        <w:rPr>
          <w:rFonts w:cs="Open Sans"/>
        </w:rPr>
        <w:t xml:space="preserve"> </w:t>
      </w:r>
    </w:p>
    <w:p w:rsidR="008C0259" w:rsidP="008C0259" w:rsidRDefault="008C0259" w14:paraId="2F3EEC06" w14:textId="77777777">
      <w:pPr>
        <w:pStyle w:val="Heading3"/>
      </w:pPr>
      <w:bookmarkStart w:name="_Toc79509648" w:id="155"/>
      <w:bookmarkStart w:name="_Toc85541406" w:id="156"/>
      <w:r>
        <w:t>Other experiences</w:t>
      </w:r>
      <w:bookmarkEnd w:id="155"/>
      <w:bookmarkEnd w:id="156"/>
      <w:r>
        <w:t xml:space="preserve"> </w:t>
      </w:r>
    </w:p>
    <w:p w:rsidR="008C0259" w:rsidP="008C0259" w:rsidRDefault="008C0259" w14:paraId="1BF169F7" w14:textId="77777777">
      <w:pPr>
        <w:rPr>
          <w:rFonts w:cs="Open Sans"/>
        </w:rPr>
      </w:pPr>
      <w:r>
        <w:rPr>
          <w:rFonts w:cs="Open Sans"/>
        </w:rPr>
        <w:t>People born with variations in sex characteristics</w:t>
      </w:r>
      <w:r w:rsidRPr="00A22C30">
        <w:rPr>
          <w:rFonts w:cs="Open Sans"/>
        </w:rPr>
        <w:t xml:space="preserve"> </w:t>
      </w:r>
      <w:r w:rsidRPr="00287C2A">
        <w:rPr>
          <w:rFonts w:cs="Open Sans"/>
        </w:rPr>
        <w:t xml:space="preserve">reported that the </w:t>
      </w:r>
      <w:r>
        <w:rPr>
          <w:rFonts w:cs="Open Sans"/>
        </w:rPr>
        <w:t>medical interventions</w:t>
      </w:r>
      <w:r w:rsidRPr="00287C2A">
        <w:rPr>
          <w:rFonts w:cs="Open Sans"/>
        </w:rPr>
        <w:t xml:space="preserve"> had </w:t>
      </w:r>
      <w:r>
        <w:rPr>
          <w:rFonts w:cs="Open Sans"/>
        </w:rPr>
        <w:t>affected</w:t>
      </w:r>
      <w:r w:rsidRPr="00287C2A">
        <w:rPr>
          <w:rFonts w:cs="Open Sans"/>
        </w:rPr>
        <w:t xml:space="preserve"> their lives in other ways</w:t>
      </w:r>
      <w:r>
        <w:rPr>
          <w:rFonts w:cs="Open Sans"/>
        </w:rPr>
        <w:t xml:space="preserve">. </w:t>
      </w:r>
    </w:p>
    <w:p w:rsidRPr="00372C38" w:rsidR="008C0259" w:rsidP="008C0259" w:rsidRDefault="008C0259" w14:paraId="177ADCA9" w14:textId="77777777">
      <w:pPr>
        <w:rPr>
          <w:rFonts w:cs="Open Sans"/>
          <w:i/>
        </w:rPr>
      </w:pPr>
      <w:r>
        <w:rPr>
          <w:rFonts w:cs="Open Sans"/>
        </w:rPr>
        <w:lastRenderedPageBreak/>
        <w:t>Some described</w:t>
      </w:r>
      <w:r w:rsidRPr="00372C38">
        <w:rPr>
          <w:rFonts w:cs="Open Sans"/>
        </w:rPr>
        <w:t xml:space="preserve"> negative effects on their educational and economic prospects. </w:t>
      </w:r>
      <w:r>
        <w:rPr>
          <w:rFonts w:cs="Open Sans"/>
        </w:rPr>
        <w:t>These effects included</w:t>
      </w:r>
      <w:r w:rsidRPr="00372C38">
        <w:rPr>
          <w:rFonts w:cs="Open Sans"/>
        </w:rPr>
        <w:t xml:space="preserve"> poor educational outcomes and related economic hardship</w:t>
      </w:r>
      <w:r>
        <w:rPr>
          <w:rFonts w:cs="Open Sans"/>
        </w:rPr>
        <w:t>,</w:t>
      </w:r>
      <w:r w:rsidRPr="00372C38">
        <w:rPr>
          <w:rFonts w:cs="Open Sans"/>
        </w:rPr>
        <w:t xml:space="preserve"> due to stress consequent to medical interventions without personal consent.</w:t>
      </w:r>
      <w:r w:rsidRPr="009A500A">
        <w:rPr>
          <w:rStyle w:val="EndnoteReference"/>
          <w:rFonts w:cs="Open Sans"/>
          <w:szCs w:val="20"/>
        </w:rPr>
        <w:endnoteReference w:id="123"/>
      </w:r>
      <w:r w:rsidRPr="009A500A">
        <w:rPr>
          <w:rFonts w:cs="Open Sans"/>
          <w:sz w:val="20"/>
          <w:szCs w:val="20"/>
        </w:rPr>
        <w:t xml:space="preserve"> </w:t>
      </w:r>
      <w:r w:rsidRPr="00372C38">
        <w:rPr>
          <w:rFonts w:cs="Open Sans"/>
        </w:rPr>
        <w:t xml:space="preserve"> </w:t>
      </w:r>
    </w:p>
    <w:p w:rsidRPr="00372C38" w:rsidR="008C0259" w:rsidP="008C0259" w:rsidRDefault="008C0259" w14:paraId="5F6FEE26" w14:textId="77777777">
      <w:pPr>
        <w:rPr>
          <w:rFonts w:cs="Open Sans"/>
        </w:rPr>
      </w:pPr>
      <w:r>
        <w:rPr>
          <w:rFonts w:cs="Open Sans"/>
        </w:rPr>
        <w:t>So</w:t>
      </w:r>
      <w:r w:rsidRPr="00A22C30">
        <w:rPr>
          <w:rFonts w:cs="Open Sans"/>
        </w:rPr>
        <w:t xml:space="preserve">me </w:t>
      </w:r>
      <w:r>
        <w:rPr>
          <w:rFonts w:cs="Open Sans"/>
        </w:rPr>
        <w:t xml:space="preserve">people </w:t>
      </w:r>
      <w:r w:rsidRPr="00A22C30">
        <w:rPr>
          <w:rFonts w:cs="Open Sans"/>
        </w:rPr>
        <w:t xml:space="preserve">also noted that harms </w:t>
      </w:r>
      <w:r>
        <w:rPr>
          <w:rFonts w:cs="Open Sans"/>
        </w:rPr>
        <w:t xml:space="preserve">they have </w:t>
      </w:r>
      <w:r w:rsidRPr="00A22C30">
        <w:rPr>
          <w:rFonts w:cs="Open Sans"/>
        </w:rPr>
        <w:t xml:space="preserve">experienced </w:t>
      </w:r>
      <w:r>
        <w:rPr>
          <w:rFonts w:cs="Open Sans"/>
        </w:rPr>
        <w:t xml:space="preserve">have been </w:t>
      </w:r>
      <w:r w:rsidRPr="00A22C30">
        <w:rPr>
          <w:rFonts w:cs="Open Sans"/>
        </w:rPr>
        <w:t>compounded by</w:t>
      </w:r>
      <w:r>
        <w:rPr>
          <w:rFonts w:cs="Open Sans"/>
        </w:rPr>
        <w:t xml:space="preserve"> other characteristics such as </w:t>
      </w:r>
      <w:r w:rsidRPr="00372C38">
        <w:rPr>
          <w:rFonts w:cs="Open Sans"/>
        </w:rPr>
        <w:t>race, age, disability, sexual orientation and gender identity.</w:t>
      </w:r>
      <w:r w:rsidRPr="009A500A">
        <w:rPr>
          <w:rStyle w:val="EndnoteReference"/>
          <w:rFonts w:cs="Open Sans"/>
          <w:szCs w:val="20"/>
        </w:rPr>
        <w:endnoteReference w:id="124"/>
      </w:r>
      <w:r w:rsidRPr="009A500A">
        <w:rPr>
          <w:rStyle w:val="CommentReference"/>
          <w:sz w:val="12"/>
          <w:szCs w:val="12"/>
        </w:rPr>
        <w:t xml:space="preserve"> </w:t>
      </w:r>
    </w:p>
    <w:p w:rsidRPr="00372C38" w:rsidR="008C0259" w:rsidP="005C1F23" w:rsidRDefault="008C0259" w14:paraId="64100ED4" w14:textId="597C5A9B">
      <w:pPr>
        <w:pStyle w:val="AHRCHeading2"/>
        <w:rPr>
          <w:bCs/>
        </w:rPr>
      </w:pPr>
      <w:bookmarkStart w:name="_Toc79509649" w:id="157"/>
      <w:bookmarkStart w:name="_Toc85541407" w:id="158"/>
      <w:r w:rsidRPr="00372C38">
        <w:t xml:space="preserve">Experience of parents and </w:t>
      </w:r>
      <w:bookmarkEnd w:id="157"/>
      <w:r w:rsidR="00B153E6">
        <w:t>legal guardians</w:t>
      </w:r>
      <w:bookmarkEnd w:id="158"/>
    </w:p>
    <w:p w:rsidRPr="00372C38" w:rsidR="008C0259" w:rsidP="008C0259" w:rsidRDefault="008C0259" w14:paraId="5715D1DA" w14:textId="77777777">
      <w:pPr>
        <w:rPr>
          <w:rFonts w:cs="Open Sans"/>
        </w:rPr>
      </w:pPr>
      <w:r w:rsidRPr="00372C38">
        <w:rPr>
          <w:rFonts w:cs="Open Sans"/>
        </w:rPr>
        <w:t xml:space="preserve">For most parents, carers and family, the hospital room or the doctor’s office is the first time they have ever encountered </w:t>
      </w:r>
      <w:r>
        <w:rPr>
          <w:rFonts w:cs="Open Sans"/>
        </w:rPr>
        <w:t xml:space="preserve">the phenomenon of people born with </w:t>
      </w:r>
      <w:r w:rsidRPr="00372C38">
        <w:rPr>
          <w:rFonts w:cs="Open Sans"/>
        </w:rPr>
        <w:t xml:space="preserve">variations in sex characteristics. </w:t>
      </w:r>
    </w:p>
    <w:p w:rsidRPr="00372C38" w:rsidR="008C0259" w:rsidP="008C0259" w:rsidRDefault="008C0259" w14:paraId="7B20752E" w14:textId="77777777">
      <w:pPr>
        <w:rPr>
          <w:rFonts w:cs="Open Sans"/>
        </w:rPr>
      </w:pPr>
      <w:r>
        <w:rPr>
          <w:rFonts w:cs="Open Sans"/>
        </w:rPr>
        <w:t xml:space="preserve">Their experiences reflect </w:t>
      </w:r>
      <w:r w:rsidRPr="00372C38">
        <w:rPr>
          <w:rFonts w:cs="Open Sans"/>
        </w:rPr>
        <w:t xml:space="preserve">a </w:t>
      </w:r>
      <w:r>
        <w:rPr>
          <w:rFonts w:cs="Open Sans"/>
        </w:rPr>
        <w:t>significant</w:t>
      </w:r>
      <w:r w:rsidRPr="00372C38">
        <w:rPr>
          <w:rFonts w:cs="Open Sans"/>
        </w:rPr>
        <w:t xml:space="preserve"> information asymmetry between individuals born with variations in sex characteristics, their parents, carers and families on the one hand</w:t>
      </w:r>
      <w:r>
        <w:rPr>
          <w:rFonts w:cs="Open Sans"/>
        </w:rPr>
        <w:t>,</w:t>
      </w:r>
      <w:r w:rsidRPr="00372C38">
        <w:rPr>
          <w:rFonts w:cs="Open Sans"/>
        </w:rPr>
        <w:t xml:space="preserve"> and the </w:t>
      </w:r>
      <w:r>
        <w:rPr>
          <w:rFonts w:cs="Open Sans"/>
        </w:rPr>
        <w:t>health</w:t>
      </w:r>
      <w:r w:rsidRPr="00372C38">
        <w:rPr>
          <w:rFonts w:cs="Open Sans"/>
        </w:rPr>
        <w:t xml:space="preserve"> professionals charged with their care and wellbeing</w:t>
      </w:r>
      <w:r>
        <w:rPr>
          <w:rFonts w:cs="Open Sans"/>
        </w:rPr>
        <w:t xml:space="preserve"> on the other</w:t>
      </w:r>
      <w:r w:rsidRPr="00372C38">
        <w:rPr>
          <w:rFonts w:cs="Open Sans"/>
        </w:rPr>
        <w:t>.</w:t>
      </w:r>
    </w:p>
    <w:p w:rsidRPr="00372C38" w:rsidR="008C0259" w:rsidP="008C0259" w:rsidRDefault="008C0259" w14:paraId="273C4F83" w14:textId="77777777">
      <w:pPr>
        <w:rPr>
          <w:rFonts w:cs="Open Sans"/>
        </w:rPr>
      </w:pPr>
      <w:r w:rsidRPr="00372C38">
        <w:rPr>
          <w:rFonts w:cs="Open Sans"/>
        </w:rPr>
        <w:t>Many parents noted feeling ‘overloaded’ following the birth of their child due to a combination of new and complex information and advice provided</w:t>
      </w:r>
      <w:r>
        <w:rPr>
          <w:rFonts w:cs="Open Sans"/>
        </w:rPr>
        <w:t xml:space="preserve"> and</w:t>
      </w:r>
      <w:r w:rsidRPr="00372C38">
        <w:rPr>
          <w:rFonts w:cs="Open Sans"/>
        </w:rPr>
        <w:t xml:space="preserve"> the emotional impact and general pressures</w:t>
      </w:r>
      <w:r>
        <w:rPr>
          <w:rFonts w:cs="Open Sans"/>
        </w:rPr>
        <w:t>.</w:t>
      </w:r>
      <w:r w:rsidRPr="00372C38">
        <w:rPr>
          <w:rFonts w:cs="Open Sans"/>
        </w:rPr>
        <w:t xml:space="preserve"> Nevertheless, </w:t>
      </w:r>
      <w:r>
        <w:rPr>
          <w:rFonts w:cs="Open Sans"/>
        </w:rPr>
        <w:t>some</w:t>
      </w:r>
      <w:r w:rsidRPr="00372C38">
        <w:rPr>
          <w:rFonts w:cs="Open Sans"/>
        </w:rPr>
        <w:t xml:space="preserve"> parents also reported overall satisfaction with the information provided </w:t>
      </w:r>
      <w:r>
        <w:rPr>
          <w:rFonts w:cs="Open Sans"/>
        </w:rPr>
        <w:t xml:space="preserve">by healthcare professionals </w:t>
      </w:r>
      <w:r w:rsidRPr="00372C38">
        <w:rPr>
          <w:rFonts w:cs="Open Sans"/>
        </w:rPr>
        <w:t>and the advice for treatment and care.</w:t>
      </w:r>
      <w:r>
        <w:rPr>
          <w:rFonts w:cs="Open Sans"/>
        </w:rPr>
        <w:t xml:space="preserve"> Parents’ experiences of the provision of information and medical advice are discussed in more detail </w:t>
      </w:r>
      <w:r w:rsidRPr="003C7844">
        <w:rPr>
          <w:rFonts w:cs="Open Sans"/>
        </w:rPr>
        <w:t xml:space="preserve">in Chapter 4 </w:t>
      </w:r>
      <w:r>
        <w:rPr>
          <w:rFonts w:cs="Open Sans"/>
        </w:rPr>
        <w:t xml:space="preserve">– </w:t>
      </w:r>
      <w:r w:rsidRPr="003C7844">
        <w:rPr>
          <w:rFonts w:cs="Open Sans"/>
        </w:rPr>
        <w:t>Consent</w:t>
      </w:r>
      <w:r>
        <w:rPr>
          <w:rFonts w:cs="Open Sans"/>
        </w:rPr>
        <w:t xml:space="preserve"> and decision making.  </w:t>
      </w:r>
    </w:p>
    <w:p w:rsidR="008C0259" w:rsidP="008C0259" w:rsidRDefault="008C0259" w14:paraId="4FC31A59" w14:textId="77777777">
      <w:pPr>
        <w:rPr>
          <w:rFonts w:cs="Open Sans"/>
        </w:rPr>
      </w:pPr>
      <w:r>
        <w:rPr>
          <w:rFonts w:cs="Open Sans"/>
        </w:rPr>
        <w:t>Some parents noted that there are geographic barriers to obtaining medical care for f</w:t>
      </w:r>
      <w:r w:rsidRPr="00372C38">
        <w:rPr>
          <w:rFonts w:cs="Open Sans"/>
        </w:rPr>
        <w:t>amilies based in regional and rural Australia</w:t>
      </w:r>
      <w:r>
        <w:rPr>
          <w:rFonts w:cs="Open Sans"/>
        </w:rPr>
        <w:t xml:space="preserve">. </w:t>
      </w:r>
      <w:r w:rsidRPr="003E4D83">
        <w:rPr>
          <w:rFonts w:cs="Open Sans"/>
        </w:rPr>
        <w:t>For example, it was reported that healthcare professionals in rural and remote areas often lacked experience dealing with people born with variations in sex characteristics.</w:t>
      </w:r>
      <w:r w:rsidRPr="008B63F4">
        <w:rPr>
          <w:rStyle w:val="EndnoteReference"/>
          <w:rFonts w:cs="Open Sans"/>
          <w:szCs w:val="20"/>
        </w:rPr>
        <w:endnoteReference w:id="125"/>
      </w:r>
      <w:r>
        <w:rPr>
          <w:rFonts w:cs="Open Sans"/>
        </w:rPr>
        <w:t xml:space="preserve"> G</w:t>
      </w:r>
      <w:r w:rsidRPr="00372C38">
        <w:rPr>
          <w:rFonts w:cs="Open Sans"/>
        </w:rPr>
        <w:t xml:space="preserve">eographic barriers to timely and appropriate supports </w:t>
      </w:r>
      <w:r>
        <w:rPr>
          <w:rFonts w:cs="Open Sans"/>
        </w:rPr>
        <w:t xml:space="preserve">also </w:t>
      </w:r>
      <w:r w:rsidRPr="00372C38">
        <w:rPr>
          <w:rFonts w:cs="Open Sans"/>
        </w:rPr>
        <w:t xml:space="preserve">influenced parental decisions to proceed with early intervention, rather </w:t>
      </w:r>
      <w:r w:rsidRPr="00755949">
        <w:rPr>
          <w:rFonts w:cs="Open Sans"/>
        </w:rPr>
        <w:t>than deferring treatment.</w:t>
      </w:r>
      <w:r w:rsidRPr="00755949">
        <w:rPr>
          <w:rStyle w:val="EndnoteReference"/>
          <w:rFonts w:cs="Open Sans"/>
          <w:szCs w:val="20"/>
        </w:rPr>
        <w:endnoteReference w:id="126"/>
      </w:r>
      <w:r w:rsidRPr="00755949">
        <w:rPr>
          <w:rFonts w:cs="Open Sans"/>
        </w:rPr>
        <w:t xml:space="preserve"> These concerns are also discussed in Chapter 9 – </w:t>
      </w:r>
      <w:r w:rsidRPr="00755949">
        <w:rPr>
          <w:rFonts w:cs="Open Sans"/>
          <w:bCs/>
        </w:rPr>
        <w:t>Support, health records and data collection</w:t>
      </w:r>
      <w:r w:rsidRPr="00755949">
        <w:rPr>
          <w:rFonts w:cs="Open Sans"/>
        </w:rPr>
        <w:t>.</w:t>
      </w:r>
      <w:r>
        <w:rPr>
          <w:rFonts w:cs="Open Sans"/>
        </w:rPr>
        <w:t xml:space="preserve"> </w:t>
      </w:r>
    </w:p>
    <w:p w:rsidR="008C0259" w:rsidP="002F3C7B" w:rsidRDefault="008C0259" w14:paraId="0AD6A64C" w14:textId="77777777">
      <w:pPr>
        <w:pStyle w:val="AHRCHeading2"/>
      </w:pPr>
      <w:bookmarkStart w:name="_Toc57272772" w:id="159"/>
      <w:bookmarkStart w:name="_Toc79509650" w:id="160"/>
      <w:bookmarkStart w:name="_Toc85541408" w:id="161"/>
      <w:bookmarkEnd w:id="159"/>
      <w:r>
        <w:lastRenderedPageBreak/>
        <w:t>Addressing stigma</w:t>
      </w:r>
      <w:bookmarkEnd w:id="160"/>
      <w:bookmarkEnd w:id="161"/>
    </w:p>
    <w:p w:rsidRPr="00D04CB3" w:rsidR="00335668" w:rsidP="00335668" w:rsidRDefault="008C0259" w14:paraId="772D73AC" w14:textId="4B0CBD79">
      <w:pPr>
        <w:rPr>
          <w:rFonts w:cs="Open Sans"/>
        </w:rPr>
      </w:pPr>
      <w:r w:rsidRPr="00D04CB3">
        <w:rPr>
          <w:rFonts w:cs="Open Sans"/>
          <w:b/>
          <w:bCs/>
        </w:rPr>
        <w:t xml:space="preserve">Recommendation </w:t>
      </w:r>
      <w:r>
        <w:rPr>
          <w:rFonts w:cs="Open Sans"/>
          <w:b/>
          <w:bCs/>
        </w:rPr>
        <w:t>2</w:t>
      </w:r>
      <w:r w:rsidR="00DE6AE5">
        <w:rPr>
          <w:rFonts w:cs="Open Sans"/>
          <w:b/>
          <w:bCs/>
        </w:rPr>
        <w:t>:</w:t>
      </w:r>
      <w:r w:rsidRPr="00D04CB3">
        <w:rPr>
          <w:rFonts w:cs="Open Sans"/>
          <w:b/>
          <w:bCs/>
        </w:rPr>
        <w:t xml:space="preserve"> </w:t>
      </w:r>
      <w:r w:rsidR="00335668">
        <w:rPr>
          <w:rFonts w:cs="Open Sans"/>
          <w:b/>
          <w:bCs/>
        </w:rPr>
        <w:t xml:space="preserve">The </w:t>
      </w:r>
      <w:r w:rsidRPr="00D04CB3" w:rsidR="00335668">
        <w:rPr>
          <w:rFonts w:cs="Open Sans"/>
          <w:b/>
          <w:bCs/>
        </w:rPr>
        <w:t>develop</w:t>
      </w:r>
      <w:r w:rsidR="00335668">
        <w:rPr>
          <w:rFonts w:cs="Open Sans"/>
          <w:b/>
          <w:bCs/>
        </w:rPr>
        <w:t>ment of</w:t>
      </w:r>
      <w:r w:rsidRPr="00D04CB3" w:rsidR="00335668">
        <w:rPr>
          <w:rFonts w:cs="Open Sans"/>
          <w:b/>
          <w:bCs/>
        </w:rPr>
        <w:t xml:space="preserve"> resources to increase awareness of variations of sex characteristics in the community,</w:t>
      </w:r>
      <w:r w:rsidRPr="000F0B3E" w:rsidR="00335668">
        <w:rPr>
          <w:rFonts w:cs="Open Sans"/>
          <w:b/>
          <w:bCs/>
        </w:rPr>
        <w:t xml:space="preserve"> educational, service and employment settings, </w:t>
      </w:r>
      <w:r w:rsidRPr="00D04CB3" w:rsidR="00335668">
        <w:rPr>
          <w:rFonts w:cs="Open Sans"/>
          <w:b/>
          <w:bCs/>
        </w:rPr>
        <w:t>and to reduce the associated stigma</w:t>
      </w:r>
      <w:r w:rsidRPr="00D04CB3" w:rsidR="00335668">
        <w:rPr>
          <w:rFonts w:cs="Open Sans"/>
        </w:rPr>
        <w:t>.</w:t>
      </w:r>
    </w:p>
    <w:p w:rsidRPr="00D04CB3" w:rsidR="008C0259" w:rsidP="008C0259" w:rsidRDefault="00980864" w14:paraId="67B65C8B" w14:textId="7D0453DD">
      <w:pPr>
        <w:rPr>
          <w:rFonts w:cs="Open Sans"/>
        </w:rPr>
      </w:pPr>
      <w:r>
        <w:rPr>
          <w:rFonts w:cs="Open Sans"/>
          <w:b/>
          <w:bCs/>
        </w:rPr>
        <w:t>To undertake this, t</w:t>
      </w:r>
      <w:r w:rsidRPr="00D04CB3" w:rsidR="008C0259">
        <w:rPr>
          <w:rFonts w:cs="Open Sans"/>
          <w:b/>
          <w:bCs/>
        </w:rPr>
        <w:t xml:space="preserve">he Australian Government and state and territory governments should </w:t>
      </w:r>
      <w:r w:rsidRPr="00550F73" w:rsidR="008C0259">
        <w:rPr>
          <w:rFonts w:cs="Open Sans"/>
          <w:b/>
          <w:bCs/>
        </w:rPr>
        <w:t>fund community organisations led by people born with variations in sex characteristics</w:t>
      </w:r>
      <w:r w:rsidR="003A2199">
        <w:rPr>
          <w:rFonts w:cs="Open Sans"/>
          <w:b/>
          <w:bCs/>
        </w:rPr>
        <w:t xml:space="preserve">. </w:t>
      </w:r>
    </w:p>
    <w:p w:rsidR="008C0259" w:rsidP="008C0259" w:rsidRDefault="008C0259" w14:paraId="5A091D68" w14:textId="77777777">
      <w:pPr>
        <w:rPr>
          <w:rFonts w:cs="Open Sans"/>
        </w:rPr>
      </w:pPr>
      <w:r>
        <w:rPr>
          <w:rFonts w:cs="Open Sans"/>
        </w:rPr>
        <w:t xml:space="preserve">People born with variations in sex characteristics, and their parents and carers, reported a diverse range of experiences. However, it is clear that many people who discussed their experiences with the Commission have experienced significant physical and psychological harm as a result of social attitudes and the medical interventions performed on them. </w:t>
      </w:r>
    </w:p>
    <w:p w:rsidR="008C0259" w:rsidP="008C0259" w:rsidRDefault="008C0259" w14:paraId="2ABA019D" w14:textId="77777777">
      <w:pPr>
        <w:rPr>
          <w:rFonts w:cs="Open Sans"/>
        </w:rPr>
      </w:pPr>
      <w:r>
        <w:rPr>
          <w:rFonts w:cs="Open Sans"/>
        </w:rPr>
        <w:t xml:space="preserve">In particular, many people with variations in sex characteristics reported experiences of stigma and isolation, invasive practices, and the </w:t>
      </w:r>
      <w:r w:rsidRPr="21966E37">
        <w:rPr>
          <w:rFonts w:cs="Open Sans"/>
        </w:rPr>
        <w:t>lifelong</w:t>
      </w:r>
      <w:r>
        <w:rPr>
          <w:rFonts w:cs="Open Sans"/>
        </w:rPr>
        <w:t xml:space="preserve"> repercussions of medical interventions experienced in childhood. These have had profound effects on them. </w:t>
      </w:r>
    </w:p>
    <w:p w:rsidR="008C0259" w:rsidP="008C0259" w:rsidRDefault="008C0259" w14:paraId="3CDCADEA" w14:textId="341E3933">
      <w:pPr>
        <w:rPr>
          <w:rFonts w:cs="Open Sans"/>
        </w:rPr>
      </w:pPr>
      <w:r>
        <w:rPr>
          <w:rFonts w:cs="Open Sans"/>
        </w:rPr>
        <w:t xml:space="preserve">Stigma has resulted in part from prevailing social and cultural attitudes, which in part flow from ignorance and prejudice. This stigma has driven further harms, including motivating doctors to recommend medical interventions, and parents to consent to them. In turn, advice from some medical practitioners has reinforced and perpetuated stigma about variations in sex characteristics. Interventions have been experienced as reinforcing a cycle of stigma, where variations in sex characteristics are treated as a ‘problem’ that needs to be ‘fixed’. </w:t>
      </w:r>
      <w:r w:rsidRPr="00B12AEA">
        <w:rPr>
          <w:rFonts w:cs="Open Sans"/>
        </w:rPr>
        <w:t xml:space="preserve">As the </w:t>
      </w:r>
      <w:r>
        <w:rPr>
          <w:rFonts w:cs="Open Sans"/>
        </w:rPr>
        <w:t xml:space="preserve">2013 </w:t>
      </w:r>
      <w:r w:rsidRPr="00B12AEA">
        <w:rPr>
          <w:rFonts w:cs="Open Sans"/>
        </w:rPr>
        <w:t>Senate Inquiry report observed</w:t>
      </w:r>
      <w:r>
        <w:rPr>
          <w:rFonts w:cs="Open Sans"/>
        </w:rPr>
        <w:t>:</w:t>
      </w:r>
    </w:p>
    <w:p w:rsidRPr="00B3330B" w:rsidR="008C0259" w:rsidP="008C0259" w:rsidRDefault="008C0259" w14:paraId="7908C797" w14:textId="77777777">
      <w:pPr>
        <w:ind w:left="720"/>
        <w:rPr>
          <w:rFonts w:cs="Open Sans"/>
          <w:sz w:val="22"/>
          <w:szCs w:val="22"/>
        </w:rPr>
      </w:pPr>
      <w:r w:rsidRPr="00B3330B">
        <w:rPr>
          <w:rFonts w:cs="Open Sans"/>
          <w:sz w:val="22"/>
          <w:szCs w:val="22"/>
        </w:rPr>
        <w:t>Normalising appearance goes hand in hand with the stigmatisation of difference. Care needs to be exercised that medical treatment of intersex is not premised on, and contributing to, the stigma and perceived undesirability of people appearing different from one another.</w:t>
      </w:r>
      <w:r w:rsidRPr="00B3330B">
        <w:rPr>
          <w:rStyle w:val="EndnoteReference"/>
          <w:rFonts w:cs="Open Sans"/>
          <w:sz w:val="22"/>
          <w:szCs w:val="22"/>
        </w:rPr>
        <w:endnoteReference w:id="127"/>
      </w:r>
    </w:p>
    <w:p w:rsidR="008C0259" w:rsidP="008C0259" w:rsidRDefault="00307C6C" w14:paraId="60DDE709" w14:textId="6B9B6C8D">
      <w:pPr>
        <w:rPr>
          <w:rFonts w:cs="Open Sans"/>
        </w:rPr>
      </w:pPr>
      <w:r>
        <w:rPr>
          <w:rFonts w:cs="Open Sans"/>
        </w:rPr>
        <w:lastRenderedPageBreak/>
        <w:t xml:space="preserve">The Commission notes that </w:t>
      </w:r>
      <w:r w:rsidR="00247F9E">
        <w:rPr>
          <w:rFonts w:cs="Open Sans"/>
        </w:rPr>
        <w:t xml:space="preserve">experiences of stigma may lead to unlawful discrimination under </w:t>
      </w:r>
      <w:r w:rsidR="00F731F6">
        <w:rPr>
          <w:rFonts w:cs="Open Sans"/>
        </w:rPr>
        <w:t>the Sex Discrimination Act.</w:t>
      </w:r>
      <w:r w:rsidR="00F23926">
        <w:rPr>
          <w:rStyle w:val="EndnoteReference"/>
          <w:rFonts w:cs="Open Sans"/>
        </w:rPr>
        <w:endnoteReference w:id="128"/>
      </w:r>
      <w:r w:rsidR="00F731F6">
        <w:rPr>
          <w:rFonts w:cs="Open Sans"/>
        </w:rPr>
        <w:t xml:space="preserve"> </w:t>
      </w:r>
      <w:r w:rsidR="008C0259">
        <w:rPr>
          <w:rFonts w:cs="Open Sans"/>
        </w:rPr>
        <w:t xml:space="preserve">Many people with variations in sex characteristics have reported isolation resulting from an environment in which their bodies are treated as ‘abnormal’, shameful, and to be hidden, and from difficulties in identifying sources of peer support. They have also reported significant invasions of privacy in medical examinations, which have in some cases been conducted with insufficient regard for their dignity. </w:t>
      </w:r>
    </w:p>
    <w:p w:rsidR="008C0259" w:rsidP="008C0259" w:rsidRDefault="008C0259" w14:paraId="3BF535C9" w14:textId="77777777">
      <w:pPr>
        <w:rPr>
          <w:rFonts w:cs="Open Sans"/>
        </w:rPr>
      </w:pPr>
      <w:r>
        <w:rPr>
          <w:rFonts w:cs="Open Sans"/>
        </w:rPr>
        <w:t xml:space="preserve">The consequences of medical interventions undertaken in childhood have been significant. Some people have reported ongoing physical consequences, requiring a lifetime of medical treatment. Others have described how the fact that interventions were performed on them in childhood, along with poor record keeping, has made it impossible to learn exactly what was done to them, affecting their sense of identity. </w:t>
      </w:r>
    </w:p>
    <w:p w:rsidR="008C0259" w:rsidP="008C0259" w:rsidRDefault="008C0259" w14:paraId="491D40FA" w14:textId="77777777">
      <w:pPr>
        <w:rPr>
          <w:rFonts w:cs="Open Sans"/>
        </w:rPr>
      </w:pPr>
      <w:r>
        <w:rPr>
          <w:rFonts w:cs="Open Sans"/>
        </w:rPr>
        <w:t xml:space="preserve">These observations reflect the experiences of those who shared their experiences with the Commission. The Commission does not claim that they are a representative account of the experiences of all people born with variations in sex characteristics. The Commission, nevertheless, </w:t>
      </w:r>
      <w:r w:rsidRPr="21966E37">
        <w:rPr>
          <w:rFonts w:cs="Open Sans"/>
        </w:rPr>
        <w:t>considers</w:t>
      </w:r>
      <w:r>
        <w:rPr>
          <w:rFonts w:cs="Open Sans"/>
        </w:rPr>
        <w:t xml:space="preserve"> that an understanding of these experiences helps inform a view of the range and nature of impacts of medical interventions. These accounts also elucidate some of the practices that are concerning for human rights. Particularly, they indicate that there have been interventions that were not medically necessary and where minimum standards of informed consent were not met. </w:t>
      </w:r>
    </w:p>
    <w:p w:rsidR="008C0259" w:rsidP="008C0259" w:rsidRDefault="008C0259" w14:paraId="02529250" w14:textId="77777777">
      <w:pPr>
        <w:rPr>
          <w:rFonts w:cs="Open Sans"/>
        </w:rPr>
      </w:pPr>
      <w:r>
        <w:rPr>
          <w:rFonts w:cs="Open Sans"/>
        </w:rPr>
        <w:t xml:space="preserve">Some medical practitioners stated during consultations that medical practices have changed over the years and claimed that, while past practices may not have been ideal, doctors are now aware of the need for sensitivity in providing advice and conducting examinations. They argued that experiences of harms resulting from past practice consequently have little relevance to current practice. In addition, some practitioners argued that the number of people born with variations who have reported negative experiences to the Commission is too small to allow any conclusions to be drawn. </w:t>
      </w:r>
    </w:p>
    <w:p w:rsidR="008C0259" w:rsidP="008C0259" w:rsidRDefault="008C0259" w14:paraId="34C3B239" w14:textId="77777777">
      <w:pPr>
        <w:rPr>
          <w:rFonts w:cs="Open Sans"/>
        </w:rPr>
      </w:pPr>
      <w:r>
        <w:rPr>
          <w:rFonts w:cs="Open Sans"/>
        </w:rPr>
        <w:t xml:space="preserve">The Commission notes, however, that several of the experiences reported to the Commission relate to interventions performed relatively recently. </w:t>
      </w:r>
    </w:p>
    <w:p w:rsidR="008C0259" w:rsidP="008C0259" w:rsidRDefault="008C0259" w14:paraId="52990029" w14:textId="77777777">
      <w:pPr>
        <w:rPr>
          <w:rFonts w:cs="Open Sans"/>
        </w:rPr>
      </w:pPr>
      <w:r>
        <w:rPr>
          <w:rFonts w:cs="Open Sans"/>
        </w:rPr>
        <w:t xml:space="preserve">As discussed in later chapters, at least some practitioners have indicated that they perform early medical interventions on children to avoid cosmetic </w:t>
      </w:r>
      <w:r>
        <w:rPr>
          <w:rFonts w:cs="Open Sans"/>
        </w:rPr>
        <w:lastRenderedPageBreak/>
        <w:t xml:space="preserve">‘abnormality’, so that children will ‘fit in’. The case of </w:t>
      </w:r>
      <w:r>
        <w:rPr>
          <w:rFonts w:cs="Open Sans"/>
          <w:i/>
          <w:iCs/>
        </w:rPr>
        <w:t xml:space="preserve">Re Carla </w:t>
      </w:r>
      <w:r>
        <w:rPr>
          <w:rFonts w:cs="Open Sans"/>
        </w:rPr>
        <w:t xml:space="preserve">before the Family Court in 2016 referred to surgery that had occurred prior to the hearing to ‘enhance the appearance’ of Carla’s genitalia. </w:t>
      </w:r>
    </w:p>
    <w:p w:rsidR="008C0259" w:rsidP="008C0259" w:rsidRDefault="008C0259" w14:paraId="52A8125D" w14:textId="77777777">
      <w:pPr>
        <w:rPr>
          <w:rFonts w:cs="Open Sans"/>
        </w:rPr>
      </w:pPr>
      <w:r>
        <w:rPr>
          <w:rFonts w:cs="Open Sans"/>
        </w:rPr>
        <w:t xml:space="preserve">Moreover, international and domestic intersex clinical guidance explicitly endorses rationales for medical intervention based on appearance and parental or cultural concerns. </w:t>
      </w:r>
    </w:p>
    <w:p w:rsidR="008C0259" w:rsidP="008C0259" w:rsidRDefault="008C0259" w14:paraId="14D56217" w14:textId="249DD9F0">
      <w:pPr>
        <w:rPr>
          <w:rFonts w:cs="Open Sans"/>
        </w:rPr>
      </w:pPr>
      <w:r>
        <w:rPr>
          <w:rFonts w:cs="Open Sans"/>
        </w:rPr>
        <w:t xml:space="preserve">The Commission considers that the 17 first-person accounts, plus </w:t>
      </w:r>
      <w:r w:rsidRPr="0079254C">
        <w:rPr>
          <w:rFonts w:cs="Open Sans"/>
        </w:rPr>
        <w:t>four submissions from support groups which collated the experience of their members</w:t>
      </w:r>
      <w:r>
        <w:rPr>
          <w:rFonts w:cs="Open Sans"/>
        </w:rPr>
        <w:t>, provides a clear indication of shortcomings experienced in medical care. The experiences recorded in this chapter speak to the significant consequences that have flowed from children receiving medical interventions</w:t>
      </w:r>
      <w:r w:rsidR="00FC2011">
        <w:rPr>
          <w:rFonts w:cs="Open Sans"/>
        </w:rPr>
        <w:t>,</w:t>
      </w:r>
      <w:r>
        <w:rPr>
          <w:rFonts w:cs="Open Sans"/>
        </w:rPr>
        <w:t xml:space="preserve"> </w:t>
      </w:r>
      <w:r w:rsidR="00FC2011">
        <w:rPr>
          <w:rFonts w:cs="Open Sans"/>
        </w:rPr>
        <w:t xml:space="preserve">some of which </w:t>
      </w:r>
      <w:r>
        <w:rPr>
          <w:rFonts w:cs="Open Sans"/>
        </w:rPr>
        <w:t>were not medically necessary</w:t>
      </w:r>
      <w:r w:rsidR="00FC2011">
        <w:rPr>
          <w:rFonts w:cs="Open Sans"/>
        </w:rPr>
        <w:t>,</w:t>
      </w:r>
      <w:r>
        <w:rPr>
          <w:rFonts w:cs="Open Sans"/>
        </w:rPr>
        <w:t xml:space="preserve"> at an age where they were unable to provide personal consent. The impacts of receiving poor quality of care and of being inadequately supported through these procedures are profound, regardless of how widespread such practices are. </w:t>
      </w:r>
    </w:p>
    <w:p w:rsidR="008C0259" w:rsidP="008C0259" w:rsidRDefault="008C0259" w14:paraId="5920B9D6" w14:textId="403518F4">
      <w:pPr>
        <w:rPr>
          <w:rFonts w:cs="Open Sans"/>
        </w:rPr>
      </w:pPr>
      <w:r w:rsidRPr="0C449446">
        <w:rPr>
          <w:rFonts w:cs="Open Sans"/>
        </w:rPr>
        <w:t>The material discussed in this chapter informs the Commission’s conclusions on a range of issues. In particular,</w:t>
      </w:r>
      <w:r>
        <w:rPr>
          <w:rFonts w:cs="Open Sans"/>
        </w:rPr>
        <w:t xml:space="preserve"> some</w:t>
      </w:r>
      <w:r w:rsidRPr="0C449446">
        <w:rPr>
          <w:rFonts w:cs="Open Sans"/>
        </w:rPr>
        <w:t xml:space="preserve"> people’s lived experience indicates that medical practice is not uniformly ‘best </w:t>
      </w:r>
      <w:r w:rsidRPr="21966E37">
        <w:rPr>
          <w:rFonts w:cs="Open Sans"/>
        </w:rPr>
        <w:t>practice’</w:t>
      </w:r>
      <w:r w:rsidRPr="0C449446">
        <w:rPr>
          <w:rFonts w:cs="Open Sans"/>
        </w:rPr>
        <w:t xml:space="preserve"> </w:t>
      </w:r>
      <w:r>
        <w:rPr>
          <w:rFonts w:cs="Open Sans"/>
        </w:rPr>
        <w:t>by</w:t>
      </w:r>
    </w:p>
    <w:p w:rsidR="008C0259" w:rsidP="002F7D27" w:rsidRDefault="008C0259" w14:paraId="57862A65" w14:textId="77777777">
      <w:pPr>
        <w:pStyle w:val="ListParagraph"/>
        <w:numPr>
          <w:ilvl w:val="0"/>
          <w:numId w:val="35"/>
        </w:numPr>
        <w:rPr>
          <w:rFonts w:cs="Open Sans"/>
        </w:rPr>
      </w:pPr>
      <w:r>
        <w:rPr>
          <w:rFonts w:cs="Open Sans"/>
        </w:rPr>
        <w:t>failing to address</w:t>
      </w:r>
      <w:r w:rsidRPr="000A00D2">
        <w:rPr>
          <w:rFonts w:cs="Open Sans"/>
        </w:rPr>
        <w:t xml:space="preserve"> real or perceived stigma</w:t>
      </w:r>
      <w:r>
        <w:rPr>
          <w:rFonts w:cs="Open Sans"/>
        </w:rPr>
        <w:t xml:space="preserve"> through means other than medical interventions</w:t>
      </w:r>
    </w:p>
    <w:p w:rsidR="008C0259" w:rsidP="002F7D27" w:rsidRDefault="008C0259" w14:paraId="511554DC" w14:textId="77777777">
      <w:pPr>
        <w:pStyle w:val="ListParagraph"/>
        <w:numPr>
          <w:ilvl w:val="0"/>
          <w:numId w:val="35"/>
        </w:numPr>
        <w:rPr>
          <w:rFonts w:cs="Open Sans"/>
        </w:rPr>
      </w:pPr>
      <w:r>
        <w:rPr>
          <w:rFonts w:cs="Open Sans"/>
        </w:rPr>
        <w:t>failing to provide</w:t>
      </w:r>
      <w:r w:rsidRPr="000A00D2">
        <w:rPr>
          <w:rFonts w:cs="Open Sans"/>
        </w:rPr>
        <w:t xml:space="preserve"> parents </w:t>
      </w:r>
      <w:r>
        <w:rPr>
          <w:rFonts w:cs="Open Sans"/>
        </w:rPr>
        <w:t>with information so that they understand that concerns they have regarding stigma may be dealt with by means other than medical interventions</w:t>
      </w:r>
    </w:p>
    <w:p w:rsidR="008C0259" w:rsidP="002F7D27" w:rsidRDefault="008C0259" w14:paraId="3A65528A" w14:textId="77777777">
      <w:pPr>
        <w:pStyle w:val="ListParagraph"/>
        <w:numPr>
          <w:ilvl w:val="0"/>
          <w:numId w:val="35"/>
        </w:numPr>
        <w:rPr>
          <w:rFonts w:cs="Open Sans"/>
        </w:rPr>
      </w:pPr>
      <w:r w:rsidRPr="000A00D2">
        <w:rPr>
          <w:rFonts w:cs="Open Sans"/>
        </w:rPr>
        <w:t xml:space="preserve">approaching the provision of medical advice and conduct of examinations in appropriately sensitive or sympathetic ways </w:t>
      </w:r>
    </w:p>
    <w:p w:rsidR="008C0259" w:rsidP="002F7D27" w:rsidRDefault="008C0259" w14:paraId="5C1C5112" w14:textId="77777777">
      <w:pPr>
        <w:pStyle w:val="ListParagraph"/>
        <w:numPr>
          <w:ilvl w:val="0"/>
          <w:numId w:val="35"/>
        </w:numPr>
        <w:rPr>
          <w:rFonts w:cs="Open Sans"/>
        </w:rPr>
      </w:pPr>
      <w:r w:rsidRPr="000A00D2">
        <w:rPr>
          <w:rFonts w:cs="Open Sans"/>
        </w:rPr>
        <w:t xml:space="preserve">referring children and their families to sources of peer support. </w:t>
      </w:r>
    </w:p>
    <w:p w:rsidRPr="000A6070" w:rsidR="008C0259" w:rsidP="008C0259" w:rsidRDefault="008C0259" w14:paraId="455F10AE" w14:textId="39861668">
      <w:pPr>
        <w:rPr>
          <w:rFonts w:cs="Open Sans"/>
        </w:rPr>
      </w:pPr>
      <w:r>
        <w:rPr>
          <w:rFonts w:cs="Open Sans"/>
        </w:rPr>
        <w:t xml:space="preserve">Even </w:t>
      </w:r>
      <w:r w:rsidRPr="0117CC5D" w:rsidR="3ADFDD98">
        <w:rPr>
          <w:rFonts w:cs="Open Sans"/>
        </w:rPr>
        <w:t>if</w:t>
      </w:r>
      <w:r>
        <w:rPr>
          <w:rFonts w:cs="Open Sans"/>
        </w:rPr>
        <w:t xml:space="preserve"> poor practice is experienced by a minority, the profound consequences requires a response to ensure a good standard of practice. </w:t>
      </w:r>
      <w:r w:rsidRPr="000A6070">
        <w:rPr>
          <w:rFonts w:cs="Open Sans"/>
        </w:rPr>
        <w:t xml:space="preserve">This suggests that </w:t>
      </w:r>
      <w:r w:rsidRPr="000A6070">
        <w:rPr>
          <w:rFonts w:cs="Open Sans"/>
        </w:rPr>
        <w:lastRenderedPageBreak/>
        <w:t>standardised guidance for medical practitioners in relation to these matters would be useful</w:t>
      </w:r>
      <w:r>
        <w:rPr>
          <w:rFonts w:cs="Open Sans"/>
        </w:rPr>
        <w:t xml:space="preserve">. </w:t>
      </w:r>
    </w:p>
    <w:p w:rsidR="008C0259" w:rsidP="008C0259" w:rsidRDefault="008C0259" w14:paraId="6B0FC7B0" w14:textId="3579517E">
      <w:pPr>
        <w:rPr>
          <w:rFonts w:cs="Open Sans"/>
        </w:rPr>
      </w:pPr>
      <w:r>
        <w:rPr>
          <w:rFonts w:cs="Open Sans"/>
        </w:rPr>
        <w:t>Peer support was widely recognised to be vital for people born with variations in sex characteristics and their families</w:t>
      </w:r>
      <w:r w:rsidRPr="0117CC5D" w:rsidR="1A41F5EC">
        <w:rPr>
          <w:rFonts w:cs="Open Sans"/>
        </w:rPr>
        <w:t xml:space="preserve"> as an essential means of support and assistance</w:t>
      </w:r>
      <w:r>
        <w:rPr>
          <w:rFonts w:cs="Open Sans"/>
        </w:rPr>
        <w:t xml:space="preserve">, but is not always straightforward to access. Better support for these groups and better referral pathways are needed. </w:t>
      </w:r>
    </w:p>
    <w:p w:rsidR="008C0259" w:rsidP="008C0259" w:rsidRDefault="008C0259" w14:paraId="576C9B07" w14:textId="77777777">
      <w:pPr>
        <w:rPr>
          <w:rFonts w:cs="Open Sans"/>
        </w:rPr>
      </w:pPr>
      <w:r>
        <w:rPr>
          <w:rFonts w:cs="Open Sans"/>
        </w:rPr>
        <w:t>Some of these matters are returned to in later chapters of this report.</w:t>
      </w:r>
      <w:r w:rsidRPr="0085150A">
        <w:rPr>
          <w:rStyle w:val="EndnoteReference"/>
          <w:rFonts w:cs="Open Sans"/>
          <w:szCs w:val="20"/>
        </w:rPr>
        <w:endnoteReference w:id="129"/>
      </w:r>
      <w:r>
        <w:rPr>
          <w:rFonts w:cs="Open Sans"/>
        </w:rPr>
        <w:t xml:space="preserve"> </w:t>
      </w:r>
      <w:bookmarkStart w:name="_Hlk57976144" w:id="162"/>
      <w:r>
        <w:rPr>
          <w:rFonts w:cs="Open Sans"/>
        </w:rPr>
        <w:t xml:space="preserve"> </w:t>
      </w:r>
    </w:p>
    <w:p w:rsidR="008C0259" w:rsidP="008C0259" w:rsidRDefault="008C0259" w14:paraId="7C84518D" w14:textId="0CE8CD74">
      <w:pPr>
        <w:rPr>
          <w:rFonts w:cs="Open Sans"/>
        </w:rPr>
      </w:pPr>
      <w:r w:rsidRPr="0C449446">
        <w:rPr>
          <w:rFonts w:cs="Open Sans"/>
        </w:rPr>
        <w:t>More broadly, social attitudes to people born with variations in sex characteristics are ill-informed. This should be addressed by improved public education about variation in sex characteristics</w:t>
      </w:r>
      <w:r>
        <w:rPr>
          <w:rFonts w:cs="Open Sans"/>
        </w:rPr>
        <w:t xml:space="preserve">. </w:t>
      </w:r>
    </w:p>
    <w:p w:rsidR="005C4CC3" w:rsidP="00B3330B" w:rsidRDefault="00B3330B" w14:paraId="43F930C1" w14:textId="4C1064B8">
      <w:pPr>
        <w:spacing w:before="0" w:after="0"/>
        <w:rPr>
          <w:rFonts w:cs="Open Sans"/>
        </w:rPr>
      </w:pPr>
      <w:r>
        <w:rPr>
          <w:rFonts w:cs="Open Sans"/>
        </w:rPr>
        <w:br w:type="page"/>
      </w:r>
    </w:p>
    <w:p w:rsidR="005C4CC3" w:rsidP="002F3C7B" w:rsidRDefault="005C4CC3" w14:paraId="0CBEC082" w14:textId="77777777">
      <w:pPr>
        <w:pStyle w:val="AHRCHeading1"/>
      </w:pPr>
      <w:bookmarkStart w:name="_Toc80096972" w:id="163"/>
      <w:bookmarkStart w:name="_Toc85541409" w:id="164"/>
      <w:r>
        <w:lastRenderedPageBreak/>
        <w:t xml:space="preserve">Consent </w:t>
      </w:r>
      <w:r w:rsidRPr="00812A0B">
        <w:t>and decision</w:t>
      </w:r>
      <w:r>
        <w:t xml:space="preserve"> </w:t>
      </w:r>
      <w:r w:rsidRPr="00812A0B">
        <w:t>making</w:t>
      </w:r>
      <w:bookmarkEnd w:id="163"/>
      <w:bookmarkEnd w:id="164"/>
    </w:p>
    <w:p w:rsidRPr="00755949" w:rsidR="005C4CC3" w:rsidP="005C4CC3" w:rsidRDefault="005C4CC3" w14:paraId="0CEBE351" w14:textId="0DCF05A5">
      <w:r>
        <w:t xml:space="preserve">As a general principle, an individual must give informed consent before medical treatment can be carried out </w:t>
      </w:r>
      <w:r w:rsidRPr="00755949">
        <w:t xml:space="preserve">lawfully on them. This general legal rule reflects an individual’s autonomy over their body and the human rights principle, the Bodily </w:t>
      </w:r>
      <w:r w:rsidR="00755949">
        <w:t>i</w:t>
      </w:r>
      <w:r w:rsidRPr="00755949">
        <w:t>ntegrity</w:t>
      </w:r>
      <w:r w:rsidR="00313233">
        <w:t xml:space="preserve"> principle</w:t>
      </w:r>
      <w:r w:rsidRPr="00755949">
        <w:t>, that a</w:t>
      </w:r>
      <w:r w:rsidRPr="00755949">
        <w:rPr>
          <w:rFonts w:cs="Open Sans"/>
        </w:rPr>
        <w:t>ll people have the right to autonomy and bodily integrity</w:t>
      </w:r>
      <w:r w:rsidRPr="00755949">
        <w:t>.</w:t>
      </w:r>
    </w:p>
    <w:p w:rsidR="005C4CC3" w:rsidP="005C4CC3" w:rsidRDefault="005C4CC3" w14:paraId="507C54B8" w14:textId="1CF525E3">
      <w:r w:rsidRPr="00755949">
        <w:t>This chapter examines the role of consent</w:t>
      </w:r>
      <w:r>
        <w:t xml:space="preserve"> in decision making regarding medical treatment or ‘medical intervention’ affecting people born with variations in sex characteristics. It focuses especially on children and young people—ie, anyone under the age of 18 years.</w:t>
      </w:r>
      <w:r w:rsidR="00D10E28">
        <w:t xml:space="preserve"> This is</w:t>
      </w:r>
      <w:r w:rsidRPr="00D10E28" w:rsidR="00D10E28">
        <w:t xml:space="preserve"> </w:t>
      </w:r>
      <w:r w:rsidR="00D10E28">
        <w:t xml:space="preserve">because young children are not able to give consent, because </w:t>
      </w:r>
      <w:r w:rsidR="00C75961">
        <w:t>many</w:t>
      </w:r>
      <w:r w:rsidR="00D10E28">
        <w:t xml:space="preserve"> of the interventions occur in </w:t>
      </w:r>
      <w:r w:rsidR="001B3B65">
        <w:t xml:space="preserve">infancy and </w:t>
      </w:r>
      <w:r w:rsidR="00D10E28">
        <w:t xml:space="preserve">early childhood, </w:t>
      </w:r>
      <w:r w:rsidR="001B3B65">
        <w:t xml:space="preserve">and </w:t>
      </w:r>
      <w:r w:rsidR="00D10E28">
        <w:t>because adults do</w:t>
      </w:r>
      <w:r w:rsidR="001B3B65">
        <w:t xml:space="preserve"> no</w:t>
      </w:r>
      <w:r w:rsidR="00D10E28">
        <w:t xml:space="preserve">t </w:t>
      </w:r>
      <w:r w:rsidR="001B3B65">
        <w:t>always</w:t>
      </w:r>
      <w:r w:rsidR="00D10E28">
        <w:t xml:space="preserve"> respect the evolving capacity of the child.</w:t>
      </w:r>
    </w:p>
    <w:p w:rsidR="005C4CC3" w:rsidP="005C4CC3" w:rsidRDefault="005C4CC3" w14:paraId="4CCAFCD2" w14:textId="77777777">
      <w:r>
        <w:t xml:space="preserve">The chapter begins by explaining the current legal framework regarding consent. This includes how people receiving medical treatment may provide personal consent; and how, in certain circumstances, consent may be provided on an individual’s behalf by parents, legal guardians, or other representatives. The chapter also considers the role of courts, and the Family Court of Australia in particular, in authorising some categories of medical intervention where the law does not allow parents, legal guardians or other representatives to provide consent. The term ‘legal guardians’ and ‘parents’ are used interchangeably in this report. </w:t>
      </w:r>
    </w:p>
    <w:p w:rsidR="005C4CC3" w:rsidP="005C4CC3" w:rsidRDefault="005C4CC3" w14:paraId="2251E64C" w14:textId="77777777">
      <w:r>
        <w:t>Ensuring that a medical intervention is performed only where informed consent has been given is fundamental to the recognition of bodily autonomy and integrity and to achieving the highest attainable standard of health under international human rights law. The requirement of informed consent should be the default legal rule—and only dispensed with</w:t>
      </w:r>
      <w:r w:rsidDel="5BB4D011">
        <w:t xml:space="preserve"> </w:t>
      </w:r>
      <w:r>
        <w:t xml:space="preserve">in exceptional circumstances where there is a strong human rights justification. </w:t>
      </w:r>
    </w:p>
    <w:p w:rsidR="005C4CC3" w:rsidP="005C4CC3" w:rsidRDefault="005C4CC3" w14:paraId="0CB467DF" w14:textId="71F44350">
      <w:r>
        <w:t>Under international human rights law, a medical intervention</w:t>
      </w:r>
      <w:r w:rsidDel="00653807">
        <w:t xml:space="preserve"> </w:t>
      </w:r>
      <w:r>
        <w:t xml:space="preserve">in respect of </w:t>
      </w:r>
      <w:r w:rsidR="00674EBF">
        <w:t xml:space="preserve">a child </w:t>
      </w:r>
      <w:r>
        <w:t xml:space="preserve">born with a variation in sex characteristics may take place without the </w:t>
      </w:r>
      <w:r w:rsidR="00F45FF2">
        <w:t xml:space="preserve">child’s </w:t>
      </w:r>
      <w:r>
        <w:t xml:space="preserve">personal consent only where this is medically necessary – </w:t>
      </w:r>
      <w:r w:rsidRPr="006453EA">
        <w:t xml:space="preserve">as reflected in the </w:t>
      </w:r>
      <w:r w:rsidRPr="006453EA">
        <w:lastRenderedPageBreak/>
        <w:t>Medical necessity principle</w:t>
      </w:r>
      <w:r>
        <w:t>. Stakeholders have reported to the Commission that this principle has not always been followed in Australia</w:t>
      </w:r>
      <w:r w:rsidR="007654EC">
        <w:t xml:space="preserve"> – </w:t>
      </w:r>
      <w:r>
        <w:t>both historically and more recently.</w:t>
      </w:r>
      <w:r w:rsidR="00E20E80">
        <w:t xml:space="preserve"> </w:t>
      </w:r>
      <w:r>
        <w:t>Informed consent requires effective communication between medical practitioners and recipients of care—something recognised in both domestic and international law. The specific requirements to achieve consent</w:t>
      </w:r>
      <w:r w:rsidDel="00FD28D1">
        <w:t xml:space="preserve"> </w:t>
      </w:r>
      <w:r>
        <w:t>can depend on the particular circumstances</w:t>
      </w:r>
      <w:r w:rsidR="008275B7">
        <w:t>.</w:t>
      </w:r>
      <w:r>
        <w:t xml:space="preserve"> </w:t>
      </w:r>
      <w:r w:rsidR="008275B7">
        <w:t>T</w:t>
      </w:r>
      <w:r>
        <w:t>he requirements can vary between individuals</w:t>
      </w:r>
      <w:r w:rsidR="008275B7">
        <w:t>,</w:t>
      </w:r>
      <w:r>
        <w:t xml:space="preserve"> and they can change over time for each person, especially</w:t>
      </w:r>
      <w:r w:rsidDel="000B4AA2">
        <w:t xml:space="preserve"> </w:t>
      </w:r>
      <w:r>
        <w:t xml:space="preserve">in the case of children, whose capacity to participate in decisions about their own bodies evolves and generally increases as they grow older – </w:t>
      </w:r>
      <w:r w:rsidRPr="006453EA">
        <w:t>as reflected in the Children’s agency principle.</w:t>
      </w:r>
      <w:r>
        <w:t xml:space="preserve"> </w:t>
      </w:r>
    </w:p>
    <w:p w:rsidR="005C4CC3" w:rsidP="005C4CC3" w:rsidRDefault="005C4CC3" w14:paraId="0001805A" w14:textId="77777777">
      <w:r>
        <w:t>This chapter summarises some practical problems, raised during the Commission’s consultation process, regarding the issue of consent in respect of medical interventions affecting people, especially children, born with variations in sex characteristics.</w:t>
      </w:r>
    </w:p>
    <w:p w:rsidR="005C4CC3" w:rsidP="005C4CC3" w:rsidRDefault="005C4CC3" w14:paraId="54A5A1DC" w14:textId="686197D5">
      <w:r>
        <w:rPr>
          <w:rFonts w:cs="Open Sans"/>
        </w:rPr>
        <w:t xml:space="preserve">To address these problems, the Commission recommends the development of new </w:t>
      </w:r>
      <w:r w:rsidRPr="006453EA">
        <w:rPr>
          <w:rFonts w:cs="Open Sans"/>
        </w:rPr>
        <w:t>human rights-compliant</w:t>
      </w:r>
      <w:r>
        <w:rPr>
          <w:rFonts w:cs="Open Sans"/>
        </w:rPr>
        <w:t xml:space="preserve"> guidance setting out what </w:t>
      </w:r>
      <w:r w:rsidRPr="00A4039E">
        <w:rPr>
          <w:rFonts w:cs="Open Sans"/>
        </w:rPr>
        <w:t xml:space="preserve">is required to obtain informed consent before performing a medical intervention </w:t>
      </w:r>
      <w:r>
        <w:rPr>
          <w:rFonts w:cs="Open Sans"/>
        </w:rPr>
        <w:t xml:space="preserve">on the sex characteristics of a person </w:t>
      </w:r>
      <w:r w:rsidRPr="00A4039E">
        <w:rPr>
          <w:rFonts w:cs="Open Sans"/>
        </w:rPr>
        <w:t>born with variation</w:t>
      </w:r>
      <w:r>
        <w:rPr>
          <w:rFonts w:cs="Open Sans"/>
        </w:rPr>
        <w:t xml:space="preserve">. This guidance should </w:t>
      </w:r>
      <w:r>
        <w:t xml:space="preserve">ensure that </w:t>
      </w:r>
    </w:p>
    <w:p w:rsidR="005C4CC3" w:rsidP="002F7D27" w:rsidRDefault="005C4CC3" w14:paraId="713F525B" w14:textId="77777777">
      <w:pPr>
        <w:pStyle w:val="ListParagraph"/>
        <w:numPr>
          <w:ilvl w:val="0"/>
          <w:numId w:val="40"/>
        </w:numPr>
      </w:pPr>
      <w:r>
        <w:t>medical interventions are proposed only when medically necessary</w:t>
      </w:r>
      <w:r w:rsidDel="0055050D">
        <w:t xml:space="preserve"> </w:t>
      </w:r>
    </w:p>
    <w:p w:rsidR="005C4CC3" w:rsidP="002F7D27" w:rsidRDefault="005C4CC3" w14:paraId="2547682B" w14:textId="77777777">
      <w:pPr>
        <w:pStyle w:val="ListParagraph"/>
        <w:numPr>
          <w:ilvl w:val="0"/>
          <w:numId w:val="40"/>
        </w:numPr>
      </w:pPr>
      <w:r>
        <w:t>consent</w:t>
      </w:r>
      <w:r w:rsidDel="003101D9">
        <w:t xml:space="preserve"> </w:t>
      </w:r>
      <w:r>
        <w:t>in all cases is fully informed, and</w:t>
      </w:r>
      <w:r w:rsidDel="0055050D">
        <w:t xml:space="preserve"> </w:t>
      </w:r>
    </w:p>
    <w:p w:rsidRPr="00C41E6E" w:rsidR="005C4CC3" w:rsidP="002F7D27" w:rsidRDefault="005C4CC3" w14:paraId="3F73FDE2" w14:textId="77777777">
      <w:pPr>
        <w:pStyle w:val="ListParagraph"/>
        <w:numPr>
          <w:ilvl w:val="0"/>
          <w:numId w:val="40"/>
        </w:numPr>
      </w:pPr>
      <w:r>
        <w:t>children are empowered to participate in decision making in a manner consistent with their evolving capacities.</w:t>
      </w:r>
      <w:r w:rsidRPr="00C41E6E">
        <w:t xml:space="preserve"> </w:t>
      </w:r>
    </w:p>
    <w:p w:rsidR="005C4CC3" w:rsidP="002F3C7B" w:rsidRDefault="005C4CC3" w14:paraId="5FDF8CC9" w14:textId="6C73AEE2">
      <w:pPr>
        <w:pStyle w:val="AHRCHeading2"/>
      </w:pPr>
      <w:bookmarkStart w:name="_Toc80096973" w:id="165"/>
      <w:bookmarkStart w:name="_Toc85541410" w:id="166"/>
      <w:r>
        <w:t xml:space="preserve">Consent and decision making – </w:t>
      </w:r>
      <w:bookmarkEnd w:id="165"/>
      <w:r w:rsidR="00631180">
        <w:t>under Australian law</w:t>
      </w:r>
      <w:bookmarkEnd w:id="166"/>
    </w:p>
    <w:p w:rsidR="005C4CC3" w:rsidP="005C4CC3" w:rsidRDefault="005C4CC3" w14:paraId="1E28D203" w14:textId="77777777">
      <w:pPr>
        <w:pStyle w:val="Heading3"/>
        <w:tabs>
          <w:tab w:val="clear" w:pos="851"/>
          <w:tab w:val="num" w:pos="1571"/>
        </w:tabs>
      </w:pPr>
      <w:bookmarkStart w:name="_Toc80096974" w:id="167"/>
      <w:bookmarkStart w:name="_Toc85541411" w:id="168"/>
      <w:r>
        <w:t>The current legal framework</w:t>
      </w:r>
      <w:bookmarkEnd w:id="167"/>
      <w:bookmarkEnd w:id="168"/>
    </w:p>
    <w:p w:rsidR="005C4CC3" w:rsidP="005C4CC3" w:rsidRDefault="005C4CC3" w14:paraId="1F0D9283" w14:textId="4A92FF85">
      <w:r>
        <w:t>It is generally unlawful to interfere with the body of another person without their personal consent.</w:t>
      </w:r>
      <w:r w:rsidRPr="00B458F8">
        <w:t xml:space="preserve"> </w:t>
      </w:r>
      <w:r>
        <w:t>The term ‘personal consent’ means the consent of the individual concerned. It is</w:t>
      </w:r>
      <w:r w:rsidDel="00EC631B">
        <w:t xml:space="preserve"> </w:t>
      </w:r>
      <w:r>
        <w:t xml:space="preserve">distinguished from the situation where another individual, such as a parent or guardian, consents </w:t>
      </w:r>
      <w:r>
        <w:rPr>
          <w:i/>
          <w:iCs/>
        </w:rPr>
        <w:t xml:space="preserve">on behalf of </w:t>
      </w:r>
      <w:r>
        <w:t xml:space="preserve">the </w:t>
      </w:r>
      <w:r w:rsidDel="00B600B6">
        <w:t>individual</w:t>
      </w:r>
      <w:r>
        <w:t>. The legal framework governing the provision of consent on someone’s else behalf</w:t>
      </w:r>
      <w:r w:rsidR="00BD4E4D">
        <w:t xml:space="preserve"> – </w:t>
      </w:r>
      <w:r>
        <w:t>for example, by a parent for a child</w:t>
      </w:r>
      <w:r w:rsidR="00BD4E4D">
        <w:t xml:space="preserve"> – </w:t>
      </w:r>
      <w:r>
        <w:t xml:space="preserve">is addressed at section </w:t>
      </w:r>
      <w:r w:rsidRPr="00F6790E">
        <w:t>4.1(b)</w:t>
      </w:r>
      <w:r>
        <w:t xml:space="preserve"> of this chapter.</w:t>
      </w:r>
    </w:p>
    <w:p w:rsidR="005C4CC3" w:rsidP="005C4CC3" w:rsidRDefault="005C4CC3" w14:paraId="66BA61C3" w14:textId="77777777">
      <w:r>
        <w:lastRenderedPageBreak/>
        <w:t xml:space="preserve">Under Australian law, </w:t>
      </w:r>
      <w:r w:rsidRPr="001D610D">
        <w:t>people</w:t>
      </w:r>
      <w:r w:rsidRPr="00B458F8">
        <w:t xml:space="preserve"> may seek a legal remedy </w:t>
      </w:r>
      <w:r>
        <w:t xml:space="preserve">in tort </w:t>
      </w:r>
      <w:r w:rsidRPr="00B458F8">
        <w:t>in respect of contact to which they have not given their consent</w:t>
      </w:r>
      <w:r>
        <w:t xml:space="preserve"> (trespass to the person)</w:t>
      </w:r>
      <w:r w:rsidRPr="00B458F8">
        <w:t xml:space="preserve">, even if the contact was </w:t>
      </w:r>
      <w:r>
        <w:t>well-intentioned</w:t>
      </w:r>
      <w:r w:rsidRPr="00B458F8">
        <w:t xml:space="preserve"> and its outcome beneficial.</w:t>
      </w:r>
      <w:r>
        <w:t xml:space="preserve"> If a medical practitioner carries out treatment on a person without a valid consent, they may be liable in tort, and potentially could also be exposed to criminal actions for assault or battery.</w:t>
      </w:r>
      <w:r w:rsidRPr="005B72D9">
        <w:rPr>
          <w:rStyle w:val="EndnoteReference"/>
          <w:szCs w:val="20"/>
        </w:rPr>
        <w:endnoteReference w:id="130"/>
      </w:r>
    </w:p>
    <w:p w:rsidR="005C4CC3" w:rsidP="005C4CC3" w:rsidRDefault="005C4CC3" w14:paraId="17455C32" w14:textId="77777777">
      <w:r>
        <w:t xml:space="preserve">At international law, this principle is reflected in the right to bodily integrity – as expressed in </w:t>
      </w:r>
      <w:r w:rsidRPr="006453EA">
        <w:t>the Bodily integrity principle, set out in Chapter 2.</w:t>
      </w:r>
      <w:r w:rsidRPr="006453EA">
        <w:rPr>
          <w:rStyle w:val="EndnoteReference"/>
          <w:szCs w:val="20"/>
        </w:rPr>
        <w:endnoteReference w:id="131"/>
      </w:r>
    </w:p>
    <w:p w:rsidR="005C4CC3" w:rsidP="005C4CC3" w:rsidRDefault="005C4CC3" w14:paraId="5AEEA249" w14:textId="77777777">
      <w:r>
        <w:t>As part of their duty of care, medical practitioners must provide such information as is necessary for the patient to decide whether to give consent to treatment, including information on all material risks. Failure of the medical practitioner to</w:t>
      </w:r>
      <w:r w:rsidDel="004F51D6">
        <w:t xml:space="preserve"> </w:t>
      </w:r>
      <w:r>
        <w:t>provide this information may lead to liability for an adverse outcome, even if the treatment itself was not negligent.</w:t>
      </w:r>
      <w:r w:rsidRPr="009D4117">
        <w:rPr>
          <w:rStyle w:val="EndnoteReference"/>
          <w:szCs w:val="20"/>
        </w:rPr>
        <w:endnoteReference w:id="132"/>
      </w:r>
    </w:p>
    <w:p w:rsidR="005C4CC3" w:rsidP="005C4CC3" w:rsidRDefault="005C4CC3" w14:paraId="0FD4A63C" w14:textId="77777777">
      <w:r>
        <w:t>Non-consensual physical contact can also be a criminal offence. In the context of medical or clinical interventions, this principle applies not only to surgery but also to other kinds of intervention, such as radiation and the administration of pharmaceuticals. There are a number of exceptions to this rule. Some of the more important exceptions, for present purposes, are set out below.</w:t>
      </w:r>
    </w:p>
    <w:p w:rsidRPr="000C71AE" w:rsidR="005C4CC3" w:rsidP="005C4CC3" w:rsidRDefault="005C4CC3" w14:paraId="6BFA0BDC" w14:textId="77777777">
      <w:pPr>
        <w:pStyle w:val="Heading4"/>
        <w:tabs>
          <w:tab w:val="clear" w:pos="851"/>
          <w:tab w:val="num" w:pos="1571"/>
        </w:tabs>
        <w:rPr>
          <w:bCs/>
          <w:sz w:val="22"/>
          <w:szCs w:val="22"/>
        </w:rPr>
      </w:pPr>
      <w:r>
        <w:t xml:space="preserve">Where there is express </w:t>
      </w:r>
      <w:r>
        <w:rPr>
          <w:rStyle w:val="Heading2Char"/>
          <w:rFonts w:cs="Open Sans"/>
          <w:b w:val="0"/>
          <w:bCs/>
          <w:sz w:val="24"/>
          <w:szCs w:val="24"/>
        </w:rPr>
        <w:t xml:space="preserve">legal </w:t>
      </w:r>
      <w:r w:rsidRPr="000C71AE">
        <w:rPr>
          <w:rStyle w:val="Heading2Char"/>
          <w:rFonts w:cs="Open Sans"/>
          <w:b w:val="0"/>
          <w:bCs/>
          <w:sz w:val="24"/>
          <w:szCs w:val="24"/>
        </w:rPr>
        <w:t>authorisation</w:t>
      </w:r>
    </w:p>
    <w:p w:rsidRPr="005E4636" w:rsidR="005C4CC3" w:rsidP="005C4CC3" w:rsidRDefault="005C4CC3" w14:paraId="72A5DC5F" w14:textId="77777777">
      <w:pPr>
        <w:rPr>
          <w:rFonts w:cs="Open Sans"/>
        </w:rPr>
      </w:pPr>
      <w:r w:rsidRPr="005E4636">
        <w:rPr>
          <w:rFonts w:cs="Open Sans"/>
        </w:rPr>
        <w:t xml:space="preserve">A medical intervention without personal consent will not be unlawful </w:t>
      </w:r>
      <w:r>
        <w:rPr>
          <w:rFonts w:cs="Open Sans"/>
        </w:rPr>
        <w:t xml:space="preserve">under Australian law </w:t>
      </w:r>
      <w:r w:rsidRPr="005E4636">
        <w:rPr>
          <w:rFonts w:cs="Open Sans"/>
        </w:rPr>
        <w:t xml:space="preserve">if </w:t>
      </w:r>
      <w:r>
        <w:rPr>
          <w:rFonts w:cs="Open Sans"/>
        </w:rPr>
        <w:t>legal</w:t>
      </w:r>
      <w:r w:rsidRPr="005E4636">
        <w:rPr>
          <w:rFonts w:cs="Open Sans"/>
        </w:rPr>
        <w:t xml:space="preserve"> authority enables the intervention (</w:t>
      </w:r>
      <w:r>
        <w:rPr>
          <w:rFonts w:cs="Open Sans"/>
        </w:rPr>
        <w:t>for example, an</w:t>
      </w:r>
      <w:r w:rsidRPr="005E4636">
        <w:rPr>
          <w:rFonts w:cs="Open Sans"/>
        </w:rPr>
        <w:t xml:space="preserve"> intervention </w:t>
      </w:r>
      <w:r>
        <w:rPr>
          <w:rFonts w:cs="Open Sans"/>
        </w:rPr>
        <w:t>giving</w:t>
      </w:r>
      <w:r w:rsidRPr="005E4636">
        <w:rPr>
          <w:rFonts w:cs="Open Sans"/>
        </w:rPr>
        <w:t xml:space="preserve"> effect to a mental health or public health order</w:t>
      </w:r>
      <w:r>
        <w:rPr>
          <w:rFonts w:cs="Open Sans"/>
        </w:rPr>
        <w:t>, or under child protection legislation</w:t>
      </w:r>
      <w:r w:rsidRPr="005E4636">
        <w:rPr>
          <w:rFonts w:cs="Open Sans"/>
        </w:rPr>
        <w:t>).</w:t>
      </w:r>
      <w:r w:rsidRPr="006D5DA5">
        <w:rPr>
          <w:rStyle w:val="EndnoteReference"/>
          <w:rFonts w:cs="Open Sans"/>
          <w:szCs w:val="20"/>
        </w:rPr>
        <w:endnoteReference w:id="133"/>
      </w:r>
      <w:r w:rsidRPr="006D5DA5">
        <w:rPr>
          <w:rFonts w:cs="Open Sans"/>
          <w:sz w:val="20"/>
          <w:szCs w:val="20"/>
        </w:rPr>
        <w:t xml:space="preserve"> </w:t>
      </w:r>
    </w:p>
    <w:p w:rsidRPr="000C71AE" w:rsidR="005C4CC3" w:rsidP="005C4CC3" w:rsidRDefault="005C4CC3" w14:paraId="6004269D" w14:textId="77777777">
      <w:pPr>
        <w:pStyle w:val="Heading4"/>
        <w:tabs>
          <w:tab w:val="clear" w:pos="851"/>
          <w:tab w:val="num" w:pos="1571"/>
        </w:tabs>
      </w:pPr>
      <w:bookmarkStart w:name="_Toc43282437" w:id="169"/>
      <w:r w:rsidRPr="000C71AE">
        <w:t>Emergency</w:t>
      </w:r>
      <w:bookmarkEnd w:id="169"/>
    </w:p>
    <w:p w:rsidRPr="005E4636" w:rsidR="005C4CC3" w:rsidP="005C4CC3" w:rsidRDefault="005C4CC3" w14:paraId="1A4A49DA" w14:textId="77777777">
      <w:pPr>
        <w:rPr>
          <w:rFonts w:cs="Open Sans"/>
        </w:rPr>
      </w:pPr>
      <w:r>
        <w:rPr>
          <w:rFonts w:cs="Open Sans"/>
        </w:rPr>
        <w:t xml:space="preserve">Under </w:t>
      </w:r>
      <w:r w:rsidRPr="006453EA">
        <w:rPr>
          <w:rFonts w:cs="Open Sans"/>
        </w:rPr>
        <w:t>Australian law</w:t>
      </w:r>
      <w:r>
        <w:rPr>
          <w:rFonts w:cs="Open Sans"/>
        </w:rPr>
        <w:t>, m</w:t>
      </w:r>
      <w:r w:rsidRPr="005E4636">
        <w:rPr>
          <w:rFonts w:cs="Open Sans"/>
        </w:rPr>
        <w:t>edical intervention can be lawfully undertaken in the absence of personal consent in an emergency.</w:t>
      </w:r>
      <w:r w:rsidRPr="0078233D">
        <w:rPr>
          <w:rStyle w:val="EndnoteReference"/>
          <w:rFonts w:cs="Open Sans"/>
          <w:szCs w:val="20"/>
        </w:rPr>
        <w:endnoteReference w:id="134"/>
      </w:r>
      <w:r w:rsidRPr="005E4636">
        <w:rPr>
          <w:rFonts w:cs="Open Sans"/>
        </w:rPr>
        <w:t xml:space="preserve"> This exception applies if</w:t>
      </w:r>
      <w:r>
        <w:rPr>
          <w:rFonts w:cs="Open Sans"/>
        </w:rPr>
        <w:t xml:space="preserve"> all of the following conditions are met</w:t>
      </w:r>
      <w:r w:rsidRPr="005E4636">
        <w:rPr>
          <w:rFonts w:cs="Open Sans"/>
        </w:rPr>
        <w:t>:</w:t>
      </w:r>
    </w:p>
    <w:p w:rsidRPr="005E4636" w:rsidR="005C4CC3" w:rsidP="002F7D27" w:rsidRDefault="005C4CC3" w14:paraId="2EFFEA7E" w14:textId="77777777">
      <w:pPr>
        <w:pStyle w:val="ListParagraph"/>
        <w:numPr>
          <w:ilvl w:val="0"/>
          <w:numId w:val="37"/>
        </w:numPr>
        <w:spacing w:before="0" w:after="0"/>
        <w:ind w:left="714" w:hanging="357"/>
        <w:rPr>
          <w:rFonts w:cs="Open Sans"/>
        </w:rPr>
      </w:pPr>
      <w:r w:rsidRPr="005E4636">
        <w:rPr>
          <w:rFonts w:cs="Open Sans"/>
        </w:rPr>
        <w:lastRenderedPageBreak/>
        <w:t>a person lacks decision-making capacity and is unlikely to attain it while the emergency persists (</w:t>
      </w:r>
      <w:r>
        <w:rPr>
          <w:rFonts w:cs="Open Sans"/>
        </w:rPr>
        <w:t>for example,</w:t>
      </w:r>
      <w:r w:rsidRPr="005E4636">
        <w:rPr>
          <w:rFonts w:cs="Open Sans"/>
        </w:rPr>
        <w:t xml:space="preserve"> the person is unconscious)</w:t>
      </w:r>
    </w:p>
    <w:p w:rsidRPr="005E4636" w:rsidR="005C4CC3" w:rsidP="002F7D27" w:rsidRDefault="005C4CC3" w14:paraId="2AD3A364" w14:textId="77777777">
      <w:pPr>
        <w:pStyle w:val="ListParagraph"/>
        <w:numPr>
          <w:ilvl w:val="0"/>
          <w:numId w:val="37"/>
        </w:numPr>
        <w:spacing w:before="0" w:after="0"/>
        <w:ind w:left="714" w:hanging="357"/>
        <w:rPr>
          <w:rFonts w:cs="Open Sans"/>
        </w:rPr>
      </w:pPr>
      <w:r w:rsidRPr="005E4636">
        <w:rPr>
          <w:rFonts w:cs="Open Sans"/>
        </w:rPr>
        <w:t>without immediate intervention, loss of life or function is imminent</w:t>
      </w:r>
    </w:p>
    <w:p w:rsidRPr="005E4636" w:rsidR="005C4CC3" w:rsidP="002F7D27" w:rsidRDefault="005C4CC3" w14:paraId="142FEEF9" w14:textId="77777777">
      <w:pPr>
        <w:pStyle w:val="ListParagraph"/>
        <w:numPr>
          <w:ilvl w:val="0"/>
          <w:numId w:val="37"/>
        </w:numPr>
        <w:spacing w:before="0" w:after="0"/>
        <w:ind w:left="714" w:hanging="357"/>
        <w:rPr>
          <w:rFonts w:cs="Open Sans"/>
        </w:rPr>
      </w:pPr>
      <w:r w:rsidRPr="005E4636">
        <w:rPr>
          <w:rFonts w:cs="Open Sans"/>
        </w:rPr>
        <w:t>there is no appointed or statutory</w:t>
      </w:r>
      <w:r w:rsidRPr="005E4636">
        <w:rPr>
          <w:rStyle w:val="EndnoteReference"/>
          <w:rFonts w:cs="Open Sans"/>
        </w:rPr>
        <w:endnoteReference w:id="135"/>
      </w:r>
      <w:r w:rsidRPr="005E4636">
        <w:rPr>
          <w:rFonts w:cs="Open Sans"/>
        </w:rPr>
        <w:t xml:space="preserve"> substitute decision</w:t>
      </w:r>
      <w:r>
        <w:rPr>
          <w:rFonts w:cs="Open Sans"/>
        </w:rPr>
        <w:t xml:space="preserve"> </w:t>
      </w:r>
      <w:r w:rsidRPr="005E4636">
        <w:rPr>
          <w:rFonts w:cs="Open Sans"/>
        </w:rPr>
        <w:t xml:space="preserve">maker reasonably available to make a decision on the patient’s behalf, </w:t>
      </w:r>
      <w:r w:rsidRPr="142DBD8A">
        <w:rPr>
          <w:rFonts w:cs="Open Sans"/>
          <w:i/>
          <w:iCs/>
        </w:rPr>
        <w:t>and</w:t>
      </w:r>
    </w:p>
    <w:p w:rsidRPr="005E4636" w:rsidR="005C4CC3" w:rsidP="002F7D27" w:rsidRDefault="005C4CC3" w14:paraId="0DEF906A" w14:textId="77777777">
      <w:pPr>
        <w:pStyle w:val="ListParagraph"/>
        <w:numPr>
          <w:ilvl w:val="0"/>
          <w:numId w:val="37"/>
        </w:numPr>
        <w:spacing w:before="0" w:after="0"/>
        <w:rPr>
          <w:rFonts w:cs="Open Sans"/>
        </w:rPr>
      </w:pPr>
      <w:r w:rsidRPr="005E4636">
        <w:rPr>
          <w:rFonts w:cs="Open Sans"/>
        </w:rPr>
        <w:t xml:space="preserve">there is no reasonably accessible information about the </w:t>
      </w:r>
      <w:r>
        <w:rPr>
          <w:rFonts w:cs="Open Sans"/>
        </w:rPr>
        <w:t xml:space="preserve">affected </w:t>
      </w:r>
      <w:r w:rsidRPr="005E4636">
        <w:rPr>
          <w:rFonts w:cs="Open Sans"/>
        </w:rPr>
        <w:t>person’s wishes.</w:t>
      </w:r>
      <w:r w:rsidRPr="00910E92">
        <w:rPr>
          <w:rStyle w:val="EndnoteReference"/>
          <w:rFonts w:cs="Open Sans"/>
          <w:szCs w:val="20"/>
        </w:rPr>
        <w:endnoteReference w:id="136"/>
      </w:r>
    </w:p>
    <w:p w:rsidRPr="005E4636" w:rsidR="005C4CC3" w:rsidP="005C4CC3" w:rsidRDefault="005C4CC3" w14:paraId="3A83F0B3" w14:textId="77777777">
      <w:pPr>
        <w:rPr>
          <w:rFonts w:cs="Open Sans"/>
        </w:rPr>
      </w:pPr>
      <w:r w:rsidRPr="29BC6FA5">
        <w:rPr>
          <w:rFonts w:cs="Open Sans"/>
        </w:rPr>
        <w:t xml:space="preserve">In such cases, the intervention is </w:t>
      </w:r>
      <w:r>
        <w:rPr>
          <w:rFonts w:cs="Open Sans"/>
        </w:rPr>
        <w:t>legally permissible under</w:t>
      </w:r>
      <w:r w:rsidRPr="29BC6FA5">
        <w:rPr>
          <w:rFonts w:cs="Open Sans"/>
        </w:rPr>
        <w:t xml:space="preserve"> the doctrine of necessity.</w:t>
      </w:r>
    </w:p>
    <w:p w:rsidRPr="000C71AE" w:rsidR="005C4CC3" w:rsidP="005C4CC3" w:rsidRDefault="005C4CC3" w14:paraId="72B5D3B9" w14:textId="77777777">
      <w:pPr>
        <w:pStyle w:val="Heading4"/>
        <w:tabs>
          <w:tab w:val="clear" w:pos="851"/>
          <w:tab w:val="num" w:pos="1571"/>
        </w:tabs>
      </w:pPr>
      <w:r w:rsidRPr="000C71AE">
        <w:t xml:space="preserve">Impaired cognition </w:t>
      </w:r>
    </w:p>
    <w:p w:rsidRPr="008320E8" w:rsidR="005C4CC3" w:rsidP="005C4CC3" w:rsidRDefault="005C4CC3" w14:paraId="44885219" w14:textId="089BD67F">
      <w:pPr>
        <w:rPr>
          <w:rFonts w:cs="Open Sans"/>
        </w:rPr>
      </w:pPr>
      <w:r>
        <w:rPr>
          <w:rFonts w:cs="Open Sans"/>
        </w:rPr>
        <w:t>In some cases</w:t>
      </w:r>
      <w:r w:rsidR="6A07EB67">
        <w:rPr>
          <w:rFonts w:cs="Open Sans"/>
        </w:rPr>
        <w:t>,</w:t>
      </w:r>
      <w:r>
        <w:rPr>
          <w:rFonts w:cs="Open Sans"/>
        </w:rPr>
        <w:t xml:space="preserve"> a person </w:t>
      </w:r>
      <w:r w:rsidRPr="2883B5B7">
        <w:rPr>
          <w:rFonts w:cs="Open Sans"/>
        </w:rPr>
        <w:t xml:space="preserve">with </w:t>
      </w:r>
      <w:r w:rsidRPr="64B37D1E">
        <w:rPr>
          <w:rFonts w:cs="Open Sans"/>
        </w:rPr>
        <w:t xml:space="preserve">impaired </w:t>
      </w:r>
      <w:r w:rsidRPr="731410B2">
        <w:rPr>
          <w:rFonts w:cs="Open Sans"/>
        </w:rPr>
        <w:t>decision</w:t>
      </w:r>
      <w:r w:rsidRPr="166626BA">
        <w:rPr>
          <w:rFonts w:cs="Open Sans"/>
        </w:rPr>
        <w:t>-</w:t>
      </w:r>
      <w:r w:rsidRPr="008320E8">
        <w:rPr>
          <w:rFonts w:cs="Open Sans"/>
        </w:rPr>
        <w:t>making ability may not be able to provide personal consent to all medical treatment under Australian law. In those cases, decision-making authority may rest with someone previously appointed by the person (when they had legal capacity) such as their enduring guardian,</w:t>
      </w:r>
      <w:r w:rsidRPr="008320E8">
        <w:rPr>
          <w:rStyle w:val="EndnoteReference"/>
          <w:rFonts w:cs="Open Sans"/>
        </w:rPr>
        <w:endnoteReference w:id="137"/>
      </w:r>
      <w:r w:rsidRPr="008320E8">
        <w:rPr>
          <w:rFonts w:cs="Open Sans"/>
        </w:rPr>
        <w:t xml:space="preserve"> or with a Tribunal or someone appointed as a guardian by a Tribunal for a person who has impaired decision-making ability.</w:t>
      </w:r>
      <w:r w:rsidRPr="008320E8">
        <w:rPr>
          <w:rStyle w:val="EndnoteReference"/>
          <w:rFonts w:cs="Open Sans"/>
        </w:rPr>
        <w:endnoteReference w:id="138"/>
      </w:r>
      <w:r w:rsidRPr="008320E8">
        <w:rPr>
          <w:rFonts w:cs="Open Sans"/>
        </w:rPr>
        <w:t xml:space="preserve"> A person who has legal capacity may also make an advance care directive which provides directions to medical practitioners about the treatments that a person wants to have or to refuse in certain circumstances if they lose legal capacity in the future.</w:t>
      </w:r>
      <w:r w:rsidRPr="008320E8">
        <w:rPr>
          <w:rStyle w:val="EndnoteReference"/>
          <w:rFonts w:cs="Open Sans"/>
        </w:rPr>
        <w:endnoteReference w:id="139"/>
      </w:r>
    </w:p>
    <w:p w:rsidRPr="008320E8" w:rsidR="005C4CC3" w:rsidP="005C4CC3" w:rsidRDefault="005C4CC3" w14:paraId="3CC26685" w14:textId="77777777">
      <w:pPr>
        <w:rPr>
          <w:rFonts w:cs="Open Sans"/>
        </w:rPr>
      </w:pPr>
      <w:r w:rsidRPr="008320E8">
        <w:rPr>
          <w:rFonts w:cs="Open Sans"/>
        </w:rPr>
        <w:t>Currently, in exercising their powers, these authorised decision makers are required to adopt one of two tests (or a combination of both tests in some jurisdictions) in reaching their decision on behalf of the person with impaired decision-making ability. One is the ‘best interests test’, which requires a balancing of the benefit to the patient against the risks of the proposed treatment. The other test is the ‘substituted judgment test’, which requires a decision that is consistent with what the person would have decided if they had the capacity to do so.</w:t>
      </w:r>
      <w:r w:rsidRPr="008320E8">
        <w:rPr>
          <w:rStyle w:val="EndnoteReference"/>
          <w:rFonts w:cs="Open Sans"/>
          <w:szCs w:val="20"/>
        </w:rPr>
        <w:endnoteReference w:id="140"/>
      </w:r>
    </w:p>
    <w:p w:rsidR="005C4CC3" w:rsidP="005C4CC3" w:rsidRDefault="005C4CC3" w14:paraId="08E3C334" w14:textId="77777777">
      <w:pPr>
        <w:rPr>
          <w:rFonts w:cs="Open Sans"/>
        </w:rPr>
      </w:pPr>
      <w:r w:rsidRPr="008320E8">
        <w:rPr>
          <w:rFonts w:cs="Open Sans"/>
        </w:rPr>
        <w:t>There is some legal authority that the extent of a person’s decision-making ability</w:t>
      </w:r>
      <w:r w:rsidRPr="005E4636">
        <w:rPr>
          <w:rFonts w:cs="Open Sans"/>
        </w:rPr>
        <w:t xml:space="preserve"> </w:t>
      </w:r>
      <w:r w:rsidRPr="142DBD8A">
        <w:rPr>
          <w:rFonts w:cs="Open Sans"/>
        </w:rPr>
        <w:t xml:space="preserve">may vary </w:t>
      </w:r>
      <w:r>
        <w:rPr>
          <w:rFonts w:cs="Open Sans"/>
        </w:rPr>
        <w:t xml:space="preserve">by reference to </w:t>
      </w:r>
      <w:r w:rsidRPr="142DBD8A">
        <w:rPr>
          <w:rFonts w:cs="Open Sans"/>
        </w:rPr>
        <w:t xml:space="preserve">the particular </w:t>
      </w:r>
      <w:r>
        <w:rPr>
          <w:rFonts w:cs="Open Sans"/>
        </w:rPr>
        <w:t>type of medical procedure</w:t>
      </w:r>
      <w:r w:rsidRPr="142DBD8A">
        <w:rPr>
          <w:rFonts w:cs="Open Sans"/>
        </w:rPr>
        <w:t xml:space="preserve"> in question</w:t>
      </w:r>
      <w:r>
        <w:rPr>
          <w:rFonts w:cs="Open Sans"/>
        </w:rPr>
        <w:t>. For example,</w:t>
      </w:r>
      <w:r w:rsidRPr="005E4636">
        <w:rPr>
          <w:rFonts w:cs="Open Sans"/>
        </w:rPr>
        <w:t xml:space="preserve"> </w:t>
      </w:r>
      <w:r>
        <w:rPr>
          <w:rFonts w:cs="Open Sans"/>
        </w:rPr>
        <w:t xml:space="preserve">an individual might be able </w:t>
      </w:r>
      <w:r w:rsidRPr="005E4636">
        <w:rPr>
          <w:rFonts w:cs="Open Sans"/>
        </w:rPr>
        <w:t>to give legally</w:t>
      </w:r>
      <w:r>
        <w:rPr>
          <w:rFonts w:cs="Open Sans"/>
        </w:rPr>
        <w:t>-</w:t>
      </w:r>
      <w:r w:rsidRPr="005E4636">
        <w:rPr>
          <w:rFonts w:cs="Open Sans"/>
        </w:rPr>
        <w:t xml:space="preserve">effective consent to a procedure to set a broken arm, or to donate regenerative tissue for the benefit of a third party, but </w:t>
      </w:r>
      <w:r>
        <w:rPr>
          <w:rFonts w:cs="Open Sans"/>
        </w:rPr>
        <w:t xml:space="preserve">the </w:t>
      </w:r>
      <w:r w:rsidRPr="142DBD8A">
        <w:rPr>
          <w:rFonts w:cs="Open Sans"/>
        </w:rPr>
        <w:t xml:space="preserve">same </w:t>
      </w:r>
      <w:r>
        <w:rPr>
          <w:rFonts w:cs="Open Sans"/>
        </w:rPr>
        <w:t xml:space="preserve">individual might not have be able to consent </w:t>
      </w:r>
      <w:r w:rsidRPr="005E4636">
        <w:rPr>
          <w:rFonts w:cs="Open Sans"/>
        </w:rPr>
        <w:t xml:space="preserve">to </w:t>
      </w:r>
      <w:r>
        <w:rPr>
          <w:rFonts w:cs="Open Sans"/>
        </w:rPr>
        <w:t>an</w:t>
      </w:r>
      <w:r w:rsidRPr="005E4636" w:rsidDel="00446B7F">
        <w:rPr>
          <w:rFonts w:cs="Open Sans"/>
        </w:rPr>
        <w:t xml:space="preserve"> </w:t>
      </w:r>
      <w:r w:rsidRPr="005E4636">
        <w:rPr>
          <w:rFonts w:cs="Open Sans"/>
        </w:rPr>
        <w:t xml:space="preserve">invasive and irreversible </w:t>
      </w:r>
      <w:r>
        <w:rPr>
          <w:rFonts w:cs="Open Sans"/>
        </w:rPr>
        <w:t xml:space="preserve">medical </w:t>
      </w:r>
      <w:r w:rsidRPr="005E4636">
        <w:rPr>
          <w:rFonts w:cs="Open Sans"/>
        </w:rPr>
        <w:t>intervention that</w:t>
      </w:r>
      <w:r w:rsidRPr="005E4636" w:rsidDel="00446B7F">
        <w:rPr>
          <w:rFonts w:cs="Open Sans"/>
        </w:rPr>
        <w:t xml:space="preserve"> </w:t>
      </w:r>
      <w:r w:rsidRPr="005E4636">
        <w:rPr>
          <w:rFonts w:cs="Open Sans"/>
        </w:rPr>
        <w:t>would result in sterilisation.</w:t>
      </w:r>
      <w:r w:rsidRPr="00984B64">
        <w:rPr>
          <w:rStyle w:val="EndnoteReference"/>
          <w:rFonts w:cs="Open Sans"/>
          <w:szCs w:val="20"/>
        </w:rPr>
        <w:endnoteReference w:id="141"/>
      </w:r>
      <w:r w:rsidRPr="00B24BA8">
        <w:rPr>
          <w:rFonts w:cs="Open Sans"/>
        </w:rPr>
        <w:t xml:space="preserve"> </w:t>
      </w:r>
    </w:p>
    <w:p w:rsidR="005C4CC3" w:rsidP="005C4CC3" w:rsidRDefault="005C4CC3" w14:paraId="24C44EED" w14:textId="77777777">
      <w:pPr>
        <w:rPr>
          <w:rFonts w:cs="Open Sans"/>
        </w:rPr>
      </w:pPr>
      <w:r>
        <w:rPr>
          <w:rFonts w:cs="Open Sans"/>
        </w:rPr>
        <w:lastRenderedPageBreak/>
        <w:t>This is consistent with more c</w:t>
      </w:r>
      <w:r w:rsidRPr="005E4636">
        <w:rPr>
          <w:rFonts w:cs="Open Sans"/>
        </w:rPr>
        <w:t>ontemporary understanding</w:t>
      </w:r>
      <w:r>
        <w:rPr>
          <w:rFonts w:cs="Open Sans"/>
        </w:rPr>
        <w:t>s</w:t>
      </w:r>
      <w:r w:rsidRPr="005E4636">
        <w:rPr>
          <w:rFonts w:cs="Open Sans"/>
        </w:rPr>
        <w:t>, influenced by international human rights law,</w:t>
      </w:r>
      <w:r w:rsidRPr="002B0B83">
        <w:rPr>
          <w:rStyle w:val="EndnoteReference"/>
          <w:rFonts w:cs="Open Sans"/>
          <w:szCs w:val="20"/>
        </w:rPr>
        <w:endnoteReference w:id="142"/>
      </w:r>
      <w:r w:rsidRPr="002B0B83">
        <w:rPr>
          <w:rFonts w:cs="Open Sans"/>
          <w:sz w:val="20"/>
          <w:szCs w:val="20"/>
        </w:rPr>
        <w:t xml:space="preserve"> </w:t>
      </w:r>
      <w:r w:rsidRPr="005E4636">
        <w:rPr>
          <w:rFonts w:cs="Open Sans"/>
        </w:rPr>
        <w:t xml:space="preserve">that a person with apparently impaired cognition </w:t>
      </w:r>
      <w:r>
        <w:rPr>
          <w:rFonts w:cs="Open Sans"/>
        </w:rPr>
        <w:t>should not</w:t>
      </w:r>
      <w:r w:rsidRPr="005E4636">
        <w:rPr>
          <w:rFonts w:cs="Open Sans"/>
        </w:rPr>
        <w:t xml:space="preserve"> be assumed to lack decision-making </w:t>
      </w:r>
      <w:r>
        <w:rPr>
          <w:rFonts w:cs="Open Sans"/>
        </w:rPr>
        <w:t>ability</w:t>
      </w:r>
      <w:r w:rsidRPr="005E4636">
        <w:rPr>
          <w:rFonts w:cs="Open Sans"/>
        </w:rPr>
        <w:t xml:space="preserve"> in respect of </w:t>
      </w:r>
      <w:r w:rsidRPr="142DBD8A">
        <w:rPr>
          <w:rFonts w:cs="Open Sans"/>
          <w:i/>
          <w:iCs/>
        </w:rPr>
        <w:t>all</w:t>
      </w:r>
      <w:r w:rsidRPr="005E4636">
        <w:rPr>
          <w:rFonts w:cs="Open Sans"/>
        </w:rPr>
        <w:t xml:space="preserve"> potential medical interventions at all times, and that such </w:t>
      </w:r>
      <w:r>
        <w:rPr>
          <w:rFonts w:cs="Open Sans"/>
        </w:rPr>
        <w:t>ability</w:t>
      </w:r>
      <w:r w:rsidRPr="005E4636">
        <w:rPr>
          <w:rFonts w:cs="Open Sans"/>
        </w:rPr>
        <w:t xml:space="preserve"> as they have </w:t>
      </w:r>
      <w:r>
        <w:rPr>
          <w:rFonts w:cs="Open Sans"/>
        </w:rPr>
        <w:t>should</w:t>
      </w:r>
      <w:r w:rsidRPr="005E4636">
        <w:rPr>
          <w:rFonts w:cs="Open Sans"/>
        </w:rPr>
        <w:t xml:space="preserve"> be supported and maximised.</w:t>
      </w:r>
      <w:r w:rsidRPr="002B0B83">
        <w:rPr>
          <w:rStyle w:val="EndnoteReference"/>
          <w:rFonts w:cs="Open Sans"/>
          <w:szCs w:val="20"/>
        </w:rPr>
        <w:endnoteReference w:id="143"/>
      </w:r>
    </w:p>
    <w:p w:rsidRPr="002E3C07" w:rsidR="005C4CC3" w:rsidP="005C4CC3" w:rsidRDefault="005C4CC3" w14:paraId="1A1493F2" w14:textId="77777777">
      <w:pPr>
        <w:pStyle w:val="Heading3"/>
        <w:tabs>
          <w:tab w:val="clear" w:pos="851"/>
          <w:tab w:val="num" w:pos="1571"/>
        </w:tabs>
        <w:rPr>
          <w:rFonts w:cs="Open Sans"/>
        </w:rPr>
      </w:pPr>
      <w:bookmarkStart w:name="_Toc80096975" w:id="170"/>
      <w:bookmarkStart w:name="_Toc85541412" w:id="171"/>
      <w:r>
        <w:rPr>
          <w:rFonts w:cs="Open Sans"/>
        </w:rPr>
        <w:t>Children</w:t>
      </w:r>
      <w:bookmarkEnd w:id="170"/>
      <w:bookmarkEnd w:id="171"/>
    </w:p>
    <w:p w:rsidR="005C4CC3" w:rsidP="005C4CC3" w:rsidRDefault="005C4CC3" w14:paraId="227C6715" w14:textId="564EC64E">
      <w:pPr>
        <w:keepNext/>
        <w:rPr>
          <w:rFonts w:cs="Open Sans"/>
        </w:rPr>
      </w:pPr>
      <w:r>
        <w:rPr>
          <w:rFonts w:cs="Open Sans"/>
        </w:rPr>
        <w:t xml:space="preserve">Special </w:t>
      </w:r>
      <w:r w:rsidRPr="004672DF">
        <w:rPr>
          <w:rFonts w:cs="Open Sans"/>
        </w:rPr>
        <w:t xml:space="preserve">rules apply to medical treatment given to children. </w:t>
      </w:r>
      <w:r w:rsidR="007B2CD0">
        <w:t xml:space="preserve">In most states and territories, the age of consent to medical treatment is 18 years and the common law principles in </w:t>
      </w:r>
      <w:r w:rsidRPr="005819ED" w:rsidR="007B2CD0">
        <w:rPr>
          <w:i/>
        </w:rPr>
        <w:t>Gillick</w:t>
      </w:r>
      <w:r w:rsidR="007B2CD0">
        <w:t xml:space="preserve"> and </w:t>
      </w:r>
      <w:r w:rsidRPr="005819ED" w:rsidR="007B2CD0">
        <w:rPr>
          <w:i/>
        </w:rPr>
        <w:t>Marion’s Case</w:t>
      </w:r>
      <w:r w:rsidR="007B2CD0">
        <w:t xml:space="preserve"> would apply</w:t>
      </w:r>
      <w:r w:rsidR="00FF4330">
        <w:t>.</w:t>
      </w:r>
      <w:r w:rsidR="007B2CD0">
        <w:t xml:space="preserve"> </w:t>
      </w:r>
      <w:r w:rsidRPr="004672DF">
        <w:rPr>
          <w:rFonts w:cs="Open Sans"/>
        </w:rPr>
        <w:t>In</w:t>
      </w:r>
      <w:r w:rsidRPr="142DBD8A" w:rsidDel="66417A4F">
        <w:rPr>
          <w:rFonts w:cs="Open Sans"/>
        </w:rPr>
        <w:t xml:space="preserve"> </w:t>
      </w:r>
      <w:r w:rsidRPr="004672DF">
        <w:rPr>
          <w:rFonts w:cs="Open Sans"/>
        </w:rPr>
        <w:t xml:space="preserve">South Australia, legislation provides </w:t>
      </w:r>
      <w:r w:rsidRPr="142DBD8A">
        <w:rPr>
          <w:rFonts w:cs="Open Sans"/>
        </w:rPr>
        <w:t xml:space="preserve">that </w:t>
      </w:r>
      <w:r w:rsidRPr="004672DF">
        <w:rPr>
          <w:rFonts w:cs="Open Sans"/>
        </w:rPr>
        <w:t xml:space="preserve">children </w:t>
      </w:r>
      <w:r w:rsidRPr="142DBD8A">
        <w:rPr>
          <w:rFonts w:cs="Open Sans"/>
        </w:rPr>
        <w:t xml:space="preserve">who are at least 16 years of age </w:t>
      </w:r>
      <w:r w:rsidRPr="004672DF">
        <w:rPr>
          <w:rFonts w:cs="Open Sans"/>
        </w:rPr>
        <w:t>may consent to treatment on their own behalf.</w:t>
      </w:r>
      <w:r>
        <w:rPr>
          <w:rStyle w:val="EndnoteReference"/>
          <w:rFonts w:cs="Open Sans"/>
        </w:rPr>
        <w:endnoteReference w:id="144"/>
      </w:r>
      <w:r w:rsidRPr="004672DF">
        <w:rPr>
          <w:rFonts w:cs="Open Sans"/>
        </w:rPr>
        <w:t xml:space="preserve"> Where medical treatment is contemplated for a child</w:t>
      </w:r>
      <w:r w:rsidRPr="142DBD8A">
        <w:rPr>
          <w:rFonts w:cs="Open Sans"/>
        </w:rPr>
        <w:t>, and a statutory rule of that nature does not apply</w:t>
      </w:r>
      <w:r w:rsidRPr="004672DF">
        <w:rPr>
          <w:rFonts w:cs="Open Sans"/>
        </w:rPr>
        <w:t>, the general rule at common law is that, where a child is mature enough to understand fully the</w:t>
      </w:r>
      <w:r>
        <w:rPr>
          <w:rFonts w:cs="Open Sans"/>
        </w:rPr>
        <w:t xml:space="preserve"> nature and</w:t>
      </w:r>
      <w:r w:rsidRPr="004672DF">
        <w:rPr>
          <w:rFonts w:cs="Open Sans"/>
        </w:rPr>
        <w:t xml:space="preserve"> consequences of proposed treatment, </w:t>
      </w:r>
      <w:r w:rsidRPr="142DBD8A">
        <w:rPr>
          <w:rFonts w:cs="Open Sans"/>
        </w:rPr>
        <w:t xml:space="preserve">they may make their own decisions about treatment. </w:t>
      </w:r>
    </w:p>
    <w:p w:rsidR="005C4CC3" w:rsidP="005C4CC3" w:rsidRDefault="005C4CC3" w14:paraId="198B6500" w14:textId="77777777">
      <w:pPr>
        <w:keepNext/>
        <w:rPr>
          <w:rFonts w:cs="Open Sans"/>
        </w:rPr>
      </w:pPr>
      <w:r w:rsidRPr="142DBD8A">
        <w:rPr>
          <w:rFonts w:cs="Open Sans"/>
        </w:rPr>
        <w:t xml:space="preserve">Where the child is not mature enough to understand fully the </w:t>
      </w:r>
      <w:r>
        <w:rPr>
          <w:rFonts w:cs="Open Sans"/>
        </w:rPr>
        <w:t xml:space="preserve">nature and </w:t>
      </w:r>
      <w:r w:rsidRPr="142DBD8A">
        <w:rPr>
          <w:rFonts w:cs="Open Sans"/>
        </w:rPr>
        <w:t xml:space="preserve">consequences of proposed treatment, </w:t>
      </w:r>
      <w:r w:rsidRPr="004672DF">
        <w:rPr>
          <w:rFonts w:cs="Open Sans"/>
        </w:rPr>
        <w:t>in most cases their legal guardian</w:t>
      </w:r>
      <w:r>
        <w:rPr>
          <w:rFonts w:cs="Open Sans"/>
        </w:rPr>
        <w:t xml:space="preserve"> or guardian</w:t>
      </w:r>
      <w:r w:rsidRPr="004672DF">
        <w:rPr>
          <w:rFonts w:cs="Open Sans"/>
        </w:rPr>
        <w:t xml:space="preserve">s can provide consent </w:t>
      </w:r>
      <w:r>
        <w:rPr>
          <w:rFonts w:cs="Open Sans"/>
        </w:rPr>
        <w:t>on their behalf</w:t>
      </w:r>
      <w:r w:rsidRPr="004672DF">
        <w:rPr>
          <w:rFonts w:cs="Open Sans"/>
        </w:rPr>
        <w:t>.</w:t>
      </w:r>
      <w:r w:rsidRPr="0117CC5D">
        <w:rPr>
          <w:rStyle w:val="EndnoteReference"/>
          <w:rFonts w:cs="Open Sans"/>
        </w:rPr>
        <w:endnoteReference w:id="145"/>
      </w:r>
      <w:r w:rsidRPr="004672DF">
        <w:rPr>
          <w:rFonts w:cs="Open Sans"/>
        </w:rPr>
        <w:t xml:space="preserve"> In cases where legal guardians provide consent on behalf of </w:t>
      </w:r>
      <w:r>
        <w:rPr>
          <w:rFonts w:cs="Open Sans"/>
        </w:rPr>
        <w:t xml:space="preserve">a </w:t>
      </w:r>
      <w:r w:rsidRPr="004672DF">
        <w:rPr>
          <w:rFonts w:cs="Open Sans"/>
        </w:rPr>
        <w:t>child, they are obliged to undertake this role only in the best interests of the child.</w:t>
      </w:r>
      <w:r w:rsidRPr="0117CC5D">
        <w:rPr>
          <w:rStyle w:val="EndnoteReference"/>
          <w:rFonts w:cs="Open Sans"/>
        </w:rPr>
        <w:endnoteReference w:id="146"/>
      </w:r>
      <w:r w:rsidRPr="004672DF">
        <w:rPr>
          <w:rFonts w:cs="Open Sans"/>
        </w:rPr>
        <w:t xml:space="preserve"> </w:t>
      </w:r>
    </w:p>
    <w:p w:rsidRPr="008320E8" w:rsidR="005C4CC3" w:rsidP="005C4CC3" w:rsidRDefault="005C4CC3" w14:paraId="13AE78B6" w14:textId="77777777">
      <w:pPr>
        <w:keepNext/>
        <w:rPr>
          <w:rFonts w:cs="Open Sans"/>
        </w:rPr>
      </w:pPr>
      <w:r>
        <w:rPr>
          <w:rFonts w:cs="Open Sans"/>
        </w:rPr>
        <w:t xml:space="preserve">There are some limits to the rights of legal guardians in this regard. Since the leading UK case of </w:t>
      </w:r>
      <w:r w:rsidRPr="142DBD8A">
        <w:rPr>
          <w:rFonts w:cs="Open Sans"/>
          <w:i/>
          <w:iCs/>
        </w:rPr>
        <w:t>Gillick v West Norfolk AHA</w:t>
      </w:r>
      <w:r w:rsidRPr="008222D3">
        <w:rPr>
          <w:rFonts w:cs="Open Sans"/>
        </w:rPr>
        <w:t>,</w:t>
      </w:r>
      <w:r w:rsidRPr="00E41674">
        <w:rPr>
          <w:rStyle w:val="EndnoteReference"/>
          <w:rFonts w:cs="Open Sans"/>
          <w:szCs w:val="20"/>
        </w:rPr>
        <w:endnoteReference w:id="147"/>
      </w:r>
      <w:r w:rsidRPr="00E41674">
        <w:rPr>
          <w:rFonts w:cs="Open Sans"/>
          <w:sz w:val="22"/>
          <w:szCs w:val="22"/>
        </w:rPr>
        <w:t xml:space="preserve"> </w:t>
      </w:r>
      <w:r w:rsidRPr="008320E8">
        <w:rPr>
          <w:rFonts w:cs="Open Sans"/>
        </w:rPr>
        <w:t>Australian courts have followed those of the UK in recognising that children’s capacity evolves with age, and that when they reach a level of maturity where they are capable of providing consent themselves, the rights of their legal guardians to consent for them ends. The</w:t>
      </w:r>
      <w:r w:rsidRPr="008320E8" w:rsidDel="009C4E65">
        <w:rPr>
          <w:rFonts w:cs="Open Sans"/>
        </w:rPr>
        <w:t xml:space="preserve"> </w:t>
      </w:r>
      <w:r w:rsidRPr="008320E8">
        <w:rPr>
          <w:rFonts w:cs="Open Sans"/>
        </w:rPr>
        <w:t>test of ‘</w:t>
      </w:r>
      <w:r w:rsidRPr="008320E8">
        <w:rPr>
          <w:rFonts w:cs="Open Sans"/>
          <w:i/>
          <w:iCs/>
        </w:rPr>
        <w:t>Gillick</w:t>
      </w:r>
      <w:r w:rsidRPr="008320E8">
        <w:rPr>
          <w:rFonts w:cs="Open Sans"/>
        </w:rPr>
        <w:t xml:space="preserve"> competency’ is as follows:</w:t>
      </w:r>
    </w:p>
    <w:p w:rsidRPr="00997459" w:rsidR="005C4CC3" w:rsidP="005C4CC3" w:rsidRDefault="005C4CC3" w14:paraId="27598B13" w14:textId="77777777">
      <w:pPr>
        <w:keepNext/>
        <w:ind w:left="720"/>
        <w:rPr>
          <w:rFonts w:cs="Open Sans"/>
          <w:bCs/>
          <w:sz w:val="22"/>
          <w:szCs w:val="22"/>
        </w:rPr>
      </w:pPr>
      <w:r w:rsidRPr="008320E8">
        <w:rPr>
          <w:rFonts w:cs="Open Sans"/>
          <w:sz w:val="22"/>
          <w:szCs w:val="22"/>
        </w:rPr>
        <w:t>the parental right to determine whether or not their minor</w:t>
      </w:r>
      <w:r w:rsidRPr="142DBD8A">
        <w:rPr>
          <w:rFonts w:cs="Open Sans"/>
          <w:sz w:val="22"/>
          <w:szCs w:val="22"/>
        </w:rPr>
        <w:t xml:space="preserve"> child below the age of 16 will have medical treatment terminates if and when the child achieves a </w:t>
      </w:r>
      <w:r w:rsidRPr="142DBD8A">
        <w:rPr>
          <w:rFonts w:cs="Open Sans"/>
          <w:sz w:val="22"/>
          <w:szCs w:val="22"/>
        </w:rPr>
        <w:lastRenderedPageBreak/>
        <w:t>sufficient understanding and intelligence to enable him or her to understand fully what is proposed.</w:t>
      </w:r>
      <w:r w:rsidRPr="00E41674">
        <w:rPr>
          <w:rStyle w:val="EndnoteReference"/>
          <w:rFonts w:cs="Open Sans"/>
          <w:szCs w:val="20"/>
        </w:rPr>
        <w:endnoteReference w:id="148"/>
      </w:r>
    </w:p>
    <w:p w:rsidRPr="005E4636" w:rsidR="005C4CC3" w:rsidP="005C4CC3" w:rsidRDefault="005C4CC3" w14:paraId="31393125" w14:textId="77777777">
      <w:pPr>
        <w:rPr>
          <w:rFonts w:cs="Open Sans"/>
          <w:bCs/>
        </w:rPr>
      </w:pPr>
      <w:r w:rsidRPr="00207D98">
        <w:rPr>
          <w:rFonts w:cs="Open Sans"/>
          <w:bCs/>
        </w:rPr>
        <w:t>In</w:t>
      </w:r>
      <w:r>
        <w:rPr>
          <w:rFonts w:cs="Open Sans"/>
          <w:bCs/>
          <w:i/>
          <w:iCs/>
        </w:rPr>
        <w:t xml:space="preserve"> Marion’s case</w:t>
      </w:r>
      <w:r>
        <w:rPr>
          <w:rFonts w:cs="Open Sans"/>
          <w:bCs/>
          <w:iCs/>
        </w:rPr>
        <w:t xml:space="preserve">, the majority of the High Court cited </w:t>
      </w:r>
      <w:r>
        <w:rPr>
          <w:rFonts w:cs="Open Sans"/>
          <w:bCs/>
          <w:i/>
        </w:rPr>
        <w:t xml:space="preserve">Gillick </w:t>
      </w:r>
      <w:r>
        <w:rPr>
          <w:rFonts w:cs="Open Sans"/>
          <w:bCs/>
          <w:iCs/>
        </w:rPr>
        <w:t>in deciding</w:t>
      </w:r>
      <w:r w:rsidRPr="005E4636">
        <w:rPr>
          <w:rFonts w:cs="Open Sans"/>
          <w:bCs/>
        </w:rPr>
        <w:t>:</w:t>
      </w:r>
    </w:p>
    <w:p w:rsidRPr="005E4636" w:rsidR="005C4CC3" w:rsidP="005C4CC3" w:rsidRDefault="005C4CC3" w14:paraId="7A1F18BA" w14:textId="77777777">
      <w:pPr>
        <w:ind w:left="720"/>
        <w:rPr>
          <w:rFonts w:cs="Open Sans"/>
          <w:bCs/>
        </w:rPr>
      </w:pPr>
      <w:r w:rsidRPr="000F563D">
        <w:rPr>
          <w:rFonts w:cs="Open Sans"/>
          <w:bCs/>
          <w:sz w:val="22"/>
          <w:szCs w:val="22"/>
        </w:rPr>
        <w:t>Parental rights</w:t>
      </w:r>
      <w:r>
        <w:rPr>
          <w:rFonts w:cs="Open Sans"/>
          <w:bCs/>
          <w:sz w:val="22"/>
          <w:szCs w:val="22"/>
        </w:rPr>
        <w:t xml:space="preserve"> </w:t>
      </w:r>
      <w:r w:rsidRPr="000F563D">
        <w:rPr>
          <w:rFonts w:cs="Open Sans"/>
          <w:bCs/>
          <w:sz w:val="22"/>
          <w:szCs w:val="22"/>
        </w:rPr>
        <w:t>… do not wholly disappear until the age of majority</w:t>
      </w:r>
      <w:r>
        <w:rPr>
          <w:rFonts w:cs="Open Sans"/>
          <w:bCs/>
          <w:sz w:val="22"/>
          <w:szCs w:val="22"/>
        </w:rPr>
        <w:t xml:space="preserve"> </w:t>
      </w:r>
      <w:r w:rsidRPr="000F563D">
        <w:rPr>
          <w:rFonts w:cs="Open Sans"/>
          <w:bCs/>
          <w:sz w:val="22"/>
          <w:szCs w:val="22"/>
        </w:rPr>
        <w:t>…</w:t>
      </w:r>
      <w:r>
        <w:rPr>
          <w:rFonts w:cs="Open Sans"/>
          <w:bCs/>
          <w:sz w:val="22"/>
          <w:szCs w:val="22"/>
        </w:rPr>
        <w:t xml:space="preserve"> </w:t>
      </w:r>
      <w:r w:rsidRPr="000F563D">
        <w:rPr>
          <w:rFonts w:cs="Open Sans"/>
          <w:bCs/>
          <w:sz w:val="22"/>
          <w:szCs w:val="22"/>
        </w:rPr>
        <w:t xml:space="preserve">But the common law has never treated such rights as sovereign or beyond review and control. </w:t>
      </w:r>
      <w:r w:rsidRPr="000F563D">
        <w:rPr>
          <w:rFonts w:cs="Open Sans"/>
          <w:bCs/>
          <w:iCs/>
          <w:sz w:val="22"/>
          <w:szCs w:val="22"/>
        </w:rPr>
        <w:t>Nor has our law ever treated the child as other than a person with capacities and rights recognised by law</w:t>
      </w:r>
      <w:r w:rsidRPr="000F563D">
        <w:rPr>
          <w:rFonts w:cs="Open Sans"/>
          <w:bCs/>
          <w:i/>
          <w:sz w:val="22"/>
          <w:szCs w:val="22"/>
        </w:rPr>
        <w:t>.</w:t>
      </w:r>
      <w:r w:rsidRPr="000F563D">
        <w:rPr>
          <w:rFonts w:cs="Open Sans"/>
          <w:bCs/>
          <w:sz w:val="22"/>
          <w:szCs w:val="22"/>
        </w:rPr>
        <w:t xml:space="preserve"> The principle of the law</w:t>
      </w:r>
      <w:r>
        <w:rPr>
          <w:rFonts w:cs="Open Sans"/>
          <w:bCs/>
          <w:sz w:val="22"/>
          <w:szCs w:val="22"/>
        </w:rPr>
        <w:t xml:space="preserve"> </w:t>
      </w:r>
      <w:r w:rsidRPr="000F563D">
        <w:rPr>
          <w:rFonts w:cs="Open Sans"/>
          <w:bCs/>
          <w:sz w:val="22"/>
          <w:szCs w:val="22"/>
        </w:rPr>
        <w:t>…</w:t>
      </w:r>
      <w:r>
        <w:rPr>
          <w:rFonts w:cs="Open Sans"/>
          <w:bCs/>
          <w:sz w:val="22"/>
          <w:szCs w:val="22"/>
        </w:rPr>
        <w:t xml:space="preserve"> </w:t>
      </w:r>
      <w:r w:rsidRPr="000F563D">
        <w:rPr>
          <w:rFonts w:cs="Open Sans"/>
          <w:bCs/>
          <w:sz w:val="22"/>
          <w:szCs w:val="22"/>
        </w:rPr>
        <w:t>is that parental rights are derived from parental duty and exist only so long as they are needed for the protection of the person and the property of the child</w:t>
      </w:r>
      <w:r w:rsidRPr="005E4636">
        <w:rPr>
          <w:rFonts w:cs="Open Sans"/>
          <w:bCs/>
        </w:rPr>
        <w:t>.</w:t>
      </w:r>
      <w:r w:rsidRPr="00E41674">
        <w:rPr>
          <w:rStyle w:val="EndnoteReference"/>
          <w:rFonts w:cs="Open Sans"/>
          <w:bCs/>
          <w:szCs w:val="20"/>
        </w:rPr>
        <w:endnoteReference w:id="149"/>
      </w:r>
      <w:r w:rsidRPr="005E4636">
        <w:rPr>
          <w:rFonts w:cs="Open Sans"/>
          <w:bCs/>
        </w:rPr>
        <w:t xml:space="preserve"> </w:t>
      </w:r>
    </w:p>
    <w:p w:rsidRPr="005E4636" w:rsidR="005C4CC3" w:rsidP="005C4CC3" w:rsidRDefault="005C4CC3" w14:paraId="160491EE" w14:textId="77777777">
      <w:pPr>
        <w:rPr>
          <w:rFonts w:cs="Open Sans"/>
          <w:color w:val="333333"/>
          <w:shd w:val="clear" w:color="auto" w:fill="FFFFFF"/>
        </w:rPr>
      </w:pPr>
      <w:r>
        <w:rPr>
          <w:rFonts w:cs="Open Sans"/>
        </w:rPr>
        <w:t xml:space="preserve">Even when children are not legally competent to make medical decisions for themselves, they have a right to be involved in medical decision making. </w:t>
      </w:r>
      <w:r w:rsidRPr="005E4636">
        <w:rPr>
          <w:rFonts w:cs="Open Sans"/>
        </w:rPr>
        <w:t xml:space="preserve">In </w:t>
      </w:r>
      <w:r w:rsidRPr="142DBD8A">
        <w:rPr>
          <w:rFonts w:cs="Open Sans"/>
          <w:i/>
          <w:iCs/>
        </w:rPr>
        <w:t>Re W (a minor) (medical treatment)</w:t>
      </w:r>
      <w:r w:rsidRPr="005E4636">
        <w:rPr>
          <w:rFonts w:cs="Open Sans"/>
        </w:rPr>
        <w:t>,</w:t>
      </w:r>
      <w:r w:rsidRPr="00672C7E">
        <w:rPr>
          <w:rStyle w:val="EndnoteReference"/>
          <w:rFonts w:cs="Open Sans"/>
          <w:sz w:val="22"/>
          <w:szCs w:val="22"/>
        </w:rPr>
        <w:endnoteReference w:id="150"/>
      </w:r>
      <w:r w:rsidRPr="00672C7E">
        <w:rPr>
          <w:rFonts w:cs="Open Sans"/>
          <w:sz w:val="22"/>
          <w:szCs w:val="22"/>
        </w:rPr>
        <w:t xml:space="preserve"> </w:t>
      </w:r>
      <w:r w:rsidRPr="005E4636">
        <w:rPr>
          <w:rFonts w:cs="Open Sans"/>
        </w:rPr>
        <w:t xml:space="preserve">Lord Donaldson MR held that the lack of </w:t>
      </w:r>
      <w:r w:rsidRPr="142DBD8A">
        <w:rPr>
          <w:rFonts w:cs="Open Sans"/>
          <w:i/>
          <w:iCs/>
        </w:rPr>
        <w:t>Gillick c</w:t>
      </w:r>
      <w:r w:rsidRPr="005E4636">
        <w:rPr>
          <w:rFonts w:cs="Open Sans"/>
        </w:rPr>
        <w:t xml:space="preserve">ompetence, while reducing the weight that ought to be given to a young person’s views and wishes, did not mean that those views and wishes should be disregarded. </w:t>
      </w:r>
      <w:r>
        <w:rPr>
          <w:rFonts w:cs="Open Sans"/>
        </w:rPr>
        <w:t>The</w:t>
      </w:r>
      <w:r w:rsidRPr="005E4636">
        <w:rPr>
          <w:rFonts w:cs="Open Sans"/>
        </w:rPr>
        <w:t xml:space="preserve"> Full Court of the UK Family Court </w:t>
      </w:r>
      <w:r>
        <w:rPr>
          <w:rFonts w:cs="Open Sans"/>
        </w:rPr>
        <w:t>endorsed this view</w:t>
      </w:r>
      <w:r w:rsidRPr="005E4636">
        <w:rPr>
          <w:rFonts w:cs="Open Sans"/>
        </w:rPr>
        <w:t xml:space="preserve"> in 1995</w:t>
      </w:r>
      <w:r w:rsidRPr="005E4636">
        <w:rPr>
          <w:rFonts w:cs="Open Sans"/>
          <w:color w:val="333333"/>
          <w:shd w:val="clear" w:color="auto" w:fill="FFFFFF"/>
        </w:rPr>
        <w:t>.</w:t>
      </w:r>
      <w:r w:rsidRPr="00AE640C">
        <w:rPr>
          <w:rStyle w:val="EndnoteReference"/>
          <w:rFonts w:cs="Open Sans"/>
          <w:color w:val="333333"/>
          <w:szCs w:val="20"/>
          <w:shd w:val="clear" w:color="auto" w:fill="FFFFFF"/>
        </w:rPr>
        <w:endnoteReference w:id="151"/>
      </w:r>
    </w:p>
    <w:p w:rsidRPr="008320E8" w:rsidR="005C4CC3" w:rsidP="005C4CC3" w:rsidRDefault="005C4CC3" w14:paraId="485F22C4" w14:textId="77777777">
      <w:pPr>
        <w:rPr>
          <w:rFonts w:cs="Open Sans"/>
        </w:rPr>
      </w:pPr>
      <w:r w:rsidRPr="005E4636">
        <w:rPr>
          <w:rFonts w:cs="Open Sans"/>
        </w:rPr>
        <w:t xml:space="preserve">The </w:t>
      </w:r>
      <w:r w:rsidRPr="142DBD8A">
        <w:rPr>
          <w:rFonts w:cs="Open Sans"/>
          <w:i/>
          <w:iCs/>
        </w:rPr>
        <w:t>Family Law Act</w:t>
      </w:r>
      <w:r w:rsidRPr="005E4636">
        <w:rPr>
          <w:rFonts w:cs="Open Sans"/>
        </w:rPr>
        <w:t xml:space="preserve"> </w:t>
      </w:r>
      <w:r w:rsidRPr="142DBD8A">
        <w:rPr>
          <w:rFonts w:cs="Open Sans"/>
          <w:i/>
          <w:iCs/>
        </w:rPr>
        <w:t>1975</w:t>
      </w:r>
      <w:r>
        <w:rPr>
          <w:rFonts w:cs="Open Sans"/>
        </w:rPr>
        <w:t xml:space="preserve"> (Cth) </w:t>
      </w:r>
      <w:r w:rsidRPr="005E4636">
        <w:rPr>
          <w:rFonts w:cs="Open Sans"/>
        </w:rPr>
        <w:t xml:space="preserve">provides a range of ways in which children’s voices can be heard in matters affecting them. The Family Court hears and relies on evidence from children, whether directly or through an intermediary such as a family report writer or independent children’s lawyer (ICL), appointed under the </w:t>
      </w:r>
      <w:r w:rsidRPr="008320E8">
        <w:rPr>
          <w:rFonts w:cs="Open Sans"/>
        </w:rPr>
        <w:t>Act.</w:t>
      </w:r>
      <w:r w:rsidRPr="008320E8">
        <w:rPr>
          <w:rStyle w:val="EndnoteReference"/>
          <w:rFonts w:cs="Open Sans"/>
        </w:rPr>
        <w:endnoteReference w:id="152"/>
      </w:r>
      <w:r w:rsidRPr="008320E8">
        <w:rPr>
          <w:rFonts w:cs="Open Sans"/>
        </w:rPr>
        <w:t xml:space="preserve"> </w:t>
      </w:r>
    </w:p>
    <w:p w:rsidR="005C4CC3" w:rsidP="005C4CC3" w:rsidRDefault="005C4CC3" w14:paraId="04C581BD" w14:textId="26D977B4">
      <w:pPr>
        <w:rPr>
          <w:rFonts w:cs="Open Sans"/>
        </w:rPr>
      </w:pPr>
      <w:r w:rsidRPr="008320E8">
        <w:rPr>
          <w:rFonts w:cs="Open Sans"/>
        </w:rPr>
        <w:t>These common law and statutory principles may also be seen to reflect Principle 2, that children and young people have the right to express their views in relation to decisions that affect them, and those views must be given due weight in accordance with their age and maturity. Children and young people who are able to understand fully the nature and consequences of proposed medical interventions should be able to make their own decisions about whether those interventions proceed.</w:t>
      </w:r>
      <w:r w:rsidR="00DE03C6">
        <w:rPr>
          <w:rFonts w:cs="Open Sans"/>
        </w:rPr>
        <w:t xml:space="preserve"> Circumstances in which they </w:t>
      </w:r>
      <w:r w:rsidR="00E82D47">
        <w:rPr>
          <w:rFonts w:cs="Open Sans"/>
        </w:rPr>
        <w:t>unable</w:t>
      </w:r>
      <w:r w:rsidR="00DE03C6">
        <w:rPr>
          <w:rFonts w:cs="Open Sans"/>
        </w:rPr>
        <w:t xml:space="preserve"> to do so are discusse</w:t>
      </w:r>
      <w:r w:rsidR="00E82D47">
        <w:rPr>
          <w:rFonts w:cs="Open Sans"/>
        </w:rPr>
        <w:t>d</w:t>
      </w:r>
      <w:r w:rsidR="00DE03C6">
        <w:rPr>
          <w:rFonts w:cs="Open Sans"/>
        </w:rPr>
        <w:t xml:space="preserve"> in </w:t>
      </w:r>
      <w:r w:rsidR="00E82D47">
        <w:rPr>
          <w:rFonts w:cs="Open Sans"/>
        </w:rPr>
        <w:t xml:space="preserve">Chapter 5. </w:t>
      </w:r>
    </w:p>
    <w:p w:rsidR="005C4CC3" w:rsidP="005C4CC3" w:rsidRDefault="005C4CC3" w14:paraId="280EDC8B" w14:textId="77777777">
      <w:pPr>
        <w:pStyle w:val="Heading3"/>
        <w:tabs>
          <w:tab w:val="clear" w:pos="851"/>
          <w:tab w:val="num" w:pos="1571"/>
        </w:tabs>
      </w:pPr>
      <w:bookmarkStart w:name="_Toc55576973" w:id="172"/>
      <w:bookmarkStart w:name="_Toc55680004" w:id="173"/>
      <w:bookmarkStart w:name="_Toc55680087" w:id="174"/>
      <w:bookmarkStart w:name="_Toc55680328" w:id="175"/>
      <w:bookmarkStart w:name="_Toc55849867" w:id="176"/>
      <w:bookmarkStart w:name="_Toc56172621" w:id="177"/>
      <w:bookmarkStart w:name="_Toc56172706" w:id="178"/>
      <w:bookmarkStart w:name="_Toc55576974" w:id="179"/>
      <w:bookmarkStart w:name="_Toc55680005" w:id="180"/>
      <w:bookmarkStart w:name="_Toc55680088" w:id="181"/>
      <w:bookmarkStart w:name="_Toc55680329" w:id="182"/>
      <w:bookmarkStart w:name="_Toc55849868" w:id="183"/>
      <w:bookmarkStart w:name="_Toc56172622" w:id="184"/>
      <w:bookmarkStart w:name="_Toc56172707" w:id="185"/>
      <w:bookmarkStart w:name="_Toc55576975" w:id="186"/>
      <w:bookmarkStart w:name="_Toc55680006" w:id="187"/>
      <w:bookmarkStart w:name="_Toc55680089" w:id="188"/>
      <w:bookmarkStart w:name="_Toc55680330" w:id="189"/>
      <w:bookmarkStart w:name="_Toc55849869" w:id="190"/>
      <w:bookmarkStart w:name="_Toc56172623" w:id="191"/>
      <w:bookmarkStart w:name="_Toc56172708" w:id="192"/>
      <w:bookmarkStart w:name="_Toc80096976" w:id="193"/>
      <w:bookmarkStart w:name="_Toc85541413" w:id="194"/>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lastRenderedPageBreak/>
        <w:t>Special medical procedures</w:t>
      </w:r>
      <w:bookmarkEnd w:id="193"/>
      <w:bookmarkEnd w:id="194"/>
      <w:r>
        <w:t xml:space="preserve"> </w:t>
      </w:r>
    </w:p>
    <w:p w:rsidR="005C4CC3" w:rsidP="005C4CC3" w:rsidRDefault="005C4CC3" w14:paraId="5D2F92C4" w14:textId="77777777">
      <w:pPr>
        <w:keepNext/>
        <w:rPr>
          <w:rFonts w:cs="Open Sans"/>
        </w:rPr>
      </w:pPr>
      <w:r w:rsidRPr="005E4636">
        <w:rPr>
          <w:rFonts w:cs="Open Sans"/>
        </w:rPr>
        <w:t>There are decisions about medical intervention</w:t>
      </w:r>
      <w:r>
        <w:rPr>
          <w:rFonts w:cs="Open Sans"/>
        </w:rPr>
        <w:t xml:space="preserve">s for children </w:t>
      </w:r>
      <w:r w:rsidRPr="005E4636">
        <w:rPr>
          <w:rFonts w:cs="Open Sans"/>
        </w:rPr>
        <w:t>which have been held to fall outside the scope of parental responsibility.</w:t>
      </w:r>
      <w:r w:rsidRPr="00A372EC">
        <w:rPr>
          <w:rStyle w:val="EndnoteReference"/>
          <w:rFonts w:cs="Open Sans"/>
          <w:szCs w:val="20"/>
        </w:rPr>
        <w:endnoteReference w:id="153"/>
      </w:r>
      <w:r w:rsidRPr="005E4636">
        <w:rPr>
          <w:rFonts w:cs="Open Sans"/>
        </w:rPr>
        <w:t xml:space="preserve"> </w:t>
      </w:r>
      <w:r>
        <w:rPr>
          <w:rFonts w:cs="Open Sans"/>
        </w:rPr>
        <w:t>Such</w:t>
      </w:r>
      <w:r w:rsidDel="0054489F">
        <w:rPr>
          <w:rFonts w:cs="Open Sans"/>
        </w:rPr>
        <w:t xml:space="preserve"> </w:t>
      </w:r>
      <w:r>
        <w:rPr>
          <w:rFonts w:cs="Open Sans"/>
        </w:rPr>
        <w:t>interventions are known as ‘special medical procedures’</w:t>
      </w:r>
      <w:r w:rsidDel="00C93BE7">
        <w:rPr>
          <w:rFonts w:cs="Open Sans"/>
        </w:rPr>
        <w:t>.</w:t>
      </w:r>
      <w:r w:rsidRPr="0090589E">
        <w:rPr>
          <w:rStyle w:val="EndnoteReference"/>
          <w:rFonts w:cs="Open Sans"/>
          <w:szCs w:val="20"/>
        </w:rPr>
        <w:endnoteReference w:id="154"/>
      </w:r>
      <w:r w:rsidRPr="0090589E">
        <w:rPr>
          <w:rFonts w:cs="Open Sans"/>
          <w:sz w:val="20"/>
          <w:szCs w:val="20"/>
        </w:rPr>
        <w:t xml:space="preserve"> </w:t>
      </w:r>
    </w:p>
    <w:p w:rsidRPr="005E4636" w:rsidR="005C4CC3" w:rsidP="005C4CC3" w:rsidRDefault="005C4CC3" w14:paraId="051E53FB" w14:textId="77777777">
      <w:pPr>
        <w:keepNext/>
        <w:rPr>
          <w:rFonts w:cs="Open Sans"/>
        </w:rPr>
      </w:pPr>
      <w:r>
        <w:rPr>
          <w:rFonts w:cs="Open Sans"/>
        </w:rPr>
        <w:t xml:space="preserve">It is not lawful for a special medical procedure to be performed on a child without express authorisation from a court of competent jurisdiction. </w:t>
      </w:r>
      <w:r w:rsidRPr="005E4636">
        <w:rPr>
          <w:rFonts w:cs="Open Sans"/>
        </w:rPr>
        <w:t>The</w:t>
      </w:r>
      <w:r>
        <w:rPr>
          <w:rFonts w:cs="Open Sans"/>
        </w:rPr>
        <w:t xml:space="preserve"> role of common law courts in authorising this type of procedure is part of what is known as the </w:t>
      </w:r>
      <w:r w:rsidRPr="142DBD8A">
        <w:rPr>
          <w:rFonts w:cs="Open Sans"/>
          <w:i/>
          <w:iCs/>
        </w:rPr>
        <w:t>parens patriae</w:t>
      </w:r>
      <w:r w:rsidRPr="005E4636">
        <w:rPr>
          <w:rFonts w:cs="Open Sans"/>
        </w:rPr>
        <w:t xml:space="preserve"> jurisdiction</w:t>
      </w:r>
      <w:r>
        <w:rPr>
          <w:rFonts w:cs="Open Sans"/>
        </w:rPr>
        <w:t>.</w:t>
      </w:r>
      <w:r w:rsidRPr="00E6200E">
        <w:rPr>
          <w:rStyle w:val="EndnoteReference"/>
          <w:rFonts w:cs="Open Sans"/>
          <w:szCs w:val="20"/>
        </w:rPr>
        <w:endnoteReference w:id="155"/>
      </w:r>
    </w:p>
    <w:p w:rsidR="005C4CC3" w:rsidP="005C4CC3" w:rsidRDefault="005C4CC3" w14:paraId="77887170" w14:textId="77777777">
      <w:pPr>
        <w:rPr>
          <w:rFonts w:cs="Open Sans"/>
        </w:rPr>
      </w:pPr>
      <w:r>
        <w:rPr>
          <w:rFonts w:cs="Open Sans"/>
        </w:rPr>
        <w:t xml:space="preserve">The leading Australian case on special medical procedures is </w:t>
      </w:r>
      <w:r>
        <w:rPr>
          <w:rFonts w:cs="Open Sans"/>
          <w:i/>
          <w:iCs/>
        </w:rPr>
        <w:t>Marion’s case</w:t>
      </w:r>
      <w:r>
        <w:rPr>
          <w:rFonts w:cs="Open Sans"/>
        </w:rPr>
        <w:t>. In that case, the High Court considered whether the parents as legal guardians of a child with an intellectual disability were legally empowered to consent to her medical sterilisation. The Court held that, even where the parents had consented to this intervention, that parental consent was not enough on its own to authorise the intervention. In addition, it was necessary first to obtain authorisation from a competent court. The court identified the factors which led it to that conclusion:</w:t>
      </w:r>
    </w:p>
    <w:p w:rsidR="005C4CC3" w:rsidP="002F7D27" w:rsidRDefault="005C4CC3" w14:paraId="4874CACD" w14:textId="77777777">
      <w:pPr>
        <w:pStyle w:val="ListParagraph"/>
        <w:numPr>
          <w:ilvl w:val="0"/>
          <w:numId w:val="38"/>
        </w:numPr>
        <w:rPr>
          <w:rFonts w:cs="Open Sans"/>
        </w:rPr>
      </w:pPr>
      <w:r>
        <w:rPr>
          <w:rFonts w:cs="Open Sans"/>
        </w:rPr>
        <w:t>the proposed treatment involved a major intervention (in that case, surgical) that was invasive and irreversible</w:t>
      </w:r>
      <w:r w:rsidRPr="00E6200E">
        <w:rPr>
          <w:rStyle w:val="EndnoteReference"/>
          <w:rFonts w:cs="Open Sans"/>
          <w:szCs w:val="20"/>
        </w:rPr>
        <w:endnoteReference w:id="156"/>
      </w:r>
    </w:p>
    <w:p w:rsidRPr="005D76F4" w:rsidR="005C4CC3" w:rsidP="002F7D27" w:rsidRDefault="005C4CC3" w14:paraId="4394F0B7" w14:textId="77777777">
      <w:pPr>
        <w:pStyle w:val="ListParagraph"/>
        <w:numPr>
          <w:ilvl w:val="0"/>
          <w:numId w:val="38"/>
        </w:numPr>
        <w:rPr>
          <w:rFonts w:cs="Open Sans"/>
        </w:rPr>
      </w:pPr>
      <w:r>
        <w:rPr>
          <w:rFonts w:cs="Open Sans"/>
        </w:rPr>
        <w:t>t</w:t>
      </w:r>
      <w:r w:rsidRPr="005D1FF5">
        <w:rPr>
          <w:rFonts w:cs="Open Sans"/>
        </w:rPr>
        <w:t xml:space="preserve">here </w:t>
      </w:r>
      <w:r>
        <w:rPr>
          <w:rFonts w:cs="Open Sans"/>
        </w:rPr>
        <w:t>was</w:t>
      </w:r>
      <w:r w:rsidRPr="005D1FF5">
        <w:rPr>
          <w:rFonts w:cs="Open Sans"/>
        </w:rPr>
        <w:t xml:space="preserve"> a ‘</w:t>
      </w:r>
      <w:r w:rsidRPr="005D1FF5">
        <w:rPr>
          <w:rFonts w:cs="Open Sans"/>
          <w:lang w:val="en-US"/>
        </w:rPr>
        <w:t>significant risk of making the wrong decision, either as to a child’s present or future capacity to consent</w:t>
      </w:r>
      <w:r>
        <w:rPr>
          <w:rFonts w:cs="Open Sans"/>
          <w:lang w:val="en-US"/>
        </w:rPr>
        <w:t xml:space="preserve"> </w:t>
      </w:r>
      <w:r w:rsidRPr="005D1FF5">
        <w:rPr>
          <w:rFonts w:cs="Open Sans"/>
          <w:lang w:val="en-US"/>
        </w:rPr>
        <w:t>or about what are the best interests of a child who cannot consent</w:t>
      </w:r>
      <w:r>
        <w:rPr>
          <w:rFonts w:cs="Open Sans"/>
          <w:lang w:val="en-US"/>
        </w:rPr>
        <w:t>’</w:t>
      </w:r>
      <w:r w:rsidRPr="00E6200E">
        <w:rPr>
          <w:rStyle w:val="EndnoteReference"/>
          <w:rFonts w:cs="Open Sans"/>
          <w:szCs w:val="20"/>
          <w:lang w:val="en-US"/>
        </w:rPr>
        <w:endnoteReference w:id="157"/>
      </w:r>
    </w:p>
    <w:p w:rsidRPr="005D76F4" w:rsidR="005C4CC3" w:rsidP="002F7D27" w:rsidRDefault="005C4CC3" w14:paraId="43E378F1" w14:textId="77777777">
      <w:pPr>
        <w:pStyle w:val="ListParagraph"/>
        <w:numPr>
          <w:ilvl w:val="0"/>
          <w:numId w:val="38"/>
        </w:numPr>
        <w:rPr>
          <w:rFonts w:cs="Open Sans"/>
          <w:lang w:val="en-US"/>
        </w:rPr>
      </w:pPr>
      <w:r>
        <w:rPr>
          <w:rFonts w:cs="Open Sans"/>
          <w:lang w:val="en-US"/>
        </w:rPr>
        <w:t>the ‘</w:t>
      </w:r>
      <w:r w:rsidRPr="00395105">
        <w:rPr>
          <w:rFonts w:cs="Open Sans"/>
          <w:lang w:val="en-US"/>
        </w:rPr>
        <w:t xml:space="preserve">consequences of a wrong decision </w:t>
      </w:r>
      <w:r>
        <w:rPr>
          <w:rFonts w:cs="Open Sans"/>
          <w:lang w:val="en-US"/>
        </w:rPr>
        <w:t xml:space="preserve">[were] </w:t>
      </w:r>
      <w:r w:rsidRPr="005D76F4">
        <w:rPr>
          <w:rFonts w:cs="Open Sans"/>
          <w:lang w:val="en-US"/>
        </w:rPr>
        <w:t>particularly grave</w:t>
      </w:r>
      <w:r>
        <w:rPr>
          <w:rFonts w:cs="Open Sans"/>
          <w:lang w:val="en-US"/>
        </w:rPr>
        <w:t>’.</w:t>
      </w:r>
      <w:r w:rsidRPr="003206C7">
        <w:rPr>
          <w:rStyle w:val="EndnoteReference"/>
          <w:rFonts w:cs="Open Sans"/>
          <w:szCs w:val="20"/>
          <w:lang w:val="en-US"/>
        </w:rPr>
        <w:endnoteReference w:id="158"/>
      </w:r>
    </w:p>
    <w:p w:rsidR="005C4CC3" w:rsidP="005C4CC3" w:rsidRDefault="005C4CC3" w14:paraId="08A394F0" w14:textId="77777777">
      <w:pPr>
        <w:rPr>
          <w:rFonts w:cs="Open Sans"/>
        </w:rPr>
      </w:pPr>
      <w:r w:rsidRPr="142DBD8A">
        <w:rPr>
          <w:rFonts w:cs="Open Sans"/>
        </w:rPr>
        <w:t xml:space="preserve">The Court identified a number of factors which led to the significant risk of making the wrong decision in that case. The first of these was that the medical profession cannot be assumed </w:t>
      </w:r>
      <w:r w:rsidRPr="142DBD8A">
        <w:rPr>
          <w:rFonts w:cs="Open Sans"/>
          <w:i/>
          <w:iCs/>
        </w:rPr>
        <w:t xml:space="preserve">always </w:t>
      </w:r>
      <w:r w:rsidRPr="142DBD8A">
        <w:rPr>
          <w:rFonts w:cs="Open Sans"/>
        </w:rPr>
        <w:t>to behave properly. A majority of the Court stated:</w:t>
      </w:r>
    </w:p>
    <w:p w:rsidR="005C4CC3" w:rsidP="00B3330B" w:rsidRDefault="005C4CC3" w14:paraId="0695776F" w14:textId="77777777">
      <w:pPr>
        <w:ind w:left="851"/>
        <w:rPr>
          <w:rFonts w:cs="Open Sans"/>
          <w:sz w:val="22"/>
          <w:szCs w:val="22"/>
        </w:rPr>
      </w:pPr>
      <w:r w:rsidRPr="005D76F4">
        <w:rPr>
          <w:rFonts w:cs="Open Sans"/>
          <w:sz w:val="22"/>
          <w:szCs w:val="22"/>
        </w:rPr>
        <w:t>The medical profession very often plays a central role in the decision to sterilise as well as in the procedure itself. Indeed the question has been ‘medicali</w:t>
      </w:r>
      <w:r>
        <w:rPr>
          <w:rFonts w:cs="Open Sans"/>
          <w:sz w:val="22"/>
          <w:szCs w:val="22"/>
        </w:rPr>
        <w:t>z</w:t>
      </w:r>
      <w:r w:rsidRPr="00413CC7">
        <w:rPr>
          <w:rFonts w:cs="Open Sans"/>
          <w:sz w:val="22"/>
          <w:szCs w:val="22"/>
        </w:rPr>
        <w:t>ed’ to a great degree</w:t>
      </w:r>
      <w:r>
        <w:rPr>
          <w:rFonts w:cs="Open Sans"/>
          <w:sz w:val="22"/>
          <w:szCs w:val="22"/>
        </w:rPr>
        <w:t>.</w:t>
      </w:r>
      <w:r w:rsidRPr="00413CC7">
        <w:rPr>
          <w:rFonts w:cs="Open Sans"/>
          <w:sz w:val="22"/>
          <w:szCs w:val="22"/>
        </w:rPr>
        <w:t xml:space="preserve"> Two concerns emerge from this. It is hard to share the view of </w:t>
      </w:r>
      <w:r w:rsidRPr="00413CC7">
        <w:rPr>
          <w:rFonts w:cs="Open Sans"/>
          <w:sz w:val="22"/>
          <w:szCs w:val="22"/>
        </w:rPr>
        <w:lastRenderedPageBreak/>
        <w:t xml:space="preserve">Cook J in </w:t>
      </w:r>
      <w:r w:rsidRPr="142DBD8A">
        <w:rPr>
          <w:rFonts w:cs="Open Sans"/>
          <w:i/>
          <w:iCs/>
          <w:sz w:val="22"/>
          <w:szCs w:val="22"/>
        </w:rPr>
        <w:t>Re a Teenager</w:t>
      </w:r>
      <w:r w:rsidRPr="00413CC7">
        <w:rPr>
          <w:rFonts w:cs="Open Sans"/>
          <w:sz w:val="22"/>
          <w:szCs w:val="22"/>
        </w:rPr>
        <w:t xml:space="preserve"> that absolute faith in the integrity of all medical practitioners is warranted. We agree with Nicholson C</w:t>
      </w:r>
      <w:r>
        <w:rPr>
          <w:rFonts w:cs="Open Sans"/>
          <w:sz w:val="22"/>
          <w:szCs w:val="22"/>
        </w:rPr>
        <w:t>J</w:t>
      </w:r>
      <w:r w:rsidRPr="00413CC7">
        <w:rPr>
          <w:rFonts w:cs="Open Sans"/>
          <w:sz w:val="22"/>
          <w:szCs w:val="22"/>
        </w:rPr>
        <w:t xml:space="preserve"> in </w:t>
      </w:r>
      <w:r w:rsidRPr="142DBD8A">
        <w:rPr>
          <w:rFonts w:cs="Open Sans"/>
          <w:i/>
          <w:iCs/>
          <w:sz w:val="22"/>
          <w:szCs w:val="22"/>
        </w:rPr>
        <w:t>Re Jane</w:t>
      </w:r>
      <w:r w:rsidRPr="00413CC7">
        <w:rPr>
          <w:rFonts w:cs="Open Sans"/>
          <w:sz w:val="22"/>
          <w:szCs w:val="22"/>
        </w:rPr>
        <w:t xml:space="preserve"> that, as with all professions, there are those who act with impropriety as well as those who act bona fide but within a limited frame of reference. And the situation with which they are concerned is one in which incorrect assessments may be made</w:t>
      </w:r>
      <w:r>
        <w:rPr>
          <w:rFonts w:cs="Open Sans"/>
          <w:sz w:val="22"/>
          <w:szCs w:val="22"/>
        </w:rPr>
        <w:t>.</w:t>
      </w:r>
      <w:r w:rsidRPr="00435446">
        <w:rPr>
          <w:rStyle w:val="EndnoteReference"/>
          <w:rFonts w:cs="Open Sans"/>
          <w:szCs w:val="20"/>
        </w:rPr>
        <w:endnoteReference w:id="159"/>
      </w:r>
      <w:r w:rsidRPr="00413CC7">
        <w:rPr>
          <w:rFonts w:cs="Open Sans"/>
          <w:sz w:val="22"/>
          <w:szCs w:val="22"/>
        </w:rPr>
        <w:t xml:space="preserve"> </w:t>
      </w:r>
    </w:p>
    <w:p w:rsidR="005C4CC3" w:rsidP="005C4CC3" w:rsidRDefault="005C4CC3" w14:paraId="2F13924D" w14:textId="77777777">
      <w:pPr>
        <w:rPr>
          <w:rFonts w:cs="Open Sans"/>
          <w:sz w:val="22"/>
          <w:szCs w:val="22"/>
        </w:rPr>
      </w:pPr>
      <w:r>
        <w:rPr>
          <w:rFonts w:cs="Open Sans"/>
        </w:rPr>
        <w:t>The second factor they identified was that doctors had at the time of the decision come to assume a very significant role in decision making about sterilisations, despite the fact that the factors relevant to that decision were not purely medical. The same joint majority judgment said:</w:t>
      </w:r>
    </w:p>
    <w:p w:rsidRPr="00413CC7" w:rsidR="005C4CC3" w:rsidP="00B3330B" w:rsidRDefault="005C4CC3" w14:paraId="1CE0578F" w14:textId="77777777">
      <w:pPr>
        <w:ind w:left="851"/>
        <w:rPr>
          <w:rFonts w:cs="Open Sans"/>
          <w:sz w:val="22"/>
          <w:szCs w:val="22"/>
        </w:rPr>
      </w:pPr>
      <w:r w:rsidRPr="00413CC7">
        <w:rPr>
          <w:rFonts w:cs="Open Sans"/>
          <w:sz w:val="22"/>
          <w:szCs w:val="22"/>
        </w:rPr>
        <w:t>The second concern is that the decision to sterilise, at least where it is to be carried out for contraceptive purposes, and especially now when technology and expertise make the procedure relatively safe, is not merely a medical issue. This is also reflected in the concern raised in several of the cases reviewed, that the consequences of sterilisation are not merely biological but also social and psychological. The requirement of a court authorisation ensures a hearing from those experienced in different ways in the care of those with intellectual disability and from those with experience of the long term social and psychological effects of sterilisation.</w:t>
      </w:r>
      <w:r w:rsidRPr="00435446">
        <w:rPr>
          <w:rStyle w:val="EndnoteReference"/>
          <w:rFonts w:cs="Open Sans"/>
          <w:szCs w:val="20"/>
        </w:rPr>
        <w:endnoteReference w:id="160"/>
      </w:r>
    </w:p>
    <w:p w:rsidR="005C4CC3" w:rsidP="005C4CC3" w:rsidRDefault="005C4CC3" w14:paraId="658BDCA4" w14:textId="77777777">
      <w:pPr>
        <w:rPr>
          <w:rFonts w:cs="Open Sans"/>
        </w:rPr>
      </w:pPr>
      <w:r>
        <w:rPr>
          <w:rFonts w:cs="Open Sans"/>
        </w:rPr>
        <w:t>Further, the Court observed that the decision could lead to conflicts between the best interests of the child, and the interests of parents or other family members. The majority held:</w:t>
      </w:r>
    </w:p>
    <w:p w:rsidRPr="00413CC7" w:rsidR="005C4CC3" w:rsidP="005C4CC3" w:rsidRDefault="005C4CC3" w14:paraId="419C7BA9" w14:textId="77777777">
      <w:pPr>
        <w:ind w:left="720"/>
        <w:rPr>
          <w:rFonts w:cs="Open Sans"/>
          <w:sz w:val="22"/>
          <w:szCs w:val="22"/>
        </w:rPr>
      </w:pPr>
      <w:r w:rsidRPr="00413CC7">
        <w:rPr>
          <w:rFonts w:cs="Open Sans"/>
          <w:sz w:val="22"/>
          <w:szCs w:val="22"/>
          <w:lang w:val="en-US"/>
        </w:rPr>
        <w:t>Subject to the overriding criterion of the child</w:t>
      </w:r>
      <w:r>
        <w:rPr>
          <w:rFonts w:cs="Open Sans"/>
          <w:sz w:val="22"/>
          <w:szCs w:val="22"/>
          <w:lang w:val="en-US"/>
        </w:rPr>
        <w:t>’</w:t>
      </w:r>
      <w:r w:rsidRPr="00413CC7">
        <w:rPr>
          <w:rFonts w:cs="Open Sans"/>
          <w:sz w:val="22"/>
          <w:szCs w:val="22"/>
          <w:lang w:val="en-US"/>
        </w:rPr>
        <w:t>s welfare, the interests of other family members, particularly primary care-givers, are relevant to a court</w:t>
      </w:r>
      <w:r>
        <w:rPr>
          <w:rFonts w:cs="Open Sans"/>
          <w:sz w:val="22"/>
          <w:szCs w:val="22"/>
          <w:lang w:val="en-US"/>
        </w:rPr>
        <w:t>’</w:t>
      </w:r>
      <w:r w:rsidRPr="00413CC7">
        <w:rPr>
          <w:rFonts w:cs="Open Sans"/>
          <w:sz w:val="22"/>
          <w:szCs w:val="22"/>
          <w:lang w:val="en-US"/>
        </w:rPr>
        <w:t>s decision whether to authori</w:t>
      </w:r>
      <w:r>
        <w:rPr>
          <w:rFonts w:cs="Open Sans"/>
          <w:sz w:val="22"/>
          <w:szCs w:val="22"/>
          <w:lang w:val="en-US"/>
        </w:rPr>
        <w:t>s</w:t>
      </w:r>
      <w:r w:rsidRPr="00413CC7">
        <w:rPr>
          <w:rFonts w:cs="Open Sans"/>
          <w:sz w:val="22"/>
          <w:szCs w:val="22"/>
          <w:lang w:val="en-US"/>
        </w:rPr>
        <w:t>e sterili</w:t>
      </w:r>
      <w:r>
        <w:rPr>
          <w:rFonts w:cs="Open Sans"/>
          <w:sz w:val="22"/>
          <w:szCs w:val="22"/>
          <w:lang w:val="en-US"/>
        </w:rPr>
        <w:t>s</w:t>
      </w:r>
      <w:r w:rsidRPr="00413CC7">
        <w:rPr>
          <w:rFonts w:cs="Open Sans"/>
          <w:sz w:val="22"/>
          <w:szCs w:val="22"/>
          <w:lang w:val="en-US"/>
        </w:rPr>
        <w:t>ation. However, court involvement ensures, in the case of conflict, that the child</w:t>
      </w:r>
      <w:r>
        <w:rPr>
          <w:rFonts w:cs="Open Sans"/>
          <w:sz w:val="22"/>
          <w:szCs w:val="22"/>
          <w:lang w:val="en-US"/>
        </w:rPr>
        <w:t>’</w:t>
      </w:r>
      <w:r w:rsidRPr="00413CC7">
        <w:rPr>
          <w:rFonts w:cs="Open Sans"/>
          <w:sz w:val="22"/>
          <w:szCs w:val="22"/>
          <w:lang w:val="en-US"/>
        </w:rPr>
        <w:t>s interests prevail.</w:t>
      </w:r>
      <w:r w:rsidRPr="00D35051">
        <w:rPr>
          <w:rStyle w:val="EndnoteReference"/>
          <w:rFonts w:cs="Open Sans"/>
          <w:szCs w:val="20"/>
          <w:lang w:val="en-US"/>
        </w:rPr>
        <w:endnoteReference w:id="161"/>
      </w:r>
    </w:p>
    <w:p w:rsidR="005C4CC3" w:rsidP="005C4CC3" w:rsidRDefault="005C4CC3" w14:paraId="2B40D471" w14:textId="77777777">
      <w:pPr>
        <w:rPr>
          <w:rFonts w:cs="Open Sans"/>
        </w:rPr>
      </w:pPr>
      <w:r w:rsidRPr="142DBD8A">
        <w:rPr>
          <w:rFonts w:cs="Open Sans"/>
        </w:rPr>
        <w:t>The Court identified the following factors that meant that the consequences of making the wrong decision were particularly grave:</w:t>
      </w:r>
    </w:p>
    <w:p w:rsidRPr="0048232B" w:rsidR="005C4CC3" w:rsidP="005C4CC3" w:rsidRDefault="005C4CC3" w14:paraId="7122C8EA" w14:textId="77777777">
      <w:pPr>
        <w:ind w:left="720"/>
        <w:rPr>
          <w:rFonts w:cs="Open Sans"/>
          <w:sz w:val="22"/>
          <w:szCs w:val="22"/>
          <w:lang w:val="en-US"/>
        </w:rPr>
      </w:pPr>
      <w:r w:rsidRPr="142DBD8A">
        <w:rPr>
          <w:rFonts w:cs="Open Sans"/>
          <w:sz w:val="22"/>
          <w:szCs w:val="22"/>
          <w:lang w:val="en-US"/>
        </w:rPr>
        <w:t xml:space="preserve">The gravity of the consequences of wrongly authorizing a sterilization flows both from the resulting inability to reproduce and from the fact of being acted upon contrary to one’s wishes or best interests. The fact of violation is likely to have social and psychological implications concerning the person’s sense of identity, social place and self-esteem. As the Court said in </w:t>
      </w:r>
      <w:r w:rsidRPr="142DBD8A">
        <w:rPr>
          <w:rFonts w:cs="Open Sans"/>
          <w:i/>
          <w:iCs/>
          <w:sz w:val="22"/>
          <w:szCs w:val="22"/>
          <w:lang w:val="en-US"/>
        </w:rPr>
        <w:t>In re Grady</w:t>
      </w:r>
      <w:r w:rsidRPr="142DBD8A">
        <w:rPr>
          <w:rFonts w:cs="Open Sans"/>
          <w:sz w:val="22"/>
          <w:szCs w:val="22"/>
          <w:lang w:val="en-US"/>
        </w:rPr>
        <w:t>, a decision to sterilize involves serious questions of a person’s ‘social and biological identity’</w:t>
      </w:r>
      <w:r w:rsidRPr="142DBD8A">
        <w:rPr>
          <w:rFonts w:cs="Open Sans"/>
          <w:lang w:val="en-US"/>
        </w:rPr>
        <w:t xml:space="preserve"> </w:t>
      </w:r>
      <w:r w:rsidRPr="00375518">
        <w:rPr>
          <w:rFonts w:cs="Open Sans"/>
          <w:lang w:val="en-US"/>
        </w:rPr>
        <w:t>…</w:t>
      </w:r>
    </w:p>
    <w:p w:rsidRPr="00CE5958" w:rsidR="005C4CC3" w:rsidP="005C4CC3" w:rsidRDefault="005C4CC3" w14:paraId="5E82BF5A" w14:textId="77777777">
      <w:pPr>
        <w:ind w:left="720"/>
        <w:rPr>
          <w:rFonts w:cs="Open Sans"/>
          <w:sz w:val="22"/>
          <w:szCs w:val="22"/>
        </w:rPr>
      </w:pPr>
      <w:r w:rsidRPr="0048232B">
        <w:rPr>
          <w:rFonts w:cs="Open Sans"/>
          <w:sz w:val="22"/>
          <w:szCs w:val="22"/>
          <w:lang w:val="en-US"/>
        </w:rPr>
        <w:lastRenderedPageBreak/>
        <w:t xml:space="preserve">The far-reaching consequences of a general rule of law allowing guardians to consent to all kinds of medical treatment, as well as the consequences of a wrong decision in any particular case, are also relevant. As Nicholson CJ pointed out in </w:t>
      </w:r>
      <w:r w:rsidRPr="142DBD8A">
        <w:rPr>
          <w:rFonts w:cs="Open Sans"/>
          <w:i/>
          <w:iCs/>
          <w:sz w:val="22"/>
          <w:szCs w:val="22"/>
          <w:lang w:val="en-US"/>
        </w:rPr>
        <w:t xml:space="preserve">Re Jane </w:t>
      </w:r>
      <w:r>
        <w:rPr>
          <w:rFonts w:cs="Open Sans"/>
          <w:sz w:val="22"/>
          <w:szCs w:val="22"/>
          <w:lang w:val="en-US"/>
        </w:rPr>
        <w:t>…</w:t>
      </w:r>
      <w:r w:rsidRPr="0048232B">
        <w:rPr>
          <w:rFonts w:cs="Open Sans"/>
          <w:sz w:val="22"/>
          <w:szCs w:val="22"/>
          <w:lang w:val="en-US"/>
        </w:rPr>
        <w:t xml:space="preserve"> such a rule may be used to justify other procedures such as a clitoridectomy or the removal of a healthy organ for transplant to another child.</w:t>
      </w:r>
      <w:r>
        <w:rPr>
          <w:rStyle w:val="EndnoteReference"/>
          <w:rFonts w:cs="Open Sans"/>
          <w:sz w:val="22"/>
          <w:szCs w:val="22"/>
          <w:lang w:val="en-US"/>
        </w:rPr>
        <w:endnoteReference w:id="162"/>
      </w:r>
    </w:p>
    <w:p w:rsidR="005C4CC3" w:rsidP="005C4CC3" w:rsidRDefault="005C4CC3" w14:paraId="58F3D3C2" w14:textId="77777777">
      <w:pPr>
        <w:rPr>
          <w:rFonts w:cs="Open Sans"/>
        </w:rPr>
      </w:pPr>
      <w:r>
        <w:rPr>
          <w:rFonts w:cs="Open Sans"/>
        </w:rPr>
        <w:t xml:space="preserve">While the facts in </w:t>
      </w:r>
      <w:r>
        <w:rPr>
          <w:rFonts w:cs="Open Sans"/>
          <w:i/>
          <w:iCs/>
        </w:rPr>
        <w:t>Marion’s case</w:t>
      </w:r>
      <w:r>
        <w:rPr>
          <w:rFonts w:cs="Open Sans"/>
        </w:rPr>
        <w:t xml:space="preserve"> related to a procedure intended to cause the sterilisation of a child, the principles in the case have more general application. For example, these principles have been applied by the Family Court in decisions relating to the authorisation of medical interventions in the context of children with gender dysphoria.</w:t>
      </w:r>
      <w:r w:rsidRPr="00375518">
        <w:rPr>
          <w:rStyle w:val="EndnoteReference"/>
          <w:rFonts w:cs="Open Sans"/>
          <w:sz w:val="22"/>
          <w:szCs w:val="22"/>
        </w:rPr>
        <w:endnoteReference w:id="163"/>
      </w:r>
      <w:r w:rsidRPr="00375518">
        <w:rPr>
          <w:rFonts w:cs="Open Sans"/>
          <w:sz w:val="22"/>
          <w:szCs w:val="22"/>
        </w:rPr>
        <w:t xml:space="preserve"> </w:t>
      </w:r>
    </w:p>
    <w:p w:rsidR="005C4CC3" w:rsidP="005C4CC3" w:rsidRDefault="005C4CC3" w14:paraId="1D0FA12E" w14:textId="77777777">
      <w:r>
        <w:t xml:space="preserve">Following the </w:t>
      </w:r>
      <w:r w:rsidRPr="005E4636">
        <w:t xml:space="preserve">High Court’s decision in </w:t>
      </w:r>
      <w:r w:rsidRPr="142DBD8A">
        <w:rPr>
          <w:i/>
          <w:iCs/>
        </w:rPr>
        <w:t>Marion’s case</w:t>
      </w:r>
      <w:r w:rsidRPr="005E4636">
        <w:t>,</w:t>
      </w:r>
      <w:r w:rsidRPr="00375518">
        <w:rPr>
          <w:rStyle w:val="EndnoteReference"/>
          <w:rFonts w:cs="Open Sans"/>
          <w:szCs w:val="20"/>
        </w:rPr>
        <w:endnoteReference w:id="164"/>
      </w:r>
      <w:r w:rsidRPr="00375518">
        <w:rPr>
          <w:sz w:val="20"/>
          <w:szCs w:val="20"/>
        </w:rPr>
        <w:t xml:space="preserve"> </w:t>
      </w:r>
      <w:r>
        <w:t>s</w:t>
      </w:r>
      <w:r w:rsidRPr="005E4636">
        <w:t xml:space="preserve"> 67ZC was inserted into the </w:t>
      </w:r>
      <w:r w:rsidRPr="142DBD8A">
        <w:rPr>
          <w:i/>
          <w:iCs/>
        </w:rPr>
        <w:t>Family Law Act 1975</w:t>
      </w:r>
      <w:r w:rsidRPr="005E4636">
        <w:t xml:space="preserve"> (Cth)</w:t>
      </w:r>
      <w:r>
        <w:t>,</w:t>
      </w:r>
      <w:r w:rsidRPr="005E4636">
        <w:t xml:space="preserve"> </w:t>
      </w:r>
      <w:r>
        <w:t xml:space="preserve">conferring </w:t>
      </w:r>
      <w:r w:rsidRPr="005E4636">
        <w:t>on the Family Court a welfare power</w:t>
      </w:r>
      <w:r>
        <w:t>.</w:t>
      </w:r>
      <w:r w:rsidRPr="00375518">
        <w:rPr>
          <w:rStyle w:val="EndnoteReference"/>
          <w:rFonts w:cs="Open Sans"/>
          <w:szCs w:val="20"/>
        </w:rPr>
        <w:endnoteReference w:id="165"/>
      </w:r>
      <w:r w:rsidRPr="005E4636">
        <w:t xml:space="preserve"> </w:t>
      </w:r>
      <w:r>
        <w:t xml:space="preserve">That provision gives the Family Court jurisdiction to authorise special medical procedures. Applications under s 67ZC are regulated by </w:t>
      </w:r>
      <w:r w:rsidRPr="005E4636">
        <w:t xml:space="preserve">the </w:t>
      </w:r>
      <w:r w:rsidRPr="142DBD8A">
        <w:rPr>
          <w:i/>
          <w:iCs/>
        </w:rPr>
        <w:t>Family Law Rules 2004</w:t>
      </w:r>
      <w:r>
        <w:t xml:space="preserve"> (Cth), which require applicants to file evidence from expert witnesses about the following matters:</w:t>
      </w:r>
    </w:p>
    <w:p w:rsidRPr="006F0CE8" w:rsidR="005C4CC3" w:rsidP="005C4CC3" w:rsidRDefault="005C4CC3" w14:paraId="7BA7242B" w14:textId="77777777">
      <w:pPr>
        <w:spacing w:line="259" w:lineRule="auto"/>
        <w:ind w:firstLine="720"/>
        <w:rPr>
          <w:color w:val="333333"/>
        </w:rPr>
      </w:pPr>
      <w:r w:rsidRPr="142DBD8A">
        <w:rPr>
          <w:color w:val="333333"/>
          <w:sz w:val="22"/>
          <w:szCs w:val="22"/>
        </w:rPr>
        <w:t>(a)</w:t>
      </w:r>
      <w:r>
        <w:tab/>
      </w:r>
      <w:r w:rsidRPr="142DBD8A">
        <w:rPr>
          <w:color w:val="333333"/>
          <w:sz w:val="22"/>
          <w:szCs w:val="22"/>
        </w:rPr>
        <w:t>the exact nature and purpose of the proposed medical procedure;</w:t>
      </w:r>
    </w:p>
    <w:p w:rsidRPr="006F0CE8" w:rsidR="005C4CC3" w:rsidP="005C4CC3" w:rsidRDefault="005C4CC3" w14:paraId="56238A3E" w14:textId="77777777">
      <w:pPr>
        <w:rPr>
          <w:color w:val="333333"/>
          <w:sz w:val="22"/>
          <w:szCs w:val="22"/>
        </w:rPr>
      </w:pPr>
      <w:bookmarkStart w:name="paragraph" w:id="195"/>
      <w:r w:rsidRPr="142DBD8A">
        <w:rPr>
          <w:color w:val="333333"/>
          <w:sz w:val="22"/>
          <w:szCs w:val="22"/>
        </w:rPr>
        <w:t> </w:t>
      </w:r>
      <w:r>
        <w:tab/>
      </w:r>
      <w:r w:rsidRPr="142DBD8A">
        <w:rPr>
          <w:color w:val="333333"/>
          <w:sz w:val="22"/>
          <w:szCs w:val="22"/>
        </w:rPr>
        <w:t>(b)</w:t>
      </w:r>
      <w:r>
        <w:tab/>
      </w:r>
      <w:r w:rsidRPr="142DBD8A">
        <w:rPr>
          <w:color w:val="333333"/>
          <w:sz w:val="22"/>
          <w:szCs w:val="22"/>
        </w:rPr>
        <w:t>the particular condition of the child for which the procedure is required;</w:t>
      </w:r>
    </w:p>
    <w:p w:rsidRPr="006F0CE8" w:rsidR="005C4CC3" w:rsidP="005C4CC3" w:rsidRDefault="005C4CC3" w14:paraId="2C7B59D8" w14:textId="77777777">
      <w:pPr>
        <w:rPr>
          <w:color w:val="333333"/>
          <w:sz w:val="22"/>
          <w:szCs w:val="22"/>
        </w:rPr>
      </w:pPr>
      <w:r w:rsidRPr="142DBD8A">
        <w:rPr>
          <w:color w:val="333333"/>
          <w:sz w:val="22"/>
          <w:szCs w:val="22"/>
        </w:rPr>
        <w:t> </w:t>
      </w:r>
      <w:r>
        <w:tab/>
      </w:r>
      <w:r w:rsidRPr="142DBD8A">
        <w:rPr>
          <w:color w:val="333333"/>
          <w:sz w:val="22"/>
          <w:szCs w:val="22"/>
        </w:rPr>
        <w:t>(c)</w:t>
      </w:r>
      <w:r>
        <w:tab/>
      </w:r>
      <w:r w:rsidRPr="142DBD8A">
        <w:rPr>
          <w:color w:val="333333"/>
          <w:sz w:val="22"/>
          <w:szCs w:val="22"/>
        </w:rPr>
        <w:t>the likely long-term physical, social and psychological effects on the child:</w:t>
      </w:r>
    </w:p>
    <w:p w:rsidRPr="006F0CE8" w:rsidR="005C4CC3" w:rsidP="005C4CC3" w:rsidRDefault="005C4CC3" w14:paraId="13328DD6" w14:textId="77777777">
      <w:pPr>
        <w:rPr>
          <w:color w:val="333333"/>
          <w:sz w:val="22"/>
          <w:szCs w:val="22"/>
        </w:rPr>
      </w:pPr>
      <w:r w:rsidRPr="142DBD8A">
        <w:rPr>
          <w:color w:val="333333"/>
          <w:sz w:val="22"/>
          <w:szCs w:val="22"/>
        </w:rPr>
        <w:t> </w:t>
      </w:r>
      <w:r>
        <w:tab/>
      </w:r>
      <w:r>
        <w:tab/>
      </w:r>
      <w:r w:rsidRPr="142DBD8A">
        <w:rPr>
          <w:color w:val="333333"/>
          <w:sz w:val="22"/>
          <w:szCs w:val="22"/>
        </w:rPr>
        <w:t>(i)</w:t>
      </w:r>
      <w:r>
        <w:tab/>
      </w:r>
      <w:r w:rsidRPr="142DBD8A">
        <w:rPr>
          <w:color w:val="333333"/>
          <w:sz w:val="22"/>
          <w:szCs w:val="22"/>
        </w:rPr>
        <w:t>if the procedure is carried out; and</w:t>
      </w:r>
    </w:p>
    <w:p w:rsidRPr="006F0CE8" w:rsidR="005C4CC3" w:rsidP="005C4CC3" w:rsidRDefault="005C4CC3" w14:paraId="15780078" w14:textId="77777777">
      <w:pPr>
        <w:rPr>
          <w:color w:val="333333"/>
          <w:sz w:val="22"/>
          <w:szCs w:val="22"/>
        </w:rPr>
      </w:pPr>
      <w:r w:rsidRPr="142DBD8A">
        <w:rPr>
          <w:color w:val="333333"/>
          <w:sz w:val="22"/>
          <w:szCs w:val="22"/>
        </w:rPr>
        <w:t xml:space="preserve">         </w:t>
      </w:r>
      <w:r>
        <w:tab/>
      </w:r>
      <w:r>
        <w:tab/>
      </w:r>
      <w:r w:rsidRPr="142DBD8A">
        <w:rPr>
          <w:color w:val="333333"/>
          <w:sz w:val="22"/>
          <w:szCs w:val="22"/>
        </w:rPr>
        <w:t>(ii)</w:t>
      </w:r>
      <w:r>
        <w:tab/>
      </w:r>
      <w:r w:rsidRPr="142DBD8A">
        <w:rPr>
          <w:color w:val="333333"/>
          <w:sz w:val="22"/>
          <w:szCs w:val="22"/>
        </w:rPr>
        <w:t>if the procedure is not carried out;</w:t>
      </w:r>
    </w:p>
    <w:p w:rsidRPr="006F0CE8" w:rsidR="005C4CC3" w:rsidP="005C4CC3" w:rsidRDefault="005C4CC3" w14:paraId="37B6B823" w14:textId="77777777">
      <w:pPr>
        <w:rPr>
          <w:color w:val="333333"/>
          <w:sz w:val="22"/>
          <w:szCs w:val="22"/>
        </w:rPr>
      </w:pPr>
      <w:r w:rsidRPr="142DBD8A">
        <w:rPr>
          <w:color w:val="333333"/>
          <w:sz w:val="22"/>
          <w:szCs w:val="22"/>
        </w:rPr>
        <w:t> </w:t>
      </w:r>
      <w:r>
        <w:tab/>
      </w:r>
      <w:r w:rsidRPr="142DBD8A">
        <w:rPr>
          <w:color w:val="333333"/>
          <w:sz w:val="22"/>
          <w:szCs w:val="22"/>
        </w:rPr>
        <w:t>(d)</w:t>
      </w:r>
      <w:r>
        <w:tab/>
      </w:r>
      <w:r w:rsidRPr="142DBD8A">
        <w:rPr>
          <w:color w:val="333333"/>
          <w:sz w:val="22"/>
          <w:szCs w:val="22"/>
        </w:rPr>
        <w:t>the nature and degree of any risk to the child from the procedure;</w:t>
      </w:r>
    </w:p>
    <w:p w:rsidRPr="006F0CE8" w:rsidR="005C4CC3" w:rsidP="005C4CC3" w:rsidRDefault="005C4CC3" w14:paraId="77C2E78F" w14:textId="77777777">
      <w:pPr>
        <w:tabs>
          <w:tab w:val="left" w:pos="1418"/>
        </w:tabs>
        <w:spacing w:line="259" w:lineRule="auto"/>
        <w:ind w:left="1418" w:hanging="709"/>
        <w:rPr>
          <w:color w:val="333333"/>
        </w:rPr>
      </w:pPr>
      <w:r w:rsidRPr="142DBD8A">
        <w:rPr>
          <w:color w:val="333333"/>
          <w:sz w:val="22"/>
          <w:szCs w:val="22"/>
        </w:rPr>
        <w:t>(e)</w:t>
      </w:r>
      <w:r>
        <w:tab/>
      </w:r>
      <w:r w:rsidRPr="142DBD8A">
        <w:rPr>
          <w:color w:val="333333"/>
          <w:sz w:val="22"/>
          <w:szCs w:val="22"/>
        </w:rPr>
        <w:t>if alternative and less invasive treatment is available--the reason the procedure is recommended instead of the alternative treatments;</w:t>
      </w:r>
    </w:p>
    <w:p w:rsidRPr="006F0CE8" w:rsidR="005C4CC3" w:rsidP="005C4CC3" w:rsidRDefault="005C4CC3" w14:paraId="0B3A58C8" w14:textId="77777777">
      <w:pPr>
        <w:rPr>
          <w:color w:val="333333"/>
          <w:sz w:val="22"/>
          <w:szCs w:val="22"/>
        </w:rPr>
      </w:pPr>
      <w:r w:rsidRPr="142DBD8A">
        <w:rPr>
          <w:color w:val="333333"/>
          <w:sz w:val="22"/>
          <w:szCs w:val="22"/>
        </w:rPr>
        <w:t> </w:t>
      </w:r>
      <w:r>
        <w:tab/>
      </w:r>
      <w:r w:rsidRPr="142DBD8A">
        <w:rPr>
          <w:color w:val="333333"/>
          <w:sz w:val="22"/>
          <w:szCs w:val="22"/>
        </w:rPr>
        <w:t>(f)</w:t>
      </w:r>
      <w:r>
        <w:tab/>
      </w:r>
      <w:r w:rsidRPr="142DBD8A">
        <w:rPr>
          <w:color w:val="333333"/>
          <w:sz w:val="22"/>
          <w:szCs w:val="22"/>
        </w:rPr>
        <w:t>that the procedure is necessary for the welfare of the child;</w:t>
      </w:r>
    </w:p>
    <w:p w:rsidRPr="006F0CE8" w:rsidR="005C4CC3" w:rsidP="005C4CC3" w:rsidRDefault="005C4CC3" w14:paraId="586C9FA3" w14:textId="77777777">
      <w:pPr>
        <w:ind w:left="1418" w:hanging="709"/>
        <w:rPr>
          <w:color w:val="333333"/>
          <w:sz w:val="22"/>
          <w:szCs w:val="22"/>
        </w:rPr>
      </w:pPr>
      <w:r w:rsidRPr="142DBD8A">
        <w:rPr>
          <w:color w:val="333333"/>
          <w:sz w:val="22"/>
          <w:szCs w:val="22"/>
        </w:rPr>
        <w:lastRenderedPageBreak/>
        <w:t>(g)</w:t>
      </w:r>
      <w:r>
        <w:tab/>
      </w:r>
      <w:r w:rsidRPr="142DBD8A">
        <w:rPr>
          <w:color w:val="333333"/>
          <w:sz w:val="22"/>
          <w:szCs w:val="22"/>
        </w:rPr>
        <w:t>if the child is capable of making an informed decision about the procedure whether the child agrees to the procedure;</w:t>
      </w:r>
    </w:p>
    <w:p w:rsidRPr="006F0CE8" w:rsidR="005C4CC3" w:rsidP="005C4CC3" w:rsidRDefault="005C4CC3" w14:paraId="5A3505C8" w14:textId="77777777">
      <w:pPr>
        <w:ind w:left="1418" w:hanging="709"/>
        <w:rPr>
          <w:color w:val="333333"/>
          <w:sz w:val="22"/>
          <w:szCs w:val="22"/>
        </w:rPr>
      </w:pPr>
      <w:r w:rsidRPr="142DBD8A">
        <w:rPr>
          <w:color w:val="333333"/>
          <w:sz w:val="22"/>
          <w:szCs w:val="22"/>
        </w:rPr>
        <w:t>(h)</w:t>
      </w:r>
      <w:r>
        <w:tab/>
      </w:r>
      <w:r w:rsidRPr="142DBD8A">
        <w:rPr>
          <w:color w:val="333333"/>
          <w:sz w:val="22"/>
          <w:szCs w:val="22"/>
        </w:rPr>
        <w:t>if the child is incapable of making an informed decision about the procedure--that the child:</w:t>
      </w:r>
    </w:p>
    <w:p w:rsidRPr="006F0CE8" w:rsidR="005C4CC3" w:rsidP="005C4CC3" w:rsidRDefault="005C4CC3" w14:paraId="3F2BB421" w14:textId="77777777">
      <w:pPr>
        <w:spacing w:line="259" w:lineRule="auto"/>
        <w:rPr>
          <w:color w:val="333333"/>
        </w:rPr>
      </w:pPr>
      <w:r w:rsidRPr="142DBD8A">
        <w:rPr>
          <w:color w:val="333333"/>
          <w:sz w:val="22"/>
          <w:szCs w:val="22"/>
        </w:rPr>
        <w:t xml:space="preserve"> </w:t>
      </w:r>
      <w:r>
        <w:tab/>
      </w:r>
      <w:r>
        <w:tab/>
      </w:r>
      <w:r w:rsidRPr="142DBD8A">
        <w:rPr>
          <w:color w:val="333333"/>
          <w:sz w:val="22"/>
          <w:szCs w:val="22"/>
        </w:rPr>
        <w:t>(i) </w:t>
      </w:r>
      <w:r>
        <w:tab/>
      </w:r>
      <w:r w:rsidRPr="142DBD8A">
        <w:rPr>
          <w:color w:val="333333"/>
          <w:sz w:val="22"/>
          <w:szCs w:val="22"/>
        </w:rPr>
        <w:t>is currently incapable of making an informed decision; and</w:t>
      </w:r>
    </w:p>
    <w:p w:rsidRPr="006F0CE8" w:rsidR="005C4CC3" w:rsidP="004E134C" w:rsidRDefault="005C4CC3" w14:paraId="0AAA341A" w14:textId="41CFB5FB">
      <w:pPr>
        <w:spacing w:line="259" w:lineRule="auto"/>
        <w:ind w:left="1440" w:hanging="720"/>
        <w:rPr>
          <w:color w:val="333333"/>
          <w:sz w:val="22"/>
          <w:szCs w:val="22"/>
        </w:rPr>
      </w:pPr>
      <w:r w:rsidRPr="142DBD8A">
        <w:rPr>
          <w:color w:val="333333"/>
          <w:sz w:val="22"/>
          <w:szCs w:val="22"/>
        </w:rPr>
        <w:t xml:space="preserve"> </w:t>
      </w:r>
      <w:r>
        <w:tab/>
      </w:r>
      <w:r w:rsidRPr="142DBD8A">
        <w:rPr>
          <w:color w:val="333333"/>
          <w:sz w:val="22"/>
          <w:szCs w:val="22"/>
        </w:rPr>
        <w:t>(ii)</w:t>
      </w:r>
      <w:r>
        <w:tab/>
      </w:r>
      <w:r w:rsidRPr="142DBD8A">
        <w:rPr>
          <w:color w:val="333333"/>
          <w:sz w:val="22"/>
          <w:szCs w:val="22"/>
        </w:rPr>
        <w:t>is unlikely to develop sufficiently to be able to make an informed decision within the time in which the procedure should be carried out, or within the foreseeable future;</w:t>
      </w:r>
    </w:p>
    <w:p w:rsidRPr="006F0CE8" w:rsidR="005C4CC3" w:rsidP="005C4CC3" w:rsidRDefault="005C4CC3" w14:paraId="3E9D8251" w14:textId="77777777">
      <w:pPr>
        <w:rPr>
          <w:color w:val="333333"/>
          <w:sz w:val="22"/>
          <w:szCs w:val="22"/>
        </w:rPr>
      </w:pPr>
      <w:r w:rsidRPr="006F0CE8">
        <w:rPr>
          <w:color w:val="333333"/>
          <w:sz w:val="22"/>
          <w:szCs w:val="22"/>
        </w:rPr>
        <w:t> </w:t>
      </w:r>
      <w:r>
        <w:tab/>
      </w:r>
      <w:r w:rsidRPr="006F0CE8">
        <w:rPr>
          <w:color w:val="333333"/>
          <w:sz w:val="22"/>
          <w:szCs w:val="22"/>
        </w:rPr>
        <w:t>(i)</w:t>
      </w:r>
      <w:r>
        <w:tab/>
      </w:r>
      <w:r w:rsidRPr="006F0CE8">
        <w:rPr>
          <w:color w:val="333333"/>
          <w:sz w:val="22"/>
          <w:szCs w:val="22"/>
        </w:rPr>
        <w:t>whether the child's parents or carer agree to the procedure.</w:t>
      </w:r>
      <w:r w:rsidRPr="002A5A59">
        <w:rPr>
          <w:rStyle w:val="EndnoteReference"/>
          <w:rFonts w:cs="Open Sans"/>
          <w:szCs w:val="20"/>
        </w:rPr>
        <w:endnoteReference w:id="166"/>
      </w:r>
    </w:p>
    <w:p w:rsidR="005C4CC3" w:rsidP="005C4CC3" w:rsidRDefault="005C4CC3" w14:paraId="3B9D3218" w14:textId="77777777">
      <w:r>
        <w:t xml:space="preserve">The Family Court has heard a small number of applications under s 67ZC for the authorisation of medical procedures on people under 18 years of age born with variations in sex characteristics. </w:t>
      </w:r>
    </w:p>
    <w:bookmarkEnd w:id="195"/>
    <w:p w:rsidR="005C4CC3" w:rsidP="005C4CC3" w:rsidRDefault="005C4CC3" w14:paraId="1897A64D" w14:textId="77777777">
      <w:r>
        <w:t xml:space="preserve">Most of these applications have involved proposed gonadectomies, resulting in sterilisation. In some cases, the Court has held that the proposed procedures were special medical procedures requiring judicial authorisation. In other cases, the court has taken the opposite view. Some of these cases are discussed in more detail in </w:t>
      </w:r>
      <w:r w:rsidRPr="00700AF6">
        <w:t>Chapter 7 – Oversight of medical interventions</w:t>
      </w:r>
      <w:r>
        <w:t xml:space="preserve">. </w:t>
      </w:r>
    </w:p>
    <w:p w:rsidRPr="00547FD7" w:rsidR="005C4CC3" w:rsidP="00C1062C" w:rsidRDefault="005C4CC3" w14:paraId="0CD39AD0" w14:textId="77777777">
      <w:pPr>
        <w:pStyle w:val="AHRCHeading2"/>
      </w:pPr>
      <w:bookmarkStart w:name="_Toc80096977" w:id="196"/>
      <w:bookmarkStart w:name="_Toc85541414" w:id="197"/>
      <w:r>
        <w:t>Informed consent under international human rights law</w:t>
      </w:r>
      <w:bookmarkEnd w:id="196"/>
      <w:bookmarkEnd w:id="197"/>
    </w:p>
    <w:p w:rsidRPr="007735CA" w:rsidR="005C4CC3" w:rsidP="005C4CC3" w:rsidRDefault="005C4CC3" w14:paraId="2E10BCC1" w14:textId="77777777">
      <w:pPr>
        <w:rPr>
          <w:rFonts w:eastAsia="Times New Roman" w:cs="Open Sans"/>
        </w:rPr>
      </w:pPr>
      <w:r>
        <w:rPr>
          <w:rFonts w:cs="Open Sans"/>
        </w:rPr>
        <w:t>The UN Special Rapporteur on the r</w:t>
      </w:r>
      <w:r w:rsidRPr="003415D3">
        <w:rPr>
          <w:rFonts w:cs="Open Sans"/>
        </w:rPr>
        <w:t xml:space="preserve">ight </w:t>
      </w:r>
      <w:r>
        <w:rPr>
          <w:rFonts w:cs="Open Sans"/>
        </w:rPr>
        <w:t>o</w:t>
      </w:r>
      <w:r w:rsidRPr="003415D3">
        <w:rPr>
          <w:rFonts w:cs="Open Sans"/>
        </w:rPr>
        <w:t xml:space="preserve">f </w:t>
      </w:r>
      <w:r>
        <w:rPr>
          <w:rFonts w:cs="Open Sans"/>
        </w:rPr>
        <w:t>e</w:t>
      </w:r>
      <w:r w:rsidRPr="003415D3">
        <w:rPr>
          <w:rFonts w:cs="Open Sans"/>
        </w:rPr>
        <w:t xml:space="preserve">veryone </w:t>
      </w:r>
      <w:r>
        <w:rPr>
          <w:rFonts w:cs="Open Sans"/>
        </w:rPr>
        <w:t>t</w:t>
      </w:r>
      <w:r w:rsidRPr="003415D3">
        <w:rPr>
          <w:rFonts w:cs="Open Sans"/>
        </w:rPr>
        <w:t xml:space="preserve">o </w:t>
      </w:r>
      <w:r>
        <w:rPr>
          <w:rFonts w:cs="Open Sans"/>
        </w:rPr>
        <w:t>t</w:t>
      </w:r>
      <w:r w:rsidRPr="003415D3">
        <w:rPr>
          <w:rFonts w:cs="Open Sans"/>
        </w:rPr>
        <w:t xml:space="preserve">he </w:t>
      </w:r>
      <w:r>
        <w:rPr>
          <w:rFonts w:cs="Open Sans"/>
        </w:rPr>
        <w:t>e</w:t>
      </w:r>
      <w:r w:rsidRPr="003415D3">
        <w:rPr>
          <w:rFonts w:cs="Open Sans"/>
        </w:rPr>
        <w:t xml:space="preserve">njoyment </w:t>
      </w:r>
      <w:r>
        <w:rPr>
          <w:rFonts w:cs="Open Sans"/>
        </w:rPr>
        <w:t>o</w:t>
      </w:r>
      <w:r w:rsidRPr="003415D3">
        <w:rPr>
          <w:rFonts w:cs="Open Sans"/>
        </w:rPr>
        <w:t xml:space="preserve">f </w:t>
      </w:r>
      <w:r>
        <w:rPr>
          <w:rFonts w:cs="Open Sans"/>
        </w:rPr>
        <w:t>t</w:t>
      </w:r>
      <w:r w:rsidRPr="003415D3">
        <w:rPr>
          <w:rFonts w:cs="Open Sans"/>
        </w:rPr>
        <w:t xml:space="preserve">he </w:t>
      </w:r>
      <w:r>
        <w:rPr>
          <w:rFonts w:cs="Open Sans"/>
        </w:rPr>
        <w:t>h</w:t>
      </w:r>
      <w:r w:rsidRPr="003415D3">
        <w:rPr>
          <w:rFonts w:cs="Open Sans"/>
        </w:rPr>
        <w:t xml:space="preserve">ighest </w:t>
      </w:r>
      <w:r>
        <w:rPr>
          <w:rFonts w:cs="Open Sans"/>
        </w:rPr>
        <w:t>a</w:t>
      </w:r>
      <w:r w:rsidRPr="003415D3">
        <w:rPr>
          <w:rFonts w:cs="Open Sans"/>
        </w:rPr>
        <w:t>ttainable</w:t>
      </w:r>
      <w:r>
        <w:rPr>
          <w:rFonts w:cs="Open Sans"/>
        </w:rPr>
        <w:t xml:space="preserve"> s</w:t>
      </w:r>
      <w:r w:rsidRPr="003415D3">
        <w:rPr>
          <w:rFonts w:cs="Open Sans"/>
        </w:rPr>
        <w:t xml:space="preserve">tandard </w:t>
      </w:r>
      <w:r>
        <w:rPr>
          <w:rFonts w:cs="Open Sans"/>
        </w:rPr>
        <w:t>o</w:t>
      </w:r>
      <w:r w:rsidRPr="003415D3">
        <w:rPr>
          <w:rFonts w:cs="Open Sans"/>
        </w:rPr>
        <w:t xml:space="preserve">f </w:t>
      </w:r>
      <w:r>
        <w:rPr>
          <w:rFonts w:cs="Open Sans"/>
        </w:rPr>
        <w:t>p</w:t>
      </w:r>
      <w:r w:rsidRPr="003415D3">
        <w:rPr>
          <w:rFonts w:cs="Open Sans"/>
        </w:rPr>
        <w:t xml:space="preserve">hysical </w:t>
      </w:r>
      <w:r>
        <w:rPr>
          <w:rFonts w:cs="Open Sans"/>
        </w:rPr>
        <w:t>a</w:t>
      </w:r>
      <w:r w:rsidRPr="003415D3">
        <w:rPr>
          <w:rFonts w:cs="Open Sans"/>
        </w:rPr>
        <w:t xml:space="preserve">nd </w:t>
      </w:r>
      <w:r>
        <w:rPr>
          <w:rFonts w:cs="Open Sans"/>
        </w:rPr>
        <w:t>m</w:t>
      </w:r>
      <w:r w:rsidRPr="003415D3">
        <w:rPr>
          <w:rFonts w:cs="Open Sans"/>
        </w:rPr>
        <w:t xml:space="preserve">ental </w:t>
      </w:r>
      <w:r>
        <w:rPr>
          <w:rFonts w:cs="Open Sans"/>
        </w:rPr>
        <w:t>h</w:t>
      </w:r>
      <w:r w:rsidRPr="003415D3">
        <w:rPr>
          <w:rFonts w:cs="Open Sans"/>
        </w:rPr>
        <w:t>ealth</w:t>
      </w:r>
      <w:r>
        <w:rPr>
          <w:rFonts w:cs="Open Sans"/>
        </w:rPr>
        <w:t xml:space="preserve"> has observed that informed consent </w:t>
      </w:r>
      <w:r w:rsidRPr="00B668A5">
        <w:rPr>
          <w:rFonts w:cs="Open Sans"/>
          <w:i/>
          <w:iCs/>
        </w:rPr>
        <w:t>‘</w:t>
      </w:r>
      <w:r w:rsidRPr="00FA0C5F">
        <w:rPr>
          <w:rFonts w:eastAsia="Times New Roman" w:cs="Open Sans"/>
        </w:rPr>
        <w:t>requires disclosure of the associated benefits, risks and alternatives to a medical procedure</w:t>
      </w:r>
      <w:r w:rsidRPr="00B668A5">
        <w:rPr>
          <w:rFonts w:eastAsia="Times New Roman" w:cs="Open Sans"/>
          <w:i/>
          <w:iCs/>
        </w:rPr>
        <w:t>’</w:t>
      </w:r>
      <w:r>
        <w:rPr>
          <w:rFonts w:eastAsia="Times New Roman" w:cs="Open Sans"/>
        </w:rPr>
        <w:t>.</w:t>
      </w:r>
      <w:r w:rsidRPr="00700AF6">
        <w:rPr>
          <w:rStyle w:val="EndnoteReference"/>
          <w:rFonts w:eastAsia="Times New Roman" w:cs="Open Sans"/>
          <w:szCs w:val="20"/>
        </w:rPr>
        <w:endnoteReference w:id="167"/>
      </w:r>
    </w:p>
    <w:p w:rsidR="005C4CC3" w:rsidP="005C4CC3" w:rsidRDefault="005C4CC3" w14:paraId="5326066A" w14:textId="77777777">
      <w:pPr>
        <w:rPr>
          <w:rFonts w:eastAsia="Times New Roman" w:cs="Open Sans"/>
        </w:rPr>
      </w:pPr>
      <w:r>
        <w:rPr>
          <w:rFonts w:eastAsia="Times New Roman" w:cs="Open Sans"/>
        </w:rPr>
        <w:t>The Special Rapporteur went on to state that, due to inherent inequalities between healthcare providers and individuals, there is a need for</w:t>
      </w:r>
    </w:p>
    <w:p w:rsidRPr="002859D2" w:rsidR="005C4CC3" w:rsidP="005C4CC3" w:rsidRDefault="005C4CC3" w14:paraId="74D0E33A" w14:textId="77777777">
      <w:pPr>
        <w:autoSpaceDE w:val="0"/>
        <w:autoSpaceDN w:val="0"/>
        <w:adjustRightInd w:val="0"/>
        <w:ind w:left="720"/>
        <w:rPr>
          <w:rFonts w:eastAsia="Times New Roman" w:cs="Open Sans"/>
        </w:rPr>
      </w:pPr>
      <w:r w:rsidRPr="00616DBE">
        <w:rPr>
          <w:rFonts w:cs="Open Sans"/>
          <w:sz w:val="22"/>
          <w:szCs w:val="22"/>
        </w:rPr>
        <w:t xml:space="preserve">counselling services and community involvement supporting adequate comprehension and decision-making. Health information needs to be of the highest quality, freely available on a non-discriminatory basis, accessible to the individual’s particular communication needs (including special physical or cultural circumstances), and presented in a manner culturally and otherwise acceptable to the person consenting. Communication should be cognizant of varying levels </w:t>
      </w:r>
      <w:r w:rsidRPr="00616DBE">
        <w:rPr>
          <w:rFonts w:cs="Open Sans"/>
          <w:sz w:val="22"/>
          <w:szCs w:val="22"/>
        </w:rPr>
        <w:lastRenderedPageBreak/>
        <w:t>of comprehension and not be too technical, complex, hasty, or in a language, manner or context that the patient does not understand.</w:t>
      </w:r>
      <w:r w:rsidRPr="00EA204E">
        <w:rPr>
          <w:rStyle w:val="EndnoteReference"/>
          <w:rFonts w:cs="Open Sans"/>
          <w:szCs w:val="20"/>
        </w:rPr>
        <w:endnoteReference w:id="168"/>
      </w:r>
    </w:p>
    <w:p w:rsidR="005C4CC3" w:rsidP="005C4CC3" w:rsidRDefault="005C4CC3" w14:paraId="0CAA164B" w14:textId="77777777">
      <w:pPr>
        <w:rPr>
          <w:rFonts w:eastAsia="Times New Roman" w:cs="Open Sans"/>
        </w:rPr>
      </w:pPr>
      <w:r>
        <w:rPr>
          <w:rFonts w:eastAsia="Times New Roman" w:cs="Open Sans"/>
        </w:rPr>
        <w:t xml:space="preserve">This makes clear that informed consent is predicated on the provision of all relevant information, in a manner that it is understandable to </w:t>
      </w:r>
      <w:r w:rsidRPr="29BC6FA5">
        <w:rPr>
          <w:rFonts w:eastAsia="Times New Roman" w:cs="Open Sans"/>
        </w:rPr>
        <w:t>the</w:t>
      </w:r>
      <w:r>
        <w:rPr>
          <w:rFonts w:eastAsia="Times New Roman" w:cs="Open Sans"/>
        </w:rPr>
        <w:t xml:space="preserve"> affected person. </w:t>
      </w:r>
      <w:r w:rsidRPr="29BC6FA5">
        <w:rPr>
          <w:rFonts w:eastAsia="Times New Roman" w:cs="Open Sans"/>
        </w:rPr>
        <w:t xml:space="preserve">Avoiding </w:t>
      </w:r>
      <w:r w:rsidRPr="00F55CF0">
        <w:rPr>
          <w:rFonts w:eastAsia="Times New Roman" w:cs="Open Sans"/>
        </w:rPr>
        <w:t>technical, complex</w:t>
      </w:r>
      <w:r>
        <w:rPr>
          <w:rFonts w:eastAsia="Times New Roman" w:cs="Open Sans"/>
        </w:rPr>
        <w:t xml:space="preserve"> language with the affected individual and/or their </w:t>
      </w:r>
      <w:r w:rsidRPr="29BC6FA5">
        <w:rPr>
          <w:rFonts w:eastAsia="Times New Roman" w:cs="Open Sans"/>
        </w:rPr>
        <w:t xml:space="preserve">legal guardian </w:t>
      </w:r>
      <w:r>
        <w:rPr>
          <w:rFonts w:eastAsia="Times New Roman" w:cs="Open Sans"/>
        </w:rPr>
        <w:t>is crucial. It is important also to provide sufficient time for the individual to participate effectively in the decision-making process.</w:t>
      </w:r>
    </w:p>
    <w:p w:rsidR="005C4CC3" w:rsidP="005C4CC3" w:rsidRDefault="005C4CC3" w14:paraId="7425F636" w14:textId="77777777">
      <w:pPr>
        <w:pStyle w:val="Heading3"/>
      </w:pPr>
      <w:bookmarkStart w:name="_Toc80096978" w:id="198"/>
      <w:bookmarkStart w:name="_Toc85541415" w:id="199"/>
      <w:r>
        <w:t>Children’s right to participate in decision making</w:t>
      </w:r>
      <w:bookmarkEnd w:id="198"/>
      <w:bookmarkEnd w:id="199"/>
      <w:r>
        <w:t xml:space="preserve"> </w:t>
      </w:r>
    </w:p>
    <w:p w:rsidR="005C4CC3" w:rsidP="005C4CC3" w:rsidRDefault="005C4CC3" w14:paraId="6F6373F2" w14:textId="77777777">
      <w:pPr>
        <w:rPr>
          <w:rFonts w:eastAsia="Times New Roman" w:cs="Open Sans"/>
        </w:rPr>
      </w:pPr>
      <w:r>
        <w:rPr>
          <w:rFonts w:eastAsia="Times New Roman" w:cs="Open Sans"/>
        </w:rPr>
        <w:t>Article 24 of the CRC requires S</w:t>
      </w:r>
      <w:r w:rsidRPr="001F1031">
        <w:rPr>
          <w:rFonts w:eastAsia="Times New Roman" w:cs="Open Sans"/>
        </w:rPr>
        <w:t>tates</w:t>
      </w:r>
      <w:r>
        <w:rPr>
          <w:rFonts w:eastAsia="Times New Roman" w:cs="Open Sans"/>
        </w:rPr>
        <w:t xml:space="preserve"> Parties to recognise</w:t>
      </w:r>
    </w:p>
    <w:p w:rsidR="005C4CC3" w:rsidP="005C4CC3" w:rsidRDefault="005C4CC3" w14:paraId="5563EE58" w14:textId="77777777">
      <w:pPr>
        <w:ind w:left="720"/>
        <w:rPr>
          <w:rFonts w:eastAsia="Times New Roman" w:cs="Open Sans"/>
          <w:sz w:val="22"/>
          <w:szCs w:val="22"/>
        </w:rPr>
      </w:pPr>
      <w:r w:rsidRPr="001B6FF2">
        <w:rPr>
          <w:rFonts w:eastAsia="Times New Roman" w:cs="Open Sans"/>
          <w:sz w:val="22"/>
          <w:szCs w:val="22"/>
        </w:rPr>
        <w:t>the right of the child to the enjoyment of the highest attainable standard of health and to facilities for the treatment of illness and rehabilitation of health. States Parties shall strive to ensure that no child is deprived of his or her right of access to such health care services</w:t>
      </w:r>
      <w:r>
        <w:rPr>
          <w:rFonts w:eastAsia="Times New Roman" w:cs="Open Sans"/>
          <w:sz w:val="22"/>
          <w:szCs w:val="22"/>
        </w:rPr>
        <w:t>.</w:t>
      </w:r>
      <w:r w:rsidRPr="00E155D1">
        <w:rPr>
          <w:rStyle w:val="EndnoteReference"/>
          <w:rFonts w:eastAsia="Times New Roman" w:cs="Open Sans"/>
          <w:szCs w:val="20"/>
        </w:rPr>
        <w:endnoteReference w:id="169"/>
      </w:r>
    </w:p>
    <w:p w:rsidRPr="00EF189B" w:rsidR="005C4CC3" w:rsidP="005C4CC3" w:rsidRDefault="005C4CC3" w14:paraId="75BB814E" w14:textId="77777777">
      <w:pPr>
        <w:rPr>
          <w:rFonts w:eastAsia="Times New Roman" w:cs="Open Sans"/>
        </w:rPr>
      </w:pPr>
      <w:r w:rsidRPr="29BC6FA5">
        <w:rPr>
          <w:rFonts w:eastAsia="Times New Roman" w:cs="Open Sans"/>
        </w:rPr>
        <w:t>Article 12 also requires States Parties to</w:t>
      </w:r>
    </w:p>
    <w:p w:rsidRPr="00EF189B" w:rsidR="005C4CC3" w:rsidP="005C4CC3" w:rsidRDefault="005C4CC3" w14:paraId="355C7749" w14:textId="77777777">
      <w:pPr>
        <w:ind w:left="720"/>
        <w:rPr>
          <w:rFonts w:eastAsia="Times New Roman" w:cs="Open Sans"/>
          <w:sz w:val="22"/>
          <w:szCs w:val="22"/>
        </w:rPr>
      </w:pPr>
      <w:r w:rsidRPr="00582044">
        <w:rPr>
          <w:rFonts w:eastAsia="Times New Roman" w:cs="Open Sans"/>
          <w:sz w:val="22"/>
          <w:szCs w:val="22"/>
        </w:rPr>
        <w:t>assure to the child who is capable of forming his or her own views the right to express those views freely in all matters affecting the child, the views of the child being given due weight in accordance with the age and maturity of the child.</w:t>
      </w:r>
    </w:p>
    <w:p w:rsidR="005C4CC3" w:rsidP="005C4CC3" w:rsidRDefault="005C4CC3" w14:paraId="3758FF5D" w14:textId="77777777">
      <w:pPr>
        <w:rPr>
          <w:rFonts w:eastAsia="Times New Roman" w:cs="Open Sans"/>
        </w:rPr>
      </w:pPr>
      <w:r>
        <w:rPr>
          <w:rFonts w:eastAsia="Times New Roman" w:cs="Open Sans"/>
        </w:rPr>
        <w:t>In discussing the right generally to the highest attainable standard of health, the Special Rapporteur stated that ‘certain groups deserve special consideration regarding protection of informed consent as a result of vulnerabilities stemming from economic, social and economic circumstances’.</w:t>
      </w:r>
      <w:r w:rsidRPr="00E155D1">
        <w:rPr>
          <w:rStyle w:val="EndnoteReference"/>
          <w:rFonts w:eastAsia="Times New Roman" w:cs="Open Sans"/>
          <w:szCs w:val="20"/>
        </w:rPr>
        <w:endnoteReference w:id="170"/>
      </w:r>
    </w:p>
    <w:p w:rsidR="005C4CC3" w:rsidP="005C4CC3" w:rsidRDefault="005C4CC3" w14:paraId="6C497670" w14:textId="77777777">
      <w:pPr>
        <w:rPr>
          <w:rFonts w:eastAsia="Times New Roman" w:cs="Open Sans"/>
        </w:rPr>
      </w:pPr>
      <w:r>
        <w:rPr>
          <w:rFonts w:eastAsia="Times New Roman" w:cs="Open Sans"/>
        </w:rPr>
        <w:t>In respect of children, the Special Rapporteur noted that the CRC</w:t>
      </w:r>
    </w:p>
    <w:p w:rsidRPr="003F6C55" w:rsidR="005C4CC3" w:rsidP="005C4CC3" w:rsidRDefault="005C4CC3" w14:paraId="595196DB" w14:textId="77777777">
      <w:pPr>
        <w:ind w:left="720"/>
        <w:rPr>
          <w:rFonts w:eastAsia="Times New Roman" w:cs="Open Sans"/>
          <w:sz w:val="22"/>
          <w:szCs w:val="22"/>
        </w:rPr>
      </w:pPr>
      <w:r>
        <w:rPr>
          <w:rFonts w:eastAsia="Times New Roman" w:cs="Open Sans"/>
          <w:sz w:val="22"/>
          <w:szCs w:val="22"/>
        </w:rPr>
        <w:t xml:space="preserve">demands </w:t>
      </w:r>
      <w:r w:rsidRPr="003F6C55">
        <w:rPr>
          <w:rFonts w:eastAsia="Times New Roman" w:cs="Open Sans"/>
          <w:sz w:val="22"/>
          <w:szCs w:val="22"/>
        </w:rPr>
        <w:t>respect for the child’s evolving capacities and due weight to be given to the child’s views according to age and maturity. Risks and benefits of medical interventions must be adequately conveyed to the child, and, given sufficient maturity, the child’s informed consent should be sought.</w:t>
      </w:r>
      <w:r w:rsidRPr="00E155D1">
        <w:rPr>
          <w:rStyle w:val="EndnoteReference"/>
          <w:rFonts w:eastAsia="Times New Roman" w:cs="Open Sans"/>
          <w:szCs w:val="20"/>
        </w:rPr>
        <w:endnoteReference w:id="171"/>
      </w:r>
    </w:p>
    <w:p w:rsidR="005C4CC3" w:rsidP="005C4CC3" w:rsidRDefault="005C4CC3" w14:paraId="2A152641" w14:textId="77777777">
      <w:pPr>
        <w:rPr>
          <w:rFonts w:eastAsia="Times New Roman" w:cs="Open Sans"/>
        </w:rPr>
      </w:pPr>
      <w:r>
        <w:rPr>
          <w:rFonts w:eastAsia="Times New Roman" w:cs="Open Sans"/>
        </w:rPr>
        <w:lastRenderedPageBreak/>
        <w:t>Children need additional support in relation to medical decision making that concerns them. As a result, the UN Committee on the Rights of the Child has</w:t>
      </w:r>
      <w:r w:rsidRPr="002D762E">
        <w:rPr>
          <w:rFonts w:eastAsia="Times New Roman" w:cs="Open Sans"/>
        </w:rPr>
        <w:t xml:space="preserve"> </w:t>
      </w:r>
      <w:r>
        <w:rPr>
          <w:rFonts w:eastAsia="Times New Roman" w:cs="Open Sans"/>
        </w:rPr>
        <w:t>stated:</w:t>
      </w:r>
    </w:p>
    <w:p w:rsidRPr="009F5283" w:rsidR="005C4CC3" w:rsidP="005C4CC3" w:rsidRDefault="005C4CC3" w14:paraId="08694529" w14:textId="77777777">
      <w:pPr>
        <w:ind w:left="720"/>
        <w:rPr>
          <w:rFonts w:eastAsia="Times New Roman" w:cs="Open Sans"/>
          <w:sz w:val="22"/>
          <w:szCs w:val="22"/>
        </w:rPr>
      </w:pPr>
      <w:r w:rsidRPr="009F5283">
        <w:rPr>
          <w:rFonts w:eastAsia="Times New Roman" w:cs="Open Sans"/>
          <w:sz w:val="22"/>
          <w:szCs w:val="22"/>
        </w:rPr>
        <w:t>States Parties need to introduce legislation or regulations to ensure that children have access to confidential medical counselling and advice without parental consent, irrespective of the child’s age, where this is needed for the child’s safety or well-being</w:t>
      </w:r>
      <w:r>
        <w:rPr>
          <w:rFonts w:eastAsia="Times New Roman" w:cs="Open Sans"/>
          <w:sz w:val="22"/>
          <w:szCs w:val="22"/>
        </w:rPr>
        <w:t xml:space="preserve"> </w:t>
      </w:r>
      <w:r w:rsidRPr="009F5283">
        <w:rPr>
          <w:rFonts w:eastAsia="Times New Roman" w:cs="Open Sans"/>
          <w:sz w:val="22"/>
          <w:szCs w:val="22"/>
        </w:rPr>
        <w:t>...</w:t>
      </w:r>
      <w:r>
        <w:rPr>
          <w:rFonts w:eastAsia="Times New Roman" w:cs="Open Sans"/>
          <w:sz w:val="22"/>
          <w:szCs w:val="22"/>
        </w:rPr>
        <w:t xml:space="preserve"> </w:t>
      </w:r>
      <w:r w:rsidRPr="009F5283">
        <w:rPr>
          <w:rFonts w:eastAsia="Times New Roman" w:cs="Open Sans"/>
          <w:sz w:val="22"/>
          <w:szCs w:val="22"/>
        </w:rPr>
        <w:t>The right to counselling and advice is distinct from the right to give medical consent and should not be subject to any age limit.</w:t>
      </w:r>
      <w:r w:rsidRPr="00E155D1">
        <w:rPr>
          <w:rStyle w:val="EndnoteReference"/>
          <w:rFonts w:eastAsia="Times New Roman" w:cs="Open Sans"/>
          <w:szCs w:val="20"/>
        </w:rPr>
        <w:endnoteReference w:id="172"/>
      </w:r>
    </w:p>
    <w:p w:rsidR="005C4CC3" w:rsidP="00C1062C" w:rsidRDefault="005C4CC3" w14:paraId="498EFC8D" w14:textId="77777777">
      <w:pPr>
        <w:pStyle w:val="AHRCHeading2"/>
      </w:pPr>
      <w:bookmarkStart w:name="_Toc80096979" w:id="200"/>
      <w:bookmarkStart w:name="_Toc85541416" w:id="201"/>
      <w:r>
        <w:t>Clinical guidance on informed consent for people born with variations in sex characteristics</w:t>
      </w:r>
      <w:bookmarkEnd w:id="200"/>
      <w:bookmarkEnd w:id="201"/>
    </w:p>
    <w:p w:rsidR="005C4CC3" w:rsidP="005C4CC3" w:rsidRDefault="005C4CC3" w14:paraId="0D7B9214" w14:textId="77777777">
      <w:pPr>
        <w:pStyle w:val="ListParagraph"/>
        <w:ind w:left="0"/>
      </w:pPr>
      <w:r>
        <w:t xml:space="preserve">The current framework for consent includes guidelines and protocols developed by clinical professional bodies and government health agencies. The Commission’s research and consultation revealed only limited high-level guidance applicable to consent in relation to medical interventions for people born with variations in sex characteristics. </w:t>
      </w:r>
    </w:p>
    <w:p w:rsidRPr="00C75119" w:rsidR="005C4CC3" w:rsidP="005C4CC3" w:rsidRDefault="005C4CC3" w14:paraId="589FCF79" w14:textId="77777777">
      <w:pPr>
        <w:pStyle w:val="ListParagraph"/>
        <w:ind w:left="0"/>
      </w:pPr>
      <w:bookmarkStart w:name="_Toc55576978" w:id="202"/>
      <w:bookmarkStart w:name="_Toc55680009" w:id="203"/>
      <w:bookmarkStart w:name="_Toc55680092" w:id="204"/>
      <w:bookmarkStart w:name="_Toc55680333" w:id="205"/>
      <w:bookmarkStart w:name="_Toc55849872" w:id="206"/>
      <w:bookmarkStart w:name="_Toc56172626" w:id="207"/>
      <w:bookmarkStart w:name="_Toc56172711" w:id="208"/>
      <w:bookmarkEnd w:id="202"/>
      <w:bookmarkEnd w:id="203"/>
      <w:bookmarkEnd w:id="204"/>
      <w:bookmarkEnd w:id="205"/>
      <w:bookmarkEnd w:id="206"/>
      <w:bookmarkEnd w:id="207"/>
      <w:bookmarkEnd w:id="208"/>
      <w:r>
        <w:t>Clinical bodies identified a number of documents that provide some level of guidance on the issue of consent. These documents are the 2006 Consensus Statement,</w:t>
      </w:r>
      <w:r w:rsidRPr="002D5EED">
        <w:rPr>
          <w:rStyle w:val="EndnoteReference"/>
          <w:szCs w:val="20"/>
        </w:rPr>
        <w:endnoteReference w:id="173"/>
      </w:r>
      <w:r>
        <w:t xml:space="preserve"> the 2016 Consensus Statement Update,</w:t>
      </w:r>
      <w:r w:rsidRPr="002D5EED">
        <w:rPr>
          <w:rStyle w:val="EndnoteReference"/>
          <w:szCs w:val="20"/>
        </w:rPr>
        <w:endnoteReference w:id="174"/>
      </w:r>
      <w:r>
        <w:t xml:space="preserve"> and the 2013 Victorian Decision-Making Principles.</w:t>
      </w:r>
      <w:r w:rsidRPr="002D5EED">
        <w:rPr>
          <w:rStyle w:val="EndnoteReference"/>
          <w:szCs w:val="20"/>
        </w:rPr>
        <w:endnoteReference w:id="175"/>
      </w:r>
      <w:r>
        <w:t xml:space="preserve"> </w:t>
      </w:r>
    </w:p>
    <w:p w:rsidR="005C4CC3" w:rsidP="005C4CC3" w:rsidRDefault="005C4CC3" w14:paraId="05E7365E" w14:textId="77777777">
      <w:pPr>
        <w:pStyle w:val="ListParagraph"/>
        <w:ind w:left="0"/>
        <w:rPr>
          <w:lang w:val="en-US"/>
        </w:rPr>
      </w:pPr>
      <w:r>
        <w:rPr>
          <w:lang w:val="en-US"/>
        </w:rPr>
        <w:t>One clinical body observed that the 2016 Consensus Statement Update</w:t>
      </w:r>
    </w:p>
    <w:p w:rsidR="005C4CC3" w:rsidP="005C4CC3" w:rsidRDefault="005C4CC3" w14:paraId="121D6CB9" w14:textId="77777777">
      <w:pPr>
        <w:pStyle w:val="ListParagraph"/>
        <w:rPr>
          <w:sz w:val="22"/>
          <w:szCs w:val="22"/>
          <w:lang w:val="en-US"/>
        </w:rPr>
      </w:pPr>
      <w:r w:rsidRPr="006C015C">
        <w:rPr>
          <w:sz w:val="22"/>
          <w:szCs w:val="22"/>
          <w:lang w:val="en-US"/>
        </w:rPr>
        <w:t>suggest</w:t>
      </w:r>
      <w:r>
        <w:rPr>
          <w:sz w:val="22"/>
          <w:szCs w:val="22"/>
          <w:lang w:val="en-US"/>
        </w:rPr>
        <w:t>[s]</w:t>
      </w:r>
      <w:r w:rsidRPr="006C015C">
        <w:rPr>
          <w:sz w:val="22"/>
          <w:szCs w:val="22"/>
          <w:lang w:val="en-US"/>
        </w:rPr>
        <w:t xml:space="preserve"> that informed consent is achieved through shared decision making, involving education, sharing of risks/benefits, articulating uncertainties in the care and outcomes of people born with variations in sex characteristics, and providing time for the patient and family to articulate back the risks and benefits of each option.</w:t>
      </w:r>
      <w:r w:rsidRPr="00E25A05">
        <w:rPr>
          <w:rStyle w:val="EndnoteReference"/>
          <w:szCs w:val="20"/>
          <w:lang w:val="en-US"/>
        </w:rPr>
        <w:endnoteReference w:id="176"/>
      </w:r>
    </w:p>
    <w:p w:rsidR="005C4CC3" w:rsidP="005C4CC3" w:rsidRDefault="005C4CC3" w14:paraId="0DE0AE02" w14:textId="77777777">
      <w:pPr>
        <w:rPr>
          <w:rFonts w:cs="Open Sans"/>
        </w:rPr>
      </w:pPr>
      <w:r>
        <w:rPr>
          <w:rFonts w:cs="Open Sans"/>
        </w:rPr>
        <w:t>Stakeholders did not identify other specific guidance material about consent and</w:t>
      </w:r>
      <w:r w:rsidDel="003D4A7B">
        <w:rPr>
          <w:rFonts w:cs="Open Sans"/>
        </w:rPr>
        <w:t xml:space="preserve"> </w:t>
      </w:r>
      <w:r>
        <w:rPr>
          <w:rFonts w:cs="Open Sans"/>
        </w:rPr>
        <w:t>people born with variations in sex characteristics.</w:t>
      </w:r>
    </w:p>
    <w:p w:rsidR="005C4CC3" w:rsidP="005C4CC3" w:rsidRDefault="005C4CC3" w14:paraId="7F802A0F" w14:textId="77777777">
      <w:pPr>
        <w:rPr>
          <w:rFonts w:cs="Open Sans"/>
        </w:rPr>
      </w:pPr>
      <w:r>
        <w:rPr>
          <w:rFonts w:cs="Open Sans"/>
        </w:rPr>
        <w:t>The</w:t>
      </w:r>
      <w:r w:rsidDel="00AE2B20">
        <w:rPr>
          <w:rFonts w:cs="Open Sans"/>
        </w:rPr>
        <w:t xml:space="preserve"> </w:t>
      </w:r>
      <w:r>
        <w:rPr>
          <w:rFonts w:cs="Open Sans"/>
        </w:rPr>
        <w:t>2006 Consensus Statement does not address the issue of obtaining consent, except for some information in an</w:t>
      </w:r>
      <w:r w:rsidRPr="00DF6826">
        <w:rPr>
          <w:rFonts w:cs="Open Sans"/>
        </w:rPr>
        <w:t xml:space="preserve"> appendix </w:t>
      </w:r>
      <w:r>
        <w:rPr>
          <w:rFonts w:cs="Open Sans"/>
        </w:rPr>
        <w:t>outlining the</w:t>
      </w:r>
      <w:r w:rsidRPr="00DF6826">
        <w:rPr>
          <w:rFonts w:cs="Open Sans"/>
        </w:rPr>
        <w:t xml:space="preserve"> legal requirements for </w:t>
      </w:r>
      <w:r>
        <w:rPr>
          <w:rFonts w:cs="Open Sans"/>
        </w:rPr>
        <w:t xml:space="preserve">disclosure of information to patients </w:t>
      </w:r>
      <w:r w:rsidRPr="00DF6826">
        <w:rPr>
          <w:rFonts w:cs="Open Sans"/>
        </w:rPr>
        <w:t>under US, UK and Col</w:t>
      </w:r>
      <w:r>
        <w:rPr>
          <w:rFonts w:cs="Open Sans"/>
        </w:rPr>
        <w:t>o</w:t>
      </w:r>
      <w:r w:rsidRPr="00DF6826">
        <w:rPr>
          <w:rFonts w:cs="Open Sans"/>
        </w:rPr>
        <w:t>mbian law.</w:t>
      </w:r>
      <w:r w:rsidRPr="00E25A05">
        <w:rPr>
          <w:rStyle w:val="EndnoteReference"/>
          <w:rFonts w:cs="Open Sans"/>
          <w:szCs w:val="20"/>
        </w:rPr>
        <w:endnoteReference w:id="177"/>
      </w:r>
      <w:r w:rsidRPr="00E25A05">
        <w:rPr>
          <w:rFonts w:cs="Open Sans"/>
          <w:sz w:val="20"/>
          <w:szCs w:val="20"/>
        </w:rPr>
        <w:t xml:space="preserve"> </w:t>
      </w:r>
    </w:p>
    <w:p w:rsidR="005C4CC3" w:rsidP="005C4CC3" w:rsidRDefault="005C4CC3" w14:paraId="72DA8F83" w14:textId="77777777">
      <w:pPr>
        <w:tabs>
          <w:tab w:val="left" w:pos="8222"/>
        </w:tabs>
        <w:rPr>
          <w:rFonts w:cs="Open Sans"/>
        </w:rPr>
      </w:pPr>
      <w:r>
        <w:rPr>
          <w:rFonts w:cs="Open Sans"/>
        </w:rPr>
        <w:lastRenderedPageBreak/>
        <w:t>The 2016 Consensus Statement Update states that parents are responsible for providing consent to medical interventions, on the basis of available evidence, and in the best interests of their child.</w:t>
      </w:r>
      <w:r w:rsidRPr="00E25A05">
        <w:rPr>
          <w:rStyle w:val="EndnoteReference"/>
          <w:rFonts w:cs="Open Sans"/>
          <w:szCs w:val="20"/>
        </w:rPr>
        <w:endnoteReference w:id="178"/>
      </w:r>
      <w:r w:rsidRPr="00E25A05">
        <w:rPr>
          <w:rFonts w:cs="Open Sans"/>
          <w:sz w:val="20"/>
          <w:szCs w:val="20"/>
        </w:rPr>
        <w:t xml:space="preserve"> </w:t>
      </w:r>
      <w:r>
        <w:rPr>
          <w:rFonts w:cs="Open Sans"/>
        </w:rPr>
        <w:t>It goes on to note that a parent’s ‘right’ to provide this consent has been questioned:</w:t>
      </w:r>
    </w:p>
    <w:p w:rsidRPr="007F03DE" w:rsidR="005C4CC3" w:rsidP="005C4CC3" w:rsidRDefault="005C4CC3" w14:paraId="45C07D6A" w14:textId="77777777">
      <w:pPr>
        <w:ind w:left="720"/>
        <w:rPr>
          <w:rFonts w:cs="Open Sans"/>
          <w:sz w:val="22"/>
          <w:szCs w:val="22"/>
        </w:rPr>
      </w:pPr>
      <w:r w:rsidRPr="007F03DE">
        <w:rPr>
          <w:rFonts w:cs="Open Sans"/>
          <w:sz w:val="22"/>
          <w:szCs w:val="22"/>
        </w:rPr>
        <w:t>Physicians working with these families should be aware that the trend in recent years has been for legal and human rights bodies to increasingly emphasize preserving patient autonomy.</w:t>
      </w:r>
      <w:r w:rsidRPr="00E06FD1">
        <w:rPr>
          <w:rStyle w:val="EndnoteReference"/>
          <w:rFonts w:cs="Open Sans"/>
          <w:szCs w:val="20"/>
        </w:rPr>
        <w:endnoteReference w:id="179"/>
      </w:r>
      <w:r w:rsidRPr="00E06FD1">
        <w:rPr>
          <w:rFonts w:cs="Open Sans"/>
          <w:sz w:val="20"/>
          <w:szCs w:val="20"/>
        </w:rPr>
        <w:t xml:space="preserve"> </w:t>
      </w:r>
    </w:p>
    <w:p w:rsidR="005C4CC3" w:rsidP="005C4CC3" w:rsidRDefault="005C4CC3" w14:paraId="049829D9" w14:textId="77777777">
      <w:pPr>
        <w:rPr>
          <w:rFonts w:cs="Open Sans"/>
        </w:rPr>
      </w:pPr>
      <w:r w:rsidRPr="142DBD8A">
        <w:rPr>
          <w:rFonts w:cs="Open Sans"/>
        </w:rPr>
        <w:t xml:space="preserve">However, it does not express any concluded views about this topic </w:t>
      </w:r>
      <w:r>
        <w:rPr>
          <w:rFonts w:cs="Open Sans"/>
        </w:rPr>
        <w:t>n</w:t>
      </w:r>
      <w:r w:rsidRPr="142DBD8A">
        <w:rPr>
          <w:rFonts w:cs="Open Sans"/>
        </w:rPr>
        <w:t xml:space="preserve">or provide practitioners with any concrete guidance. </w:t>
      </w:r>
    </w:p>
    <w:p w:rsidRPr="00BD0C5A" w:rsidR="005C4CC3" w:rsidP="005C4CC3" w:rsidRDefault="005C4CC3" w14:paraId="5C8A113E" w14:textId="06DA47E1">
      <w:r>
        <w:t>The</w:t>
      </w:r>
      <w:r w:rsidRPr="00BD0C5A">
        <w:t xml:space="preserve"> 2013 Victorian </w:t>
      </w:r>
      <w:r w:rsidRPr="00BD0C5A">
        <w:rPr>
          <w:lang w:val="en-US"/>
        </w:rPr>
        <w:t>Decision-</w:t>
      </w:r>
      <w:r>
        <w:rPr>
          <w:lang w:val="en-US"/>
        </w:rPr>
        <w:t>M</w:t>
      </w:r>
      <w:r w:rsidRPr="004F0572">
        <w:rPr>
          <w:lang w:val="en-US"/>
        </w:rPr>
        <w:t xml:space="preserve">aking </w:t>
      </w:r>
      <w:r>
        <w:rPr>
          <w:lang w:val="en-US"/>
        </w:rPr>
        <w:t>P</w:t>
      </w:r>
      <w:r w:rsidRPr="004F0572">
        <w:rPr>
          <w:lang w:val="en-US"/>
        </w:rPr>
        <w:t>rinciples</w:t>
      </w:r>
      <w:r>
        <w:rPr>
          <w:lang w:val="en-US"/>
        </w:rPr>
        <w:t xml:space="preserve"> provide some</w:t>
      </w:r>
      <w:r w:rsidRPr="00BD0C5A">
        <w:rPr>
          <w:lang w:val="en-US"/>
        </w:rPr>
        <w:t xml:space="preserve"> guidance for clini</w:t>
      </w:r>
      <w:r>
        <w:rPr>
          <w:lang w:val="en-US"/>
        </w:rPr>
        <w:t>cians</w:t>
      </w:r>
      <w:r w:rsidRPr="00BD0C5A">
        <w:rPr>
          <w:lang w:val="en-US"/>
        </w:rPr>
        <w:t xml:space="preserve"> </w:t>
      </w:r>
      <w:r>
        <w:rPr>
          <w:lang w:val="en-US"/>
        </w:rPr>
        <w:t>on obtaining</w:t>
      </w:r>
      <w:r w:rsidRPr="004F0572">
        <w:rPr>
          <w:lang w:val="en-US"/>
        </w:rPr>
        <w:t xml:space="preserve"> consent. </w:t>
      </w:r>
      <w:r>
        <w:rPr>
          <w:lang w:val="en-US"/>
        </w:rPr>
        <w:t>They state that</w:t>
      </w:r>
      <w:r w:rsidRPr="00BD0C5A">
        <w:rPr>
          <w:lang w:val="en-US"/>
        </w:rPr>
        <w:t xml:space="preserve"> Victorian hospitals </w:t>
      </w:r>
      <w:r>
        <w:rPr>
          <w:lang w:val="en-US"/>
        </w:rPr>
        <w:t xml:space="preserve">providing care to people born with variations in sex characteristics </w:t>
      </w:r>
      <w:r w:rsidRPr="00BD0C5A">
        <w:rPr>
          <w:lang w:val="en-US"/>
        </w:rPr>
        <w:t>should provide</w:t>
      </w:r>
    </w:p>
    <w:p w:rsidRPr="004F0572" w:rsidR="005C4CC3" w:rsidP="002F7D27" w:rsidRDefault="005C4CC3" w14:paraId="37C46631" w14:textId="77777777">
      <w:pPr>
        <w:pStyle w:val="ListParagraph"/>
        <w:numPr>
          <w:ilvl w:val="0"/>
          <w:numId w:val="36"/>
        </w:numPr>
        <w:rPr>
          <w:sz w:val="22"/>
          <w:szCs w:val="22"/>
          <w:lang w:val="en-US"/>
        </w:rPr>
      </w:pPr>
      <w:r w:rsidRPr="004F0572">
        <w:rPr>
          <w:sz w:val="22"/>
          <w:szCs w:val="22"/>
          <w:lang w:val="en-US"/>
        </w:rPr>
        <w:t>honest and complete disclosure of the diagnosis, risks, options, issues and treatments</w:t>
      </w:r>
    </w:p>
    <w:p w:rsidRPr="004F0572" w:rsidR="005C4CC3" w:rsidP="002F7D27" w:rsidRDefault="005C4CC3" w14:paraId="04914A82" w14:textId="77777777">
      <w:pPr>
        <w:pStyle w:val="ListParagraph"/>
        <w:numPr>
          <w:ilvl w:val="0"/>
          <w:numId w:val="36"/>
        </w:numPr>
        <w:rPr>
          <w:sz w:val="22"/>
          <w:szCs w:val="22"/>
          <w:lang w:val="en-US"/>
        </w:rPr>
      </w:pPr>
      <w:r w:rsidRPr="004F0572">
        <w:rPr>
          <w:sz w:val="22"/>
          <w:szCs w:val="22"/>
          <w:lang w:val="en-US"/>
        </w:rPr>
        <w:t>sufficient time and opportunity for discussion of all options for healthcare and a balanced review of risks and benefits</w:t>
      </w:r>
    </w:p>
    <w:p w:rsidRPr="004F0572" w:rsidR="005C4CC3" w:rsidP="002F7D27" w:rsidRDefault="005C4CC3" w14:paraId="54E4157F" w14:textId="77777777">
      <w:pPr>
        <w:pStyle w:val="ListParagraph"/>
        <w:numPr>
          <w:ilvl w:val="0"/>
          <w:numId w:val="36"/>
        </w:numPr>
        <w:rPr>
          <w:sz w:val="22"/>
          <w:szCs w:val="22"/>
          <w:lang w:val="en-US"/>
        </w:rPr>
      </w:pPr>
      <w:r w:rsidRPr="004F0572">
        <w:rPr>
          <w:sz w:val="22"/>
          <w:szCs w:val="22"/>
          <w:lang w:val="en-US"/>
        </w:rPr>
        <w:t>intensive support, education and counselling during the decision-making phase</w:t>
      </w:r>
    </w:p>
    <w:p w:rsidRPr="004F0572" w:rsidR="005C4CC3" w:rsidP="002F7D27" w:rsidRDefault="005C4CC3" w14:paraId="4D1992C9" w14:textId="77777777">
      <w:pPr>
        <w:pStyle w:val="ListParagraph"/>
        <w:numPr>
          <w:ilvl w:val="0"/>
          <w:numId w:val="36"/>
        </w:numPr>
        <w:rPr>
          <w:sz w:val="22"/>
          <w:szCs w:val="22"/>
          <w:lang w:val="en-US"/>
        </w:rPr>
      </w:pPr>
      <w:r w:rsidRPr="004F0572">
        <w:rPr>
          <w:sz w:val="22"/>
          <w:szCs w:val="22"/>
          <w:lang w:val="en-US"/>
        </w:rPr>
        <w:t>standardised, age-appropriate resources for parents, children and adolescents that provide education about sex and gender diversity</w:t>
      </w:r>
    </w:p>
    <w:p w:rsidRPr="004F0572" w:rsidR="005C4CC3" w:rsidP="002F7D27" w:rsidRDefault="005C4CC3" w14:paraId="69210734" w14:textId="77777777">
      <w:pPr>
        <w:pStyle w:val="ListParagraph"/>
        <w:numPr>
          <w:ilvl w:val="0"/>
          <w:numId w:val="36"/>
        </w:numPr>
        <w:rPr>
          <w:sz w:val="22"/>
          <w:szCs w:val="22"/>
          <w:lang w:val="en-US"/>
        </w:rPr>
      </w:pPr>
      <w:r w:rsidRPr="004F0572">
        <w:rPr>
          <w:sz w:val="22"/>
          <w:szCs w:val="22"/>
          <w:lang w:val="en-US"/>
        </w:rPr>
        <w:t>information about, and referral to, support groups for both parents/families, and the patient</w:t>
      </w:r>
    </w:p>
    <w:p w:rsidRPr="004F0572" w:rsidR="005C4CC3" w:rsidP="002F7D27" w:rsidRDefault="005C4CC3" w14:paraId="331E3C18" w14:textId="77777777">
      <w:pPr>
        <w:pStyle w:val="ListParagraph"/>
        <w:numPr>
          <w:ilvl w:val="0"/>
          <w:numId w:val="36"/>
        </w:numPr>
        <w:rPr>
          <w:sz w:val="22"/>
          <w:szCs w:val="22"/>
          <w:lang w:val="en-US"/>
        </w:rPr>
      </w:pPr>
      <w:r w:rsidRPr="004F0572">
        <w:rPr>
          <w:sz w:val="22"/>
          <w:szCs w:val="22"/>
          <w:lang w:val="en-US"/>
        </w:rPr>
        <w:t>assistance for parents with informing their child in stages about their condition, and with seeking their child’s consent for any medical or surgical intervention</w:t>
      </w:r>
    </w:p>
    <w:p w:rsidRPr="00C34866" w:rsidR="005C4CC3" w:rsidP="002F7D27" w:rsidRDefault="005C4CC3" w14:paraId="29F43545" w14:textId="77777777">
      <w:pPr>
        <w:pStyle w:val="ListParagraph"/>
        <w:numPr>
          <w:ilvl w:val="0"/>
          <w:numId w:val="36"/>
        </w:numPr>
        <w:rPr>
          <w:sz w:val="22"/>
          <w:szCs w:val="22"/>
        </w:rPr>
      </w:pPr>
      <w:r w:rsidRPr="004F0572">
        <w:rPr>
          <w:sz w:val="22"/>
          <w:szCs w:val="22"/>
          <w:lang w:val="en-US"/>
        </w:rPr>
        <w:t>ongoing follow up and referral to psychological support for patients and their parents throughout the patient’s life.</w:t>
      </w:r>
      <w:r w:rsidRPr="00E141FF">
        <w:rPr>
          <w:sz w:val="20"/>
          <w:szCs w:val="20"/>
          <w:vertAlign w:val="superscript"/>
          <w:lang w:val="en-US"/>
        </w:rPr>
        <w:endnoteReference w:id="180"/>
      </w:r>
    </w:p>
    <w:p w:rsidR="005C4CC3" w:rsidP="005C4CC3" w:rsidRDefault="005C4CC3" w14:paraId="18AC55A9" w14:textId="77777777">
      <w:r>
        <w:lastRenderedPageBreak/>
        <w:t>These high-level principles are explained further in an appendix to the 2013 Victorian Decision-Making Principles.</w:t>
      </w:r>
      <w:r w:rsidRPr="00E141FF">
        <w:rPr>
          <w:rStyle w:val="EndnoteReference"/>
          <w:szCs w:val="20"/>
        </w:rPr>
        <w:endnoteReference w:id="181"/>
      </w:r>
      <w:r>
        <w:t xml:space="preserve"> In relation to supporting parents in decision making, they state:</w:t>
      </w:r>
    </w:p>
    <w:p w:rsidRPr="007E68C8" w:rsidR="005C4CC3" w:rsidP="005C4CC3" w:rsidRDefault="005C4CC3" w14:paraId="265EF3B6" w14:textId="77777777">
      <w:pPr>
        <w:ind w:left="720"/>
        <w:rPr>
          <w:sz w:val="22"/>
          <w:szCs w:val="22"/>
        </w:rPr>
      </w:pPr>
      <w:r w:rsidRPr="007E68C8">
        <w:rPr>
          <w:sz w:val="22"/>
          <w:szCs w:val="22"/>
        </w:rPr>
        <w:t>Those responsible for providing information to parents should assist them to manage these initial reactions, and create an environment of calm and careful decision making. It is important to note, and to emphasise to patients and parents, that a diagnosis of an intersex condition does not mean that a decision about treatment is necessarily urgent.</w:t>
      </w:r>
      <w:r w:rsidRPr="00E141FF">
        <w:rPr>
          <w:rStyle w:val="EndnoteReference"/>
          <w:szCs w:val="20"/>
        </w:rPr>
        <w:endnoteReference w:id="182"/>
      </w:r>
    </w:p>
    <w:p w:rsidR="005C4CC3" w:rsidP="005C4CC3" w:rsidRDefault="005C4CC3" w14:paraId="23B85341" w14:textId="77777777">
      <w:r>
        <w:t>The appendix</w:t>
      </w:r>
      <w:r w:rsidDel="00FE5E57">
        <w:t xml:space="preserve"> </w:t>
      </w:r>
      <w:r>
        <w:t>to the 2013 Victorian Decision-Making Principles notes that in some cases it may be possible to defer treatment until a person under 18 years of age is able to participate in decision making but stops short of saying this course should or must be followed.</w:t>
      </w:r>
      <w:r>
        <w:rPr>
          <w:rStyle w:val="EndnoteReference"/>
        </w:rPr>
        <w:endnoteReference w:id="183"/>
      </w:r>
      <w:r>
        <w:t xml:space="preserve"> The appendix also emphasises how important are both the content of medical advice given to parents, and the manner in which that advice is given:</w:t>
      </w:r>
    </w:p>
    <w:p w:rsidRPr="0036655F" w:rsidR="005C4CC3" w:rsidP="005C4CC3" w:rsidRDefault="005C4CC3" w14:paraId="715E98B0" w14:textId="77777777">
      <w:pPr>
        <w:ind w:left="720"/>
        <w:rPr>
          <w:sz w:val="22"/>
          <w:szCs w:val="22"/>
        </w:rPr>
      </w:pPr>
      <w:r w:rsidRPr="0036655F">
        <w:rPr>
          <w:sz w:val="22"/>
          <w:szCs w:val="22"/>
        </w:rPr>
        <w:t>Those responsible for the care for the patient should emphasise that intersex conditions are not shameful and focus on the potential for positive long-term outcomes. In particular, initial contacts with patients and parents during this period are crucial, because the response of clinical staff to the situation can leave a lasting impression.</w:t>
      </w:r>
      <w:r>
        <w:rPr>
          <w:rStyle w:val="EndnoteReference"/>
          <w:sz w:val="22"/>
          <w:szCs w:val="22"/>
        </w:rPr>
        <w:endnoteReference w:id="184"/>
      </w:r>
    </w:p>
    <w:p w:rsidRPr="00DB212F" w:rsidR="005C4CC3" w:rsidP="005C4CC3" w:rsidRDefault="005C4CC3" w14:paraId="55147AFE" w14:textId="77777777">
      <w:pPr>
        <w:widowControl w:val="0"/>
        <w:rPr>
          <w:rFonts w:cs="Open Sans"/>
          <w:iCs/>
        </w:rPr>
      </w:pPr>
      <w:r>
        <w:t>While the current guidance documents (in particular, the 2013 Victorian Decision-Making Principles) describe some</w:t>
      </w:r>
      <w:r w:rsidDel="00B21D06">
        <w:t xml:space="preserve"> </w:t>
      </w:r>
      <w:r>
        <w:t xml:space="preserve">general principles that should be applied by clinicians when providing care to a person born with a variation in sex characteristics, they do not provide comprehensive guidance about consent and decision making. </w:t>
      </w:r>
    </w:p>
    <w:p w:rsidRPr="00595CD9" w:rsidR="005C4CC3" w:rsidP="005C4CC3" w:rsidRDefault="005C4CC3" w14:paraId="0DBF4136" w14:textId="77777777">
      <w:pPr>
        <w:rPr>
          <w:rFonts w:cs="Open Sans"/>
        </w:rPr>
      </w:pPr>
      <w:r w:rsidRPr="005C324A">
        <w:rPr>
          <w:rFonts w:cs="Open Sans"/>
        </w:rPr>
        <w:t xml:space="preserve">Some </w:t>
      </w:r>
      <w:r>
        <w:rPr>
          <w:rFonts w:cs="Open Sans"/>
        </w:rPr>
        <w:t>stakeholders</w:t>
      </w:r>
      <w:r w:rsidRPr="005C324A">
        <w:rPr>
          <w:rFonts w:cs="Open Sans"/>
        </w:rPr>
        <w:t xml:space="preserve"> (including clinician</w:t>
      </w:r>
      <w:r>
        <w:rPr>
          <w:rFonts w:cs="Open Sans"/>
        </w:rPr>
        <w:t>s</w:t>
      </w:r>
      <w:r w:rsidRPr="005C324A" w:rsidDel="00573E89">
        <w:rPr>
          <w:rFonts w:cs="Open Sans"/>
        </w:rPr>
        <w:t xml:space="preserve"> </w:t>
      </w:r>
      <w:r>
        <w:rPr>
          <w:rFonts w:cs="Open Sans"/>
        </w:rPr>
        <w:t>from Victoria</w:t>
      </w:r>
      <w:r w:rsidRPr="005C324A">
        <w:rPr>
          <w:rFonts w:cs="Open Sans"/>
        </w:rPr>
        <w:t>) expressed concern about the lack of standard</w:t>
      </w:r>
      <w:r>
        <w:rPr>
          <w:rFonts w:cs="Open Sans"/>
        </w:rPr>
        <w:t>s</w:t>
      </w:r>
      <w:r w:rsidRPr="005C324A">
        <w:rPr>
          <w:rFonts w:cs="Open Sans"/>
        </w:rPr>
        <w:t xml:space="preserve"> to support informed decision-making including how to obtain consent, and indicated support for clinical guidelines</w:t>
      </w:r>
      <w:r>
        <w:rPr>
          <w:rFonts w:cs="Open Sans"/>
        </w:rPr>
        <w:t xml:space="preserve">, as well as </w:t>
      </w:r>
      <w:r w:rsidRPr="005C324A">
        <w:rPr>
          <w:rFonts w:cs="Open Sans"/>
        </w:rPr>
        <w:t>standardised information being made available to decision</w:t>
      </w:r>
      <w:r>
        <w:rPr>
          <w:rFonts w:cs="Open Sans"/>
        </w:rPr>
        <w:t xml:space="preserve"> </w:t>
      </w:r>
      <w:r w:rsidRPr="005C324A">
        <w:rPr>
          <w:rFonts w:cs="Open Sans"/>
        </w:rPr>
        <w:t>makers.</w:t>
      </w:r>
      <w:r w:rsidRPr="00E141FF">
        <w:rPr>
          <w:rStyle w:val="EndnoteReference"/>
          <w:rFonts w:cs="Open Sans"/>
          <w:szCs w:val="20"/>
        </w:rPr>
        <w:endnoteReference w:id="185"/>
      </w:r>
      <w:r w:rsidDel="003D3AA1">
        <w:rPr>
          <w:rFonts w:cs="Open Sans"/>
        </w:rPr>
        <w:t xml:space="preserve"> </w:t>
      </w:r>
      <w:r>
        <w:rPr>
          <w:rFonts w:cs="Open Sans"/>
        </w:rPr>
        <w:t>One multidisciplinary t</w:t>
      </w:r>
      <w:r w:rsidRPr="00595CD9">
        <w:rPr>
          <w:rFonts w:cs="Open Sans"/>
        </w:rPr>
        <w:t xml:space="preserve">eam stated: </w:t>
      </w:r>
    </w:p>
    <w:p w:rsidRPr="00A11A56" w:rsidR="005C4CC3" w:rsidP="005C4CC3" w:rsidRDefault="005C4CC3" w14:paraId="7D356D69" w14:textId="77777777">
      <w:pPr>
        <w:autoSpaceDE w:val="0"/>
        <w:autoSpaceDN w:val="0"/>
        <w:adjustRightInd w:val="0"/>
        <w:spacing w:before="0" w:after="0"/>
        <w:ind w:left="720"/>
        <w:rPr>
          <w:rFonts w:cs="Open Sans"/>
        </w:rPr>
      </w:pPr>
      <w:r w:rsidRPr="00595CD9">
        <w:rPr>
          <w:rFonts w:cs="Open Sans"/>
          <w:sz w:val="22"/>
          <w:szCs w:val="22"/>
        </w:rPr>
        <w:t xml:space="preserve">At present there are no standardised safeguards to ensure a process of informed consent occurs, apart from clinical best practice. </w:t>
      </w:r>
      <w:r>
        <w:rPr>
          <w:rFonts w:cs="Open Sans"/>
          <w:sz w:val="22"/>
          <w:szCs w:val="22"/>
        </w:rPr>
        <w:t xml:space="preserve">… [We] </w:t>
      </w:r>
      <w:r w:rsidRPr="00595CD9">
        <w:rPr>
          <w:rFonts w:cs="Open Sans"/>
          <w:sz w:val="22"/>
          <w:szCs w:val="22"/>
        </w:rPr>
        <w:t>support the development of clinical guidelines and standardised material to assist with documentation of informed consent in decision making</w:t>
      </w:r>
      <w:r w:rsidRPr="00A11A56">
        <w:rPr>
          <w:rFonts w:cs="Open Sans"/>
        </w:rPr>
        <w:t>.</w:t>
      </w:r>
      <w:r w:rsidRPr="00E141FF">
        <w:rPr>
          <w:rStyle w:val="EndnoteReference"/>
          <w:rFonts w:cs="Open Sans"/>
          <w:szCs w:val="20"/>
        </w:rPr>
        <w:endnoteReference w:id="186"/>
      </w:r>
    </w:p>
    <w:p w:rsidRPr="006458D4" w:rsidR="005C4CC3" w:rsidP="002107CD" w:rsidRDefault="005C4CC3" w14:paraId="05B34936" w14:textId="77777777">
      <w:pPr>
        <w:pStyle w:val="AHRCHeading2"/>
        <w:rPr>
          <w:rFonts w:ascii="Arial" w:hAnsi="Arial" w:cs="Arial"/>
        </w:rPr>
      </w:pPr>
      <w:bookmarkStart w:name="_Toc80096980" w:id="209"/>
      <w:bookmarkStart w:name="_Toc85541417" w:id="210"/>
      <w:r w:rsidRPr="004A1C54">
        <w:lastRenderedPageBreak/>
        <w:t xml:space="preserve">Giving and obtaining </w:t>
      </w:r>
      <w:r>
        <w:t>consent</w:t>
      </w:r>
      <w:r>
        <w:rPr>
          <w:rFonts w:cs="Open Sans"/>
        </w:rPr>
        <w:t>:</w:t>
      </w:r>
      <w:r w:rsidDel="00356C41">
        <w:t xml:space="preserve"> </w:t>
      </w:r>
      <w:r>
        <w:t>past and current practice</w:t>
      </w:r>
      <w:bookmarkEnd w:id="209"/>
      <w:bookmarkEnd w:id="210"/>
    </w:p>
    <w:p w:rsidR="005C4CC3" w:rsidP="005C4CC3" w:rsidRDefault="005C4CC3" w14:paraId="4A0C5E08" w14:textId="4F3DD08F">
      <w:r>
        <w:t>The legal framework for consent to medical treatment was generally well understood by stakeholders.</w:t>
      </w:r>
      <w:r w:rsidDel="0033203C">
        <w:t xml:space="preserve"> </w:t>
      </w:r>
      <w:r>
        <w:t>That is, stakeholders who addressed the issue generally acknowledged that at present</w:t>
      </w:r>
    </w:p>
    <w:p w:rsidR="005C4CC3" w:rsidP="002F7D27" w:rsidRDefault="005C4CC3" w14:paraId="57802256" w14:textId="77777777">
      <w:pPr>
        <w:pStyle w:val="ListParagraph"/>
        <w:numPr>
          <w:ilvl w:val="0"/>
          <w:numId w:val="39"/>
        </w:numPr>
      </w:pPr>
      <w:r>
        <w:t>medical interventions may not be performed without consent</w:t>
      </w:r>
      <w:r w:rsidDel="00E923E4">
        <w:t xml:space="preserve"> </w:t>
      </w:r>
    </w:p>
    <w:p w:rsidR="005C4CC3" w:rsidP="002F7D27" w:rsidRDefault="005C4CC3" w14:paraId="69B21761" w14:textId="77777777">
      <w:pPr>
        <w:pStyle w:val="ListParagraph"/>
        <w:numPr>
          <w:ilvl w:val="0"/>
          <w:numId w:val="39"/>
        </w:numPr>
      </w:pPr>
      <w:r>
        <w:t xml:space="preserve">doctors play a crucial role in providing relevant information to allow consent to be meaningfully given </w:t>
      </w:r>
    </w:p>
    <w:p w:rsidR="005C4CC3" w:rsidP="002F7D27" w:rsidRDefault="005C4CC3" w14:paraId="7037D1C8" w14:textId="77777777">
      <w:pPr>
        <w:pStyle w:val="ListParagraph"/>
        <w:numPr>
          <w:ilvl w:val="0"/>
          <w:numId w:val="39"/>
        </w:numPr>
      </w:pPr>
      <w:r>
        <w:t xml:space="preserve">in the case of children, the ordinary rule is that legal guardians can provide consent for ‘therapeutic’ treatment for their children </w:t>
      </w:r>
    </w:p>
    <w:p w:rsidR="005C4CC3" w:rsidP="002F7D27" w:rsidRDefault="005C4CC3" w14:paraId="2877D4ED" w14:textId="77777777">
      <w:pPr>
        <w:pStyle w:val="ListParagraph"/>
        <w:numPr>
          <w:ilvl w:val="0"/>
          <w:numId w:val="39"/>
        </w:numPr>
      </w:pPr>
      <w:r>
        <w:t xml:space="preserve">in a small subset of cases, court authorisation of medical interventions involving children must be sought before treatment proceeds. </w:t>
      </w:r>
    </w:p>
    <w:p w:rsidR="005C4CC3" w:rsidP="005C4CC3" w:rsidRDefault="005C4CC3" w14:paraId="183057E6" w14:textId="77777777">
      <w:r>
        <w:t xml:space="preserve">There were widely divergent views about how well this framework works in practice, and how well it protects the right of children not to undergo medically unnecessary interventions without providing personal consent. </w:t>
      </w:r>
    </w:p>
    <w:p w:rsidRPr="004F39C3" w:rsidR="005C4CC3" w:rsidP="005C4CC3" w:rsidRDefault="005C4CC3" w14:paraId="11A8D731" w14:textId="77777777">
      <w:r>
        <w:t xml:space="preserve">Clinical stakeholders provided some information about their current practices in providing information to patients and obtaining consent. Many people with variations in sex characteristics expressed dissatisfaction with decision-making processes in their own cases. </w:t>
      </w:r>
    </w:p>
    <w:p w:rsidR="005C4CC3" w:rsidP="005C4CC3" w:rsidRDefault="005C4CC3" w14:paraId="155434F7" w14:textId="77777777">
      <w:pPr>
        <w:pStyle w:val="Heading3"/>
        <w:tabs>
          <w:tab w:val="clear" w:pos="851"/>
          <w:tab w:val="num" w:pos="1571"/>
        </w:tabs>
      </w:pPr>
      <w:bookmarkStart w:name="_Toc80096981" w:id="211"/>
      <w:bookmarkStart w:name="_Toc85541418" w:id="212"/>
      <w:r>
        <w:t>Clinical stakeholders</w:t>
      </w:r>
      <w:bookmarkEnd w:id="211"/>
      <w:bookmarkEnd w:id="212"/>
    </w:p>
    <w:p w:rsidR="005C4CC3" w:rsidP="005C4CC3" w:rsidRDefault="005C4CC3" w14:paraId="5A80AA1E" w14:textId="77777777">
      <w:pPr>
        <w:rPr>
          <w:rFonts w:cs="Open Sans"/>
        </w:rPr>
      </w:pPr>
      <w:r>
        <w:rPr>
          <w:rFonts w:cs="Open Sans"/>
        </w:rPr>
        <w:t>Clinical</w:t>
      </w:r>
      <w:r w:rsidDel="00B9191F">
        <w:rPr>
          <w:rFonts w:cs="Open Sans"/>
        </w:rPr>
        <w:t xml:space="preserve"> </w:t>
      </w:r>
      <w:r>
        <w:rPr>
          <w:rFonts w:cs="Open Sans"/>
        </w:rPr>
        <w:t>stakeholders who participated in the Commission’s consultations generally suggested that current practices on obtaining consent are satisfactory, and ensure that adequate information is provided to decision makers. In the case of children, they submitted that current practices in obtaining consent from legal guardians are appropriate.</w:t>
      </w:r>
      <w:r w:rsidRPr="00866639">
        <w:rPr>
          <w:rStyle w:val="EndnoteReference"/>
          <w:rFonts w:cs="Open Sans"/>
          <w:szCs w:val="20"/>
        </w:rPr>
        <w:endnoteReference w:id="187"/>
      </w:r>
      <w:r w:rsidRPr="00866639">
        <w:rPr>
          <w:rFonts w:cs="Open Sans"/>
          <w:sz w:val="20"/>
          <w:szCs w:val="20"/>
        </w:rPr>
        <w:t xml:space="preserve"> </w:t>
      </w:r>
    </w:p>
    <w:p w:rsidR="005C4CC3" w:rsidP="005C4CC3" w:rsidRDefault="005C4CC3" w14:paraId="150B1831" w14:textId="77777777">
      <w:pPr>
        <w:rPr>
          <w:rFonts w:cs="Open Sans"/>
        </w:rPr>
      </w:pPr>
      <w:r w:rsidRPr="00A16F28">
        <w:rPr>
          <w:rFonts w:cs="Open Sans"/>
        </w:rPr>
        <w:lastRenderedPageBreak/>
        <w:t>Some clinical stakeholders recognised that there had been concerns about past decision</w:t>
      </w:r>
      <w:r>
        <w:rPr>
          <w:rFonts w:cs="Open Sans"/>
        </w:rPr>
        <w:t>-</w:t>
      </w:r>
      <w:r w:rsidRPr="00A16F28">
        <w:rPr>
          <w:rFonts w:cs="Open Sans"/>
        </w:rPr>
        <w:t xml:space="preserve">making practices, </w:t>
      </w:r>
      <w:r>
        <w:rPr>
          <w:rFonts w:cs="Open Sans"/>
        </w:rPr>
        <w:t>with one</w:t>
      </w:r>
      <w:r w:rsidRPr="00A16F28">
        <w:rPr>
          <w:rFonts w:cs="Open Sans"/>
        </w:rPr>
        <w:t xml:space="preserve"> stat</w:t>
      </w:r>
      <w:r>
        <w:rPr>
          <w:rFonts w:cs="Open Sans"/>
        </w:rPr>
        <w:t>ing</w:t>
      </w:r>
      <w:r w:rsidRPr="00A16F28">
        <w:rPr>
          <w:rFonts w:cs="Open Sans"/>
        </w:rPr>
        <w:t xml:space="preserve"> that practices had evolved in response to those concerns.</w:t>
      </w:r>
      <w:r w:rsidRPr="00866639">
        <w:rPr>
          <w:rFonts w:cs="Open Sans"/>
          <w:sz w:val="20"/>
          <w:szCs w:val="20"/>
          <w:vertAlign w:val="superscript"/>
        </w:rPr>
        <w:endnoteReference w:id="188"/>
      </w:r>
      <w:r>
        <w:rPr>
          <w:rFonts w:cs="Open Sans"/>
        </w:rPr>
        <w:t xml:space="preserve"> </w:t>
      </w:r>
    </w:p>
    <w:p w:rsidRPr="004B137F" w:rsidR="005C4CC3" w:rsidP="005C4CC3" w:rsidRDefault="005C4CC3" w14:paraId="65ABDABA" w14:textId="77777777">
      <w:pPr>
        <w:pStyle w:val="Heading4"/>
        <w:tabs>
          <w:tab w:val="clear" w:pos="851"/>
          <w:tab w:val="num" w:pos="1571"/>
        </w:tabs>
      </w:pPr>
      <w:r>
        <w:t>C</w:t>
      </w:r>
      <w:r w:rsidRPr="00DA2424">
        <w:t>urrent practice in obtaining consent</w:t>
      </w:r>
      <w:r>
        <w:t xml:space="preserve"> for children</w:t>
      </w:r>
    </w:p>
    <w:p w:rsidR="005C4CC3" w:rsidP="005C4CC3" w:rsidRDefault="005C4CC3" w14:paraId="0CF303FD" w14:textId="77777777">
      <w:pPr>
        <w:autoSpaceDE w:val="0"/>
        <w:autoSpaceDN w:val="0"/>
        <w:adjustRightInd w:val="0"/>
        <w:spacing w:before="0" w:after="0"/>
        <w:rPr>
          <w:rFonts w:cs="Open Sans"/>
        </w:rPr>
      </w:pPr>
      <w:r>
        <w:rPr>
          <w:rFonts w:cs="Open Sans"/>
        </w:rPr>
        <w:t>Some clinician</w:t>
      </w:r>
      <w:r w:rsidDel="00B9191F">
        <w:rPr>
          <w:rFonts w:cs="Open Sans"/>
        </w:rPr>
        <w:t xml:space="preserve"> </w:t>
      </w:r>
      <w:r>
        <w:rPr>
          <w:rFonts w:cs="Open Sans"/>
        </w:rPr>
        <w:t>stakeholders indicated that for children born with variations in sex characteristics, consent to medical interventions is given by legal guardians.</w:t>
      </w:r>
      <w:r w:rsidRPr="00866639">
        <w:rPr>
          <w:rStyle w:val="EndnoteReference"/>
          <w:rFonts w:cs="Open Sans"/>
          <w:szCs w:val="20"/>
        </w:rPr>
        <w:endnoteReference w:id="189"/>
      </w:r>
      <w:r>
        <w:rPr>
          <w:rFonts w:cs="Open Sans"/>
        </w:rPr>
        <w:t xml:space="preserve"> The Australasian Paediatric Endocrine Group stated:</w:t>
      </w:r>
    </w:p>
    <w:p w:rsidR="005C4CC3" w:rsidP="005C4CC3" w:rsidRDefault="005C4CC3" w14:paraId="61ECC265" w14:textId="77777777">
      <w:pPr>
        <w:autoSpaceDE w:val="0"/>
        <w:autoSpaceDN w:val="0"/>
        <w:adjustRightInd w:val="0"/>
        <w:spacing w:before="0" w:after="0"/>
        <w:rPr>
          <w:rFonts w:cs="Open Sans"/>
        </w:rPr>
      </w:pPr>
    </w:p>
    <w:p w:rsidR="005C4CC3" w:rsidP="005C4CC3" w:rsidRDefault="005C4CC3" w14:paraId="52EA9374" w14:textId="77777777">
      <w:pPr>
        <w:autoSpaceDE w:val="0"/>
        <w:autoSpaceDN w:val="0"/>
        <w:adjustRightInd w:val="0"/>
        <w:spacing w:before="0" w:after="0"/>
        <w:ind w:left="720"/>
        <w:rPr>
          <w:rFonts w:cs="Open Sans"/>
          <w:sz w:val="22"/>
          <w:szCs w:val="22"/>
        </w:rPr>
      </w:pPr>
      <w:r w:rsidRPr="00513135">
        <w:rPr>
          <w:rFonts w:cs="Open Sans"/>
          <w:sz w:val="22"/>
          <w:szCs w:val="22"/>
        </w:rPr>
        <w:t>The process for obtaining consent for children and adolescents from their legal guardians is no different to any medical or surgical procedure, ensuring the best interests (survival, age appropriate development and wellbeing and limitation of harm) of the child is a primary consideration in all actions.</w:t>
      </w:r>
      <w:r w:rsidRPr="00866639">
        <w:rPr>
          <w:rStyle w:val="EndnoteReference"/>
          <w:rFonts w:cs="Open Sans"/>
          <w:szCs w:val="20"/>
        </w:rPr>
        <w:endnoteReference w:id="190"/>
      </w:r>
    </w:p>
    <w:p w:rsidR="005C4CC3" w:rsidP="005C4CC3" w:rsidRDefault="005C4CC3" w14:paraId="0C279F29" w14:textId="77777777">
      <w:r>
        <w:rPr>
          <w:rFonts w:cs="Open Sans"/>
        </w:rPr>
        <w:t>M</w:t>
      </w:r>
      <w:r w:rsidRPr="005C324A">
        <w:rPr>
          <w:rFonts w:cs="Open Sans"/>
        </w:rPr>
        <w:t xml:space="preserve">odern decision-making practices </w:t>
      </w:r>
      <w:r>
        <w:rPr>
          <w:rFonts w:cs="Open Sans"/>
        </w:rPr>
        <w:t>were said to be</w:t>
      </w:r>
      <w:r w:rsidRPr="005C324A">
        <w:rPr>
          <w:rFonts w:cs="Open Sans"/>
        </w:rPr>
        <w:t xml:space="preserve"> inclusive and </w:t>
      </w:r>
      <w:r>
        <w:rPr>
          <w:rFonts w:cs="Open Sans"/>
        </w:rPr>
        <w:t xml:space="preserve">to </w:t>
      </w:r>
      <w:r w:rsidRPr="005C324A">
        <w:rPr>
          <w:rFonts w:cs="Open Sans"/>
        </w:rPr>
        <w:t>emphasise shared models of decision</w:t>
      </w:r>
      <w:r>
        <w:rPr>
          <w:rFonts w:cs="Open Sans"/>
        </w:rPr>
        <w:t xml:space="preserve"> </w:t>
      </w:r>
      <w:r w:rsidRPr="005C324A">
        <w:rPr>
          <w:rFonts w:cs="Open Sans"/>
        </w:rPr>
        <w:t xml:space="preserve">making by </w:t>
      </w:r>
      <w:r>
        <w:rPr>
          <w:rFonts w:cs="Open Sans"/>
        </w:rPr>
        <w:t>legal guardians</w:t>
      </w:r>
      <w:r w:rsidRPr="005C324A">
        <w:rPr>
          <w:rFonts w:cs="Open Sans"/>
        </w:rPr>
        <w:t xml:space="preserve"> and clinicians.</w:t>
      </w:r>
      <w:r w:rsidRPr="00866639">
        <w:rPr>
          <w:rStyle w:val="EndnoteReference"/>
          <w:rFonts w:cs="Open Sans"/>
          <w:szCs w:val="20"/>
        </w:rPr>
        <w:endnoteReference w:id="191"/>
      </w:r>
      <w:r w:rsidRPr="00866639">
        <w:rPr>
          <w:rFonts w:cs="Open Sans"/>
          <w:sz w:val="20"/>
          <w:szCs w:val="20"/>
        </w:rPr>
        <w:t xml:space="preserve"> </w:t>
      </w:r>
      <w:r>
        <w:rPr>
          <w:rFonts w:cs="Open Sans"/>
        </w:rPr>
        <w:t>One clinical stakeholder</w:t>
      </w:r>
      <w:r w:rsidDel="00F35498">
        <w:rPr>
          <w:rFonts w:cs="Open Sans"/>
        </w:rPr>
        <w:t xml:space="preserve"> </w:t>
      </w:r>
      <w:r>
        <w:rPr>
          <w:rFonts w:cs="Open Sans"/>
        </w:rPr>
        <w:t xml:space="preserve">stated that there has been a </w:t>
      </w:r>
      <w:r w:rsidRPr="00A27AF0">
        <w:rPr>
          <w:rFonts w:cs="Open Sans"/>
        </w:rPr>
        <w:t>‘</w:t>
      </w:r>
      <w:r w:rsidRPr="00A27AF0">
        <w:t>significant shift towards dialogue and shared decision-making between parents and a multidisciplinary medical team’.</w:t>
      </w:r>
      <w:r w:rsidRPr="00576929">
        <w:rPr>
          <w:rStyle w:val="EndnoteReference"/>
          <w:szCs w:val="20"/>
        </w:rPr>
        <w:endnoteReference w:id="192"/>
      </w:r>
      <w:r w:rsidRPr="00576929">
        <w:rPr>
          <w:sz w:val="20"/>
          <w:szCs w:val="20"/>
        </w:rPr>
        <w:t xml:space="preserve"> </w:t>
      </w:r>
    </w:p>
    <w:p w:rsidR="005C4CC3" w:rsidP="005C4CC3" w:rsidRDefault="005C4CC3" w14:paraId="6711AF73" w14:textId="77777777">
      <w:r>
        <w:t xml:space="preserve">The </w:t>
      </w:r>
      <w:r w:rsidRPr="007E6008">
        <w:t>E</w:t>
      </w:r>
      <w:r>
        <w:t>ndocrine Society of Australia stated</w:t>
      </w:r>
      <w:r w:rsidRPr="00EE50C3">
        <w:t xml:space="preserve"> that </w:t>
      </w:r>
      <w:r>
        <w:t>‘</w:t>
      </w:r>
      <w:r w:rsidRPr="00EE50C3">
        <w:t>consent/decisions should be made in the context of an expert multidisciplinary team in conjunction with the child’s parents/carer</w:t>
      </w:r>
      <w:r>
        <w:t>’</w:t>
      </w:r>
      <w:r w:rsidRPr="00EE50C3">
        <w:t xml:space="preserve"> in respect of</w:t>
      </w:r>
      <w:r w:rsidRPr="00EE50C3" w:rsidDel="00815E03">
        <w:t xml:space="preserve"> </w:t>
      </w:r>
      <w:r w:rsidRPr="00EE50C3">
        <w:t>children</w:t>
      </w:r>
      <w:r>
        <w:t xml:space="preserve"> who are not yet </w:t>
      </w:r>
      <w:r>
        <w:rPr>
          <w:i/>
          <w:iCs/>
        </w:rPr>
        <w:t xml:space="preserve">Gillick </w:t>
      </w:r>
      <w:r>
        <w:t>competent, with recourse to litigation in the event of disagreement between parents and clinicians who may not have reached consensus about whether to intervene.</w:t>
      </w:r>
      <w:r w:rsidRPr="00576929">
        <w:rPr>
          <w:rStyle w:val="EndnoteReference"/>
          <w:szCs w:val="20"/>
        </w:rPr>
        <w:endnoteReference w:id="193"/>
      </w:r>
      <w:r w:rsidRPr="00576929">
        <w:rPr>
          <w:sz w:val="20"/>
          <w:szCs w:val="20"/>
        </w:rPr>
        <w:t xml:space="preserve"> </w:t>
      </w:r>
    </w:p>
    <w:p w:rsidR="005C4CC3" w:rsidP="005C4CC3" w:rsidRDefault="005C4CC3" w14:paraId="2C84BA87" w14:textId="240B4CD1">
      <w:pPr>
        <w:rPr>
          <w:rFonts w:cs="Open Sans"/>
        </w:rPr>
      </w:pPr>
      <w:r w:rsidRPr="005C324A">
        <w:rPr>
          <w:rFonts w:cs="Open Sans"/>
        </w:rPr>
        <w:t>Clinician</w:t>
      </w:r>
      <w:r w:rsidRPr="005C324A" w:rsidDel="001046AD">
        <w:rPr>
          <w:rFonts w:cs="Open Sans"/>
        </w:rPr>
        <w:t xml:space="preserve"> </w:t>
      </w:r>
      <w:r>
        <w:rPr>
          <w:rFonts w:cs="Open Sans"/>
        </w:rPr>
        <w:t>stakeholders</w:t>
      </w:r>
      <w:r w:rsidRPr="005C324A">
        <w:rPr>
          <w:rFonts w:cs="Open Sans"/>
        </w:rPr>
        <w:t xml:space="preserve"> argued that developmentally-appropriate participation by children and young people is encouraged, and that early intervention is not the default starting position for clinicians when caring for a person born with variations in sex characteristics.</w:t>
      </w:r>
      <w:r w:rsidRPr="0117CC5D">
        <w:rPr>
          <w:rStyle w:val="EndnoteReference"/>
          <w:rFonts w:cs="Open Sans"/>
        </w:rPr>
        <w:endnoteReference w:id="194"/>
      </w:r>
      <w:r w:rsidRPr="005C324A">
        <w:rPr>
          <w:rFonts w:cs="Open Sans"/>
        </w:rPr>
        <w:t xml:space="preserve"> </w:t>
      </w:r>
      <w:r>
        <w:rPr>
          <w:rFonts w:cs="Open Sans"/>
        </w:rPr>
        <w:t>The Australasian Paediatric Endocrine Group stated</w:t>
      </w:r>
      <w:r w:rsidRPr="005C324A">
        <w:rPr>
          <w:rFonts w:cs="Open Sans"/>
        </w:rPr>
        <w:t xml:space="preserve"> that the </w:t>
      </w:r>
      <w:r>
        <w:rPr>
          <w:rFonts w:cs="Open Sans"/>
        </w:rPr>
        <w:t>process of shared decision making</w:t>
      </w:r>
    </w:p>
    <w:p w:rsidR="005C4CC3" w:rsidP="005C4CC3" w:rsidRDefault="005C4CC3" w14:paraId="7AF48828" w14:textId="77777777">
      <w:pPr>
        <w:ind w:left="720"/>
        <w:rPr>
          <w:rFonts w:cs="Open Sans"/>
          <w:sz w:val="22"/>
          <w:szCs w:val="22"/>
        </w:rPr>
      </w:pPr>
      <w:r w:rsidRPr="00B272DB">
        <w:rPr>
          <w:rFonts w:cs="Open Sans"/>
          <w:sz w:val="22"/>
          <w:szCs w:val="22"/>
        </w:rPr>
        <w:t>incorporates the expert knowledge of a health care provider, the right of an individual or their surrogate (parent</w:t>
      </w:r>
      <w:r>
        <w:rPr>
          <w:rFonts w:cs="Open Sans"/>
          <w:sz w:val="22"/>
          <w:szCs w:val="22"/>
        </w:rPr>
        <w:t xml:space="preserve">/legal </w:t>
      </w:r>
      <w:r w:rsidRPr="00B272DB">
        <w:rPr>
          <w:rFonts w:cs="Open Sans"/>
          <w:sz w:val="22"/>
          <w:szCs w:val="22"/>
        </w:rPr>
        <w:t>guardian in paediatrics) to make health care decisions with full information and the developing capacity of the child or adolescent over time.</w:t>
      </w:r>
      <w:r w:rsidRPr="00592ACF">
        <w:rPr>
          <w:rStyle w:val="EndnoteReference"/>
          <w:rFonts w:cs="Open Sans"/>
          <w:szCs w:val="20"/>
        </w:rPr>
        <w:endnoteReference w:id="195"/>
      </w:r>
    </w:p>
    <w:p w:rsidRPr="00091228" w:rsidR="005C4CC3" w:rsidP="005C4CC3" w:rsidRDefault="005C4CC3" w14:paraId="121872CD" w14:textId="77777777">
      <w:pPr>
        <w:rPr>
          <w:rFonts w:cs="Open Sans"/>
        </w:rPr>
      </w:pPr>
      <w:r>
        <w:rPr>
          <w:rFonts w:cs="Open Sans"/>
        </w:rPr>
        <w:t xml:space="preserve">Clinicians indicated that decision making in relation to variations in sex characteristics can be complex, involves extensive input from a wide range of </w:t>
      </w:r>
      <w:r>
        <w:rPr>
          <w:rFonts w:cs="Open Sans"/>
        </w:rPr>
        <w:lastRenderedPageBreak/>
        <w:t>medical (and sometimes other) experts to support decision making, and that this input can be required over an extended period of time to ensure consent remains informed.</w:t>
      </w:r>
      <w:r w:rsidRPr="00B969E2">
        <w:rPr>
          <w:rStyle w:val="EndnoteReference"/>
          <w:rFonts w:cs="Open Sans"/>
          <w:szCs w:val="20"/>
        </w:rPr>
        <w:endnoteReference w:id="196"/>
      </w:r>
      <w:r w:rsidRPr="00B969E2">
        <w:rPr>
          <w:rFonts w:cs="Open Sans"/>
          <w:sz w:val="20"/>
          <w:szCs w:val="20"/>
        </w:rPr>
        <w:t xml:space="preserve"> </w:t>
      </w:r>
      <w:r>
        <w:t>They stated that when agreement cannot be reached between members of the team or between the team and the legal guardians, the case is either brought to the hospital clinical ethics committee for guidance or referred to a highly specialised centre.</w:t>
      </w:r>
    </w:p>
    <w:p w:rsidR="005C4CC3" w:rsidP="005C4CC3" w:rsidRDefault="005C4CC3" w14:paraId="4EF8D726" w14:textId="77777777">
      <w:pPr>
        <w:pStyle w:val="Heading4"/>
        <w:tabs>
          <w:tab w:val="clear" w:pos="851"/>
          <w:tab w:val="num" w:pos="1571"/>
        </w:tabs>
      </w:pPr>
      <w:r>
        <w:t>D</w:t>
      </w:r>
      <w:r w:rsidRPr="002C3F06">
        <w:t>ocumenting consent</w:t>
      </w:r>
    </w:p>
    <w:p w:rsidR="005C4CC3" w:rsidP="005C4CC3" w:rsidRDefault="005C4CC3" w14:paraId="3B629AE1" w14:textId="77777777">
      <w:pPr>
        <w:autoSpaceDE w:val="0"/>
        <w:autoSpaceDN w:val="0"/>
        <w:adjustRightInd w:val="0"/>
        <w:spacing w:before="0" w:after="0"/>
        <w:rPr>
          <w:rFonts w:cs="Open Sans"/>
        </w:rPr>
      </w:pPr>
      <w:r>
        <w:rPr>
          <w:rFonts w:cs="Open Sans"/>
        </w:rPr>
        <w:t>There seems to be variable practice for the documentation of consent. One specialist multidisciplinary team confirmed that they obtain consent from guardians in writing before interventions proceed,</w:t>
      </w:r>
      <w:r w:rsidRPr="00B969E2">
        <w:rPr>
          <w:rStyle w:val="EndnoteReference"/>
          <w:rFonts w:cs="Open Sans"/>
          <w:szCs w:val="20"/>
        </w:rPr>
        <w:endnoteReference w:id="197"/>
      </w:r>
      <w:r>
        <w:rPr>
          <w:rFonts w:cs="Open Sans"/>
        </w:rPr>
        <w:t xml:space="preserve"> while another noted that there is no accepted, standardised process for documenting consent. The second team</w:t>
      </w:r>
      <w:r w:rsidRPr="00595CD9">
        <w:rPr>
          <w:rFonts w:cs="Open Sans"/>
        </w:rPr>
        <w:t xml:space="preserve"> stated</w:t>
      </w:r>
      <w:r>
        <w:rPr>
          <w:rFonts w:cs="Open Sans"/>
        </w:rPr>
        <w:t xml:space="preserve"> that they </w:t>
      </w:r>
      <w:r w:rsidRPr="00C51144">
        <w:rPr>
          <w:rFonts w:cs="Open Sans"/>
        </w:rPr>
        <w:t>‘support the development of clinical guidelines and standardised material to assist with documentation of informed consent in decision making</w:t>
      </w:r>
      <w:r>
        <w:rPr>
          <w:rFonts w:cs="Open Sans"/>
        </w:rPr>
        <w:t>’</w:t>
      </w:r>
      <w:r w:rsidRPr="00C51144">
        <w:rPr>
          <w:rFonts w:cs="Open Sans"/>
        </w:rPr>
        <w:t>.</w:t>
      </w:r>
      <w:r w:rsidRPr="00B969E2">
        <w:rPr>
          <w:rStyle w:val="EndnoteReference"/>
          <w:rFonts w:cs="Open Sans"/>
          <w:szCs w:val="20"/>
        </w:rPr>
        <w:endnoteReference w:id="198"/>
      </w:r>
    </w:p>
    <w:p w:rsidR="005C4CC3" w:rsidP="005C4CC3" w:rsidRDefault="005C4CC3" w14:paraId="50DC8DEB" w14:textId="77777777">
      <w:pPr>
        <w:autoSpaceDE w:val="0"/>
        <w:autoSpaceDN w:val="0"/>
        <w:adjustRightInd w:val="0"/>
        <w:spacing w:before="0" w:after="0"/>
        <w:rPr>
          <w:rFonts w:cs="Open Sans"/>
        </w:rPr>
      </w:pPr>
    </w:p>
    <w:p w:rsidRPr="003C65F1" w:rsidR="005C4CC3" w:rsidP="005C4CC3" w:rsidRDefault="005C4CC3" w14:paraId="383D4497" w14:textId="77777777">
      <w:pPr>
        <w:autoSpaceDE w:val="0"/>
        <w:autoSpaceDN w:val="0"/>
        <w:adjustRightInd w:val="0"/>
        <w:spacing w:before="0" w:after="0"/>
        <w:rPr>
          <w:rFonts w:cs="Open Sans"/>
        </w:rPr>
      </w:pPr>
      <w:bookmarkStart w:name="_Toc55576980" w:id="214"/>
      <w:bookmarkStart w:name="_Toc55680011" w:id="215"/>
      <w:bookmarkStart w:name="_Toc55680094" w:id="216"/>
      <w:bookmarkStart w:name="_Toc55680335" w:id="217"/>
      <w:bookmarkStart w:name="_Toc55849874" w:id="218"/>
      <w:bookmarkStart w:name="_Toc56172628" w:id="219"/>
      <w:bookmarkStart w:name="_Toc56172713" w:id="220"/>
      <w:bookmarkStart w:name="_Toc74731943" w:id="221"/>
      <w:bookmarkEnd w:id="214"/>
      <w:bookmarkEnd w:id="215"/>
      <w:bookmarkEnd w:id="216"/>
      <w:bookmarkEnd w:id="217"/>
      <w:bookmarkEnd w:id="218"/>
      <w:bookmarkEnd w:id="219"/>
      <w:bookmarkEnd w:id="220"/>
      <w:bookmarkEnd w:id="221"/>
      <w:r w:rsidRPr="142DBD8A">
        <w:rPr>
          <w:rFonts w:cs="Open Sans"/>
        </w:rPr>
        <w:t>The Commission did not receive enough submissions to say whether obtaining written consent is standard practice in respect of people born with variations in sex characteristics.</w:t>
      </w:r>
    </w:p>
    <w:p w:rsidRPr="003C65F1" w:rsidR="005C4CC3" w:rsidP="005C4CC3" w:rsidRDefault="005C4CC3" w14:paraId="217D34FE" w14:textId="77777777">
      <w:pPr>
        <w:autoSpaceDE w:val="0"/>
        <w:autoSpaceDN w:val="0"/>
        <w:adjustRightInd w:val="0"/>
        <w:spacing w:before="0" w:after="0"/>
        <w:rPr>
          <w:rFonts w:cs="Open Sans"/>
        </w:rPr>
      </w:pPr>
    </w:p>
    <w:p w:rsidRPr="003C65F1" w:rsidR="005C4CC3" w:rsidP="005C4CC3" w:rsidRDefault="005C4CC3" w14:paraId="5B66A979" w14:textId="77777777">
      <w:pPr>
        <w:autoSpaceDE w:val="0"/>
        <w:autoSpaceDN w:val="0"/>
        <w:adjustRightInd w:val="0"/>
        <w:spacing w:before="0" w:after="0"/>
        <w:rPr>
          <w:rFonts w:cs="Open Sans"/>
        </w:rPr>
      </w:pPr>
      <w:r w:rsidRPr="003C65F1">
        <w:rPr>
          <w:rFonts w:cs="Open Sans"/>
        </w:rPr>
        <w:t xml:space="preserve">According to </w:t>
      </w:r>
      <w:r>
        <w:rPr>
          <w:rFonts w:cs="Open Sans"/>
        </w:rPr>
        <w:t xml:space="preserve">the </w:t>
      </w:r>
      <w:r w:rsidRPr="003C65F1">
        <w:rPr>
          <w:rFonts w:cs="Open Sans"/>
        </w:rPr>
        <w:t xml:space="preserve">Australian Commission on Safety and Quality in Health Care, there is no general legal requirement for consent to be written. It must only be written where </w:t>
      </w:r>
      <w:r>
        <w:rPr>
          <w:rFonts w:cs="Open Sans"/>
        </w:rPr>
        <w:t>‘</w:t>
      </w:r>
      <w:r w:rsidRPr="003C65F1">
        <w:rPr>
          <w:rFonts w:cs="Open Sans"/>
        </w:rPr>
        <w:t>required by law or by the policies of the state, territory or healthcare organisation where the person is receiving care and treatment</w:t>
      </w:r>
      <w:r>
        <w:rPr>
          <w:rFonts w:cs="Open Sans"/>
        </w:rPr>
        <w:t>’</w:t>
      </w:r>
      <w:r w:rsidRPr="003C65F1">
        <w:rPr>
          <w:rFonts w:cs="Open Sans"/>
        </w:rPr>
        <w:t>.</w:t>
      </w:r>
      <w:r w:rsidRPr="002434F7">
        <w:rPr>
          <w:rStyle w:val="EndnoteReference"/>
          <w:rFonts w:cs="Open Sans"/>
          <w:szCs w:val="20"/>
        </w:rPr>
        <w:endnoteReference w:id="199"/>
      </w:r>
      <w:r w:rsidRPr="002434F7">
        <w:rPr>
          <w:rFonts w:cs="Open Sans"/>
          <w:sz w:val="20"/>
          <w:szCs w:val="20"/>
        </w:rPr>
        <w:t xml:space="preserve"> </w:t>
      </w:r>
    </w:p>
    <w:p w:rsidRPr="00C80CC8" w:rsidR="005C4CC3" w:rsidP="005C4CC3" w:rsidRDefault="005C4CC3" w14:paraId="2D16A34E" w14:textId="0052657D">
      <w:pPr>
        <w:pStyle w:val="Heading4"/>
        <w:tabs>
          <w:tab w:val="clear" w:pos="851"/>
          <w:tab w:val="num" w:pos="1571"/>
        </w:tabs>
      </w:pPr>
      <w:bookmarkStart w:name="_Toc55576989" w:id="222"/>
      <w:bookmarkStart w:name="_Toc55680020" w:id="223"/>
      <w:bookmarkStart w:name="_Toc55680103" w:id="224"/>
      <w:bookmarkStart w:name="_Toc55680344" w:id="225"/>
      <w:bookmarkStart w:name="_Toc55849883" w:id="226"/>
      <w:bookmarkStart w:name="_Toc56172631" w:id="227"/>
      <w:bookmarkStart w:name="_Toc56172716" w:id="228"/>
      <w:bookmarkStart w:name="_Toc55576992" w:id="229"/>
      <w:bookmarkStart w:name="_Toc55680023" w:id="230"/>
      <w:bookmarkStart w:name="_Toc55680106" w:id="231"/>
      <w:bookmarkStart w:name="_Toc55680347" w:id="232"/>
      <w:bookmarkStart w:name="_Toc55849886" w:id="233"/>
      <w:bookmarkStart w:name="_Toc56172634" w:id="234"/>
      <w:bookmarkStart w:name="_Toc56172719" w:id="235"/>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5848C9">
        <w:t>Provision of information and hearing the views of children</w:t>
      </w:r>
    </w:p>
    <w:p w:rsidRPr="00605DF2" w:rsidR="005C4CC3" w:rsidP="005C4CC3" w:rsidRDefault="005C4CC3" w14:paraId="5883BD47" w14:textId="77777777">
      <w:pPr>
        <w:rPr>
          <w:i/>
          <w:iCs/>
          <w:highlight w:val="yellow"/>
        </w:rPr>
      </w:pPr>
      <w:r w:rsidRPr="00034692">
        <w:t xml:space="preserve">Clinician </w:t>
      </w:r>
      <w:r>
        <w:t>stakeholders</w:t>
      </w:r>
      <w:r w:rsidRPr="00034692">
        <w:t xml:space="preserve"> stated that they provide a variety of information to support </w:t>
      </w:r>
      <w:r>
        <w:t>legal guardians when making decisions affecting their children. C</w:t>
      </w:r>
      <w:r w:rsidRPr="00034692">
        <w:t xml:space="preserve">ontemporary practice </w:t>
      </w:r>
      <w:r>
        <w:t xml:space="preserve">was said to </w:t>
      </w:r>
      <w:r w:rsidRPr="00034692">
        <w:t xml:space="preserve">include explaining the particular variation, its </w:t>
      </w:r>
      <w:r>
        <w:t xml:space="preserve">health </w:t>
      </w:r>
      <w:r w:rsidRPr="00034692">
        <w:t xml:space="preserve">implications, as well as potential risks and benefits associated with all </w:t>
      </w:r>
      <w:r>
        <w:t xml:space="preserve">treatment </w:t>
      </w:r>
      <w:r w:rsidRPr="00034692">
        <w:t>options (including undertaking no intervention)</w:t>
      </w:r>
      <w:r>
        <w:t>.</w:t>
      </w:r>
      <w:r w:rsidRPr="0117CC5D">
        <w:rPr>
          <w:rStyle w:val="EndnoteReference"/>
          <w:rFonts w:cs="Open Sans"/>
        </w:rPr>
        <w:endnoteReference w:id="200"/>
      </w:r>
      <w:r w:rsidRPr="00A01483">
        <w:rPr>
          <w:sz w:val="20"/>
          <w:szCs w:val="20"/>
        </w:rPr>
        <w:t xml:space="preserve"> </w:t>
      </w:r>
      <w:r>
        <w:t>These explanations include information about what is</w:t>
      </w:r>
      <w:r w:rsidRPr="00034692">
        <w:t xml:space="preserve"> medically known and what is currently unknown about diagnoses, intervention options and their respective risks and </w:t>
      </w:r>
      <w:r w:rsidRPr="00034692">
        <w:lastRenderedPageBreak/>
        <w:t>benefits, and the risks and benefits of deferring interventions and the expected consequences if no treatment is provided.</w:t>
      </w:r>
      <w:r w:rsidRPr="0117CC5D">
        <w:rPr>
          <w:rStyle w:val="EndnoteReference"/>
          <w:rFonts w:cs="Open Sans"/>
        </w:rPr>
        <w:endnoteReference w:id="201"/>
      </w:r>
      <w:r w:rsidRPr="00023A7B">
        <w:t xml:space="preserve"> </w:t>
      </w:r>
    </w:p>
    <w:p w:rsidR="005C4CC3" w:rsidP="005C4CC3" w:rsidRDefault="005C4CC3" w14:paraId="510133BE" w14:textId="77777777">
      <w:pPr>
        <w:rPr>
          <w:rFonts w:cs="Open Sans"/>
          <w:strike/>
        </w:rPr>
      </w:pPr>
      <w:r>
        <w:rPr>
          <w:rFonts w:cs="Open Sans"/>
        </w:rPr>
        <w:t xml:space="preserve">One </w:t>
      </w:r>
      <w:r w:rsidRPr="000F6C9D">
        <w:rPr>
          <w:rFonts w:cs="Open Sans"/>
        </w:rPr>
        <w:t>hospital multi-disciplinary team</w:t>
      </w:r>
      <w:r w:rsidRPr="00B73262" w:rsidDel="00D865B6">
        <w:rPr>
          <w:rFonts w:cs="Open Sans"/>
        </w:rPr>
        <w:t xml:space="preserve"> </w:t>
      </w:r>
      <w:r w:rsidRPr="00B73262">
        <w:rPr>
          <w:rFonts w:cs="Open Sans"/>
        </w:rPr>
        <w:t xml:space="preserve">reported that </w:t>
      </w:r>
      <w:r>
        <w:rPr>
          <w:rFonts w:cs="Open Sans"/>
        </w:rPr>
        <w:t>it</w:t>
      </w:r>
      <w:r w:rsidRPr="00B73262">
        <w:rPr>
          <w:rFonts w:cs="Open Sans"/>
        </w:rPr>
        <w:t xml:space="preserve"> provide</w:t>
      </w:r>
      <w:r>
        <w:rPr>
          <w:rFonts w:cs="Open Sans"/>
        </w:rPr>
        <w:t>s legal guardians with</w:t>
      </w:r>
      <w:r w:rsidRPr="00B73262">
        <w:rPr>
          <w:rFonts w:cs="Open Sans"/>
        </w:rPr>
        <w:t xml:space="preserve"> available</w:t>
      </w:r>
      <w:r>
        <w:rPr>
          <w:rFonts w:cs="Open Sans"/>
        </w:rPr>
        <w:t xml:space="preserve"> medical</w:t>
      </w:r>
      <w:r w:rsidRPr="00B73262">
        <w:rPr>
          <w:rFonts w:cs="Open Sans"/>
        </w:rPr>
        <w:t xml:space="preserve"> literature and educational materials, as well as contact details for support groups</w:t>
      </w:r>
      <w:r>
        <w:rPr>
          <w:rFonts w:cs="Open Sans"/>
        </w:rPr>
        <w:t>.</w:t>
      </w:r>
      <w:r w:rsidRPr="0117CC5D">
        <w:rPr>
          <w:rStyle w:val="EndnoteReference"/>
          <w:rFonts w:cs="Open Sans"/>
        </w:rPr>
        <w:endnoteReference w:id="202"/>
      </w:r>
      <w:r w:rsidRPr="00A01483">
        <w:rPr>
          <w:rFonts w:cs="Open Sans"/>
          <w:sz w:val="20"/>
          <w:szCs w:val="20"/>
        </w:rPr>
        <w:t xml:space="preserve"> </w:t>
      </w:r>
    </w:p>
    <w:p w:rsidRPr="00EA262F" w:rsidR="005C4CC3" w:rsidP="005C4CC3" w:rsidRDefault="005C4CC3" w14:paraId="362AEFE4" w14:textId="77777777">
      <w:r>
        <w:t>Doctors also indicated that they recognise the need to involve children in decision making that affects them, and that they provide age-appropriate information to children.</w:t>
      </w:r>
      <w:r w:rsidRPr="0117CC5D">
        <w:rPr>
          <w:rStyle w:val="EndnoteReference"/>
        </w:rPr>
        <w:endnoteReference w:id="203"/>
      </w:r>
      <w:r>
        <w:t xml:space="preserve"> </w:t>
      </w:r>
    </w:p>
    <w:p w:rsidR="005C4CC3" w:rsidP="005C4CC3" w:rsidRDefault="005C4CC3" w14:paraId="2841DEF0" w14:textId="77777777">
      <w:r w:rsidRPr="142DBD8A">
        <w:rPr>
          <w:rFonts w:cs="Open Sans"/>
        </w:rPr>
        <w:t>The information doctors provide will vary depending on the variation and the proposed intervention. In the context of proposed surgery, the Western Australian Multidisciplinary DSD Team</w:t>
      </w:r>
      <w:r>
        <w:t>, remarked:</w:t>
      </w:r>
    </w:p>
    <w:p w:rsidR="005C4CC3" w:rsidP="005C4CC3" w:rsidRDefault="005C4CC3" w14:paraId="02126041" w14:textId="77777777">
      <w:pPr>
        <w:ind w:left="720"/>
      </w:pPr>
      <w:r w:rsidRPr="00DC4865">
        <w:rPr>
          <w:sz w:val="22"/>
          <w:szCs w:val="22"/>
        </w:rPr>
        <w:t>The indication for any surgical treatment is carefully discussed by all members of the DSD Multidisciplinary team and the child (if of an appropriate age of understanding), and parents</w:t>
      </w:r>
      <w:r>
        <w:rPr>
          <w:sz w:val="22"/>
          <w:szCs w:val="22"/>
        </w:rPr>
        <w:t>.</w:t>
      </w:r>
      <w:r w:rsidRPr="0117CC5D">
        <w:rPr>
          <w:rStyle w:val="EndnoteReference"/>
        </w:rPr>
        <w:endnoteReference w:id="204"/>
      </w:r>
    </w:p>
    <w:p w:rsidRPr="00B6644F" w:rsidR="005C4CC3" w:rsidP="005C4CC3" w:rsidRDefault="005C4CC3" w14:paraId="16034088" w14:textId="77777777">
      <w:r>
        <w:t>It</w:t>
      </w:r>
      <w:r w:rsidRPr="00B6644F">
        <w:t xml:space="preserve"> also stated:</w:t>
      </w:r>
    </w:p>
    <w:p w:rsidR="005C4CC3" w:rsidP="005C4CC3" w:rsidRDefault="005C4CC3" w14:paraId="15CF6D9D" w14:textId="77777777">
      <w:pPr>
        <w:ind w:left="720"/>
        <w:rPr>
          <w:sz w:val="22"/>
          <w:szCs w:val="22"/>
        </w:rPr>
      </w:pPr>
      <w:r w:rsidRPr="00B6644F">
        <w:rPr>
          <w:sz w:val="22"/>
          <w:szCs w:val="22"/>
        </w:rPr>
        <w:t>If the child is older at diagnosis, and able to understand the underlying problem and possible treatments, the young person’s views, gender identity and wishes are an integral part of the decision-making process.</w:t>
      </w:r>
      <w:r w:rsidRPr="0117CC5D">
        <w:rPr>
          <w:rStyle w:val="EndnoteReference"/>
        </w:rPr>
        <w:endnoteReference w:id="205"/>
      </w:r>
    </w:p>
    <w:p w:rsidR="005C4CC3" w:rsidP="005C4CC3" w:rsidRDefault="005C4CC3" w14:paraId="51ACE019" w14:textId="77777777">
      <w:r>
        <w:t xml:space="preserve">APEG described how information is provided in the context of proposed hormone treatment: </w:t>
      </w:r>
    </w:p>
    <w:p w:rsidRPr="00B6644F" w:rsidR="005C4CC3" w:rsidP="005C4CC3" w:rsidRDefault="005C4CC3" w14:paraId="701E0488" w14:textId="77777777">
      <w:pPr>
        <w:ind w:left="720"/>
        <w:rPr>
          <w:sz w:val="22"/>
          <w:szCs w:val="22"/>
        </w:rPr>
      </w:pPr>
      <w:r w:rsidRPr="000D259B">
        <w:rPr>
          <w:sz w:val="22"/>
          <w:szCs w:val="22"/>
        </w:rPr>
        <w:t>The proposed hormonal treatment/reasons for recommending hormone replacement therapy and its anticipated effects are also described in age appropriate terms to the young person and their understanding of this assessed. Written/picture-based resources may also assist in aiding understanding. Pubertal hormone therapies are prescribed in many forms which involve the young person’s active involvement (and hence ongoing assent) in the process (eg swallowing tablets/applying patches/attending for intramuscular injections). Typically young people on hormone therapies have regular medical reviews to allow monitoring of effects and wellbeing, further discussions/adjustments and at any stage a young person is free to opt to discontinue therapy or discuss alternative options with their treating team.</w:t>
      </w:r>
      <w:r w:rsidRPr="0117CC5D">
        <w:rPr>
          <w:rStyle w:val="EndnoteReference"/>
        </w:rPr>
        <w:endnoteReference w:id="206"/>
      </w:r>
    </w:p>
    <w:p w:rsidRPr="005C324A" w:rsidR="005C4CC3" w:rsidP="005C4CC3" w:rsidRDefault="005C4CC3" w14:paraId="4AA0D35C" w14:textId="77777777">
      <w:pPr>
        <w:rPr>
          <w:rFonts w:cs="Open Sans"/>
        </w:rPr>
      </w:pPr>
      <w:r>
        <w:rPr>
          <w:rFonts w:cs="Open Sans"/>
        </w:rPr>
        <w:lastRenderedPageBreak/>
        <w:t>In recognition of the importance of children participating in making decisions that affect them, s</w:t>
      </w:r>
      <w:r w:rsidRPr="005C324A">
        <w:rPr>
          <w:rFonts w:cs="Open Sans"/>
        </w:rPr>
        <w:t xml:space="preserve">ome clinicians </w:t>
      </w:r>
      <w:r>
        <w:rPr>
          <w:rFonts w:cs="Open Sans"/>
        </w:rPr>
        <w:t>expressed</w:t>
      </w:r>
      <w:r w:rsidRPr="005C324A">
        <w:rPr>
          <w:rFonts w:cs="Open Sans"/>
        </w:rPr>
        <w:t xml:space="preserve"> support </w:t>
      </w:r>
      <w:r>
        <w:rPr>
          <w:rFonts w:cs="Open Sans"/>
        </w:rPr>
        <w:t xml:space="preserve">for </w:t>
      </w:r>
      <w:r w:rsidRPr="005C324A">
        <w:rPr>
          <w:rFonts w:cs="Open Sans"/>
        </w:rPr>
        <w:t xml:space="preserve">delaying surgical intervention </w:t>
      </w:r>
      <w:r>
        <w:rPr>
          <w:rFonts w:cs="Open Sans"/>
        </w:rPr>
        <w:t>in instances where it is not medically necessary.</w:t>
      </w:r>
      <w:r w:rsidRPr="001904B1">
        <w:rPr>
          <w:sz w:val="22"/>
          <w:szCs w:val="22"/>
          <w:vertAlign w:val="superscript"/>
        </w:rPr>
        <w:endnoteReference w:id="207"/>
      </w:r>
      <w:r w:rsidRPr="005C324A">
        <w:rPr>
          <w:rFonts w:cs="Open Sans"/>
        </w:rPr>
        <w:t xml:space="preserve"> </w:t>
      </w:r>
      <w:r w:rsidRPr="00D54071">
        <w:rPr>
          <w:rFonts w:cs="Open Sans"/>
        </w:rPr>
        <w:t>The NHMRC Funded Program stated that there is a growing awareness that some</w:t>
      </w:r>
      <w:r w:rsidRPr="005C324A">
        <w:rPr>
          <w:rFonts w:cs="Open Sans"/>
        </w:rPr>
        <w:t xml:space="preserve"> issues present no immediate medical concern, </w:t>
      </w:r>
      <w:r>
        <w:rPr>
          <w:rFonts w:cs="Open Sans"/>
        </w:rPr>
        <w:t>so</w:t>
      </w:r>
      <w:r w:rsidRPr="005C324A">
        <w:rPr>
          <w:rFonts w:cs="Open Sans"/>
        </w:rPr>
        <w:t xml:space="preserve"> any intervention can be deferred until the child’s development is clearer and the child can participate in decision</w:t>
      </w:r>
      <w:r>
        <w:rPr>
          <w:rFonts w:cs="Open Sans"/>
        </w:rPr>
        <w:t xml:space="preserve"> </w:t>
      </w:r>
      <w:r w:rsidRPr="005C324A">
        <w:rPr>
          <w:rFonts w:cs="Open Sans"/>
        </w:rPr>
        <w:t>making about potential interventions.</w:t>
      </w:r>
      <w:r w:rsidRPr="005C324A">
        <w:rPr>
          <w:rStyle w:val="EndnoteReference"/>
          <w:rFonts w:cs="Open Sans"/>
        </w:rPr>
        <w:endnoteReference w:id="208"/>
      </w:r>
      <w:r>
        <w:rPr>
          <w:rFonts w:cs="Open Sans"/>
        </w:rPr>
        <w:t xml:space="preserve"> The issue of delaying non-essential interventions is discussed </w:t>
      </w:r>
      <w:r w:rsidRPr="00EE3A6F">
        <w:rPr>
          <w:rFonts w:cs="Open Sans"/>
        </w:rPr>
        <w:t xml:space="preserve">further in Chapter 5 – </w:t>
      </w:r>
      <w:r>
        <w:rPr>
          <w:rFonts w:cs="Open Sans"/>
        </w:rPr>
        <w:t>Medical necessity of</w:t>
      </w:r>
      <w:r w:rsidRPr="007175D6">
        <w:rPr>
          <w:rFonts w:cs="Open Sans"/>
        </w:rPr>
        <w:t xml:space="preserve"> </w:t>
      </w:r>
      <w:r>
        <w:rPr>
          <w:rFonts w:cs="Open Sans"/>
        </w:rPr>
        <w:t>i</w:t>
      </w:r>
      <w:r w:rsidRPr="007175D6">
        <w:rPr>
          <w:rFonts w:cs="Open Sans"/>
        </w:rPr>
        <w:t>ntervention</w:t>
      </w:r>
      <w:r>
        <w:rPr>
          <w:rFonts w:cs="Open Sans"/>
        </w:rPr>
        <w:t>s</w:t>
      </w:r>
      <w:r w:rsidRPr="00EE3A6F">
        <w:rPr>
          <w:rFonts w:cs="Open Sans"/>
        </w:rPr>
        <w:t>.</w:t>
      </w:r>
    </w:p>
    <w:p w:rsidRPr="00726FA5" w:rsidR="005C4CC3" w:rsidP="005C4CC3" w:rsidRDefault="005C4CC3" w14:paraId="16D9574D" w14:textId="77777777">
      <w:pPr>
        <w:pStyle w:val="Heading3"/>
        <w:tabs>
          <w:tab w:val="clear" w:pos="851"/>
          <w:tab w:val="num" w:pos="1571"/>
        </w:tabs>
      </w:pPr>
      <w:bookmarkStart w:name="_Toc80096982" w:id="236"/>
      <w:bookmarkStart w:name="_Toc85541419" w:id="237"/>
      <w:r w:rsidRPr="00321DE1">
        <w:t>Experience of people born with variations in sex characteristics</w:t>
      </w:r>
      <w:bookmarkEnd w:id="236"/>
      <w:bookmarkEnd w:id="237"/>
    </w:p>
    <w:p w:rsidRPr="001221B5" w:rsidR="005C4CC3" w:rsidP="005C4CC3" w:rsidRDefault="005C4CC3" w14:paraId="2AF6E783" w14:textId="77777777">
      <w:pPr>
        <w:rPr>
          <w:rFonts w:cs="Open Sans"/>
        </w:rPr>
      </w:pPr>
      <w:r>
        <w:rPr>
          <w:rFonts w:cs="Open Sans"/>
        </w:rPr>
        <w:t>In submissions, several people</w:t>
      </w:r>
      <w:r w:rsidRPr="006F31B4">
        <w:rPr>
          <w:rFonts w:cs="Open Sans"/>
        </w:rPr>
        <w:t xml:space="preserve"> born with variations in sex characteristics expressed dissa</w:t>
      </w:r>
      <w:r w:rsidRPr="009D7CE4">
        <w:rPr>
          <w:rFonts w:cs="Open Sans"/>
        </w:rPr>
        <w:t>tisfaction with information provision and the decision-making processes relating to their bodies, both as children and adults</w:t>
      </w:r>
      <w:r w:rsidRPr="006F31B4">
        <w:rPr>
          <w:rFonts w:cs="Open Sans"/>
        </w:rPr>
        <w:t>.</w:t>
      </w:r>
    </w:p>
    <w:p w:rsidR="005C4CC3" w:rsidP="005C4CC3" w:rsidRDefault="005C4CC3" w14:paraId="5D1C4B74" w14:textId="77777777">
      <w:r>
        <w:t>Consultation participants reported a</w:t>
      </w:r>
      <w:r w:rsidRPr="005C324A">
        <w:t xml:space="preserve"> lack of information provided about their variation by healthcare workers</w:t>
      </w:r>
      <w:r>
        <w:t>. Some of these concerns related to their receiving insufficient explanation and information at the time an intervention was performed on them, meaning that they were not meaningfully able to provide consent or, as children, participate in decision making.</w:t>
      </w:r>
      <w:r w:rsidRPr="0117CC5D">
        <w:rPr>
          <w:rStyle w:val="EndnoteReference"/>
          <w:rFonts w:cs="Open Sans"/>
        </w:rPr>
        <w:endnoteReference w:id="209"/>
      </w:r>
      <w:r w:rsidRPr="00EE3A6F">
        <w:rPr>
          <w:sz w:val="20"/>
          <w:szCs w:val="20"/>
        </w:rPr>
        <w:t xml:space="preserve"> </w:t>
      </w:r>
      <w:r>
        <w:t xml:space="preserve">Others reported </w:t>
      </w:r>
      <w:r w:rsidRPr="005C324A">
        <w:t xml:space="preserve">a lack of explanation and information </w:t>
      </w:r>
      <w:r>
        <w:t xml:space="preserve">at times after an intervention, </w:t>
      </w:r>
      <w:r w:rsidRPr="005C324A">
        <w:t xml:space="preserve">leading to </w:t>
      </w:r>
      <w:r>
        <w:t xml:space="preserve">them </w:t>
      </w:r>
      <w:r w:rsidRPr="005C324A">
        <w:t>lack</w:t>
      </w:r>
      <w:r>
        <w:t>ing</w:t>
      </w:r>
      <w:r w:rsidRPr="005C324A">
        <w:t xml:space="preserve"> knowledge about their body and what may have been done to it.</w:t>
      </w:r>
      <w:r w:rsidRPr="0117CC5D">
        <w:rPr>
          <w:rStyle w:val="EndnoteReference"/>
          <w:rFonts w:cs="Open Sans"/>
        </w:rPr>
        <w:endnoteReference w:id="210"/>
      </w:r>
    </w:p>
    <w:p w:rsidR="005C4CC3" w:rsidP="005C4CC3" w:rsidRDefault="005C4CC3" w14:paraId="21878A31" w14:textId="5FDF983B">
      <w:pPr>
        <w:rPr>
          <w:sz w:val="20"/>
          <w:szCs w:val="20"/>
        </w:rPr>
      </w:pPr>
      <w:r>
        <w:t>Of the experiences reported to the Commission about a lack of information, and lack of meaningful participation in decision making, most related to interventions performed on stakeholders as children.</w:t>
      </w:r>
      <w:r w:rsidRPr="0117CC5D">
        <w:rPr>
          <w:rStyle w:val="EndnoteReference"/>
          <w:rFonts w:cs="Open Sans"/>
        </w:rPr>
        <w:endnoteReference w:id="211"/>
      </w:r>
      <w:r w:rsidRPr="00206B9D">
        <w:rPr>
          <w:sz w:val="20"/>
          <w:szCs w:val="20"/>
        </w:rPr>
        <w:t xml:space="preserve"> </w:t>
      </w:r>
      <w:r w:rsidR="00C162C3">
        <w:t>The ongoing</w:t>
      </w:r>
      <w:r w:rsidRPr="000A68D2" w:rsidR="00F24489">
        <w:t xml:space="preserve"> impacts of not feeling that they </w:t>
      </w:r>
      <w:r w:rsidR="009D38B0">
        <w:t xml:space="preserve">were </w:t>
      </w:r>
      <w:r w:rsidRPr="000A68D2" w:rsidR="00F24489">
        <w:t xml:space="preserve">informed or included </w:t>
      </w:r>
      <w:r w:rsidR="00C162C3">
        <w:t xml:space="preserve">and </w:t>
      </w:r>
      <w:r w:rsidRPr="000A68D2" w:rsidR="00F24489">
        <w:t xml:space="preserve">that things were </w:t>
      </w:r>
      <w:r w:rsidR="009D38B0">
        <w:t>‘</w:t>
      </w:r>
      <w:r w:rsidRPr="000A68D2" w:rsidR="00F24489">
        <w:t>done to them</w:t>
      </w:r>
      <w:r w:rsidR="009D38B0">
        <w:t>’</w:t>
      </w:r>
      <w:r w:rsidRPr="000A68D2" w:rsidR="00F24489">
        <w:t xml:space="preserve"> can be quite profound.</w:t>
      </w:r>
    </w:p>
    <w:p w:rsidR="005C4CC3" w:rsidP="005C4CC3" w:rsidRDefault="005C4CC3" w14:paraId="67CD469A" w14:textId="77777777">
      <w:pPr>
        <w:pStyle w:val="Heading4"/>
        <w:tabs>
          <w:tab w:val="clear" w:pos="851"/>
          <w:tab w:val="num" w:pos="1571"/>
        </w:tabs>
      </w:pPr>
      <w:r>
        <w:t>Exclusion of children from discussion</w:t>
      </w:r>
    </w:p>
    <w:p w:rsidR="005C4CC3" w:rsidP="005C4CC3" w:rsidRDefault="005C4CC3" w14:paraId="491A62C1" w14:textId="77777777">
      <w:pPr>
        <w:rPr>
          <w:rFonts w:cs="Open Sans"/>
        </w:rPr>
      </w:pPr>
      <w:r>
        <w:rPr>
          <w:rFonts w:cs="Open Sans"/>
        </w:rPr>
        <w:t>Some</w:t>
      </w:r>
      <w:r w:rsidRPr="00902EC4">
        <w:rPr>
          <w:rFonts w:cs="Open Sans"/>
        </w:rPr>
        <w:t xml:space="preserve"> people</w:t>
      </w:r>
      <w:r>
        <w:rPr>
          <w:rFonts w:cs="Open Sans"/>
        </w:rPr>
        <w:t xml:space="preserve"> born with variations in sex characteristics reported that they were excluded from medical discussions when they were under 18 years and were not </w:t>
      </w:r>
      <w:r>
        <w:rPr>
          <w:rFonts w:cs="Open Sans"/>
        </w:rPr>
        <w:lastRenderedPageBreak/>
        <w:t xml:space="preserve">involved in making decisions about their treatment. For example, one person reported: </w:t>
      </w:r>
    </w:p>
    <w:p w:rsidRPr="00F85FED" w:rsidR="005C4CC3" w:rsidP="005C4CC3" w:rsidRDefault="005C4CC3" w14:paraId="144B53AB" w14:textId="77777777">
      <w:pPr>
        <w:ind w:left="720"/>
        <w:rPr>
          <w:rFonts w:cs="Open Sans"/>
          <w:sz w:val="22"/>
          <w:szCs w:val="22"/>
        </w:rPr>
      </w:pPr>
      <w:r w:rsidRPr="00F85FED">
        <w:rPr>
          <w:rFonts w:cs="Open Sans"/>
          <w:sz w:val="22"/>
          <w:szCs w:val="22"/>
        </w:rPr>
        <w:t xml:space="preserve">my doctor talking to my parents and I would be in the other room and it would be like, oh James </w:t>
      </w:r>
      <w:r>
        <w:rPr>
          <w:rFonts w:cs="Open Sans"/>
          <w:sz w:val="22"/>
          <w:szCs w:val="22"/>
        </w:rPr>
        <w:t>[</w:t>
      </w:r>
      <w:r w:rsidRPr="00F85FED">
        <w:rPr>
          <w:rFonts w:cs="Open Sans"/>
          <w:sz w:val="22"/>
          <w:szCs w:val="22"/>
        </w:rPr>
        <w:t>name changed</w:t>
      </w:r>
      <w:r>
        <w:rPr>
          <w:rFonts w:cs="Open Sans"/>
        </w:rPr>
        <w:t>]</w:t>
      </w:r>
      <w:r w:rsidRPr="00F85FED">
        <w:rPr>
          <w:rFonts w:cs="Open Sans"/>
          <w:sz w:val="22"/>
          <w:szCs w:val="22"/>
        </w:rPr>
        <w:t>, could you just go out of the room for a bit sort of thing</w:t>
      </w:r>
      <w:r>
        <w:rPr>
          <w:rFonts w:cs="Open Sans"/>
          <w:sz w:val="22"/>
          <w:szCs w:val="22"/>
        </w:rPr>
        <w:t xml:space="preserve"> </w:t>
      </w:r>
      <w:r w:rsidRPr="00F85FED">
        <w:rPr>
          <w:rFonts w:cs="Open Sans"/>
          <w:sz w:val="22"/>
          <w:szCs w:val="22"/>
        </w:rPr>
        <w:t>… I dunno they would always do this sort of thing when I was 15 or 14 or whatever.</w:t>
      </w:r>
      <w:r w:rsidRPr="0117CC5D">
        <w:rPr>
          <w:rStyle w:val="EndnoteReference"/>
          <w:rFonts w:cs="Open Sans"/>
        </w:rPr>
        <w:endnoteReference w:id="212"/>
      </w:r>
    </w:p>
    <w:p w:rsidRPr="008F6E37" w:rsidR="005C4CC3" w:rsidP="005C4CC3" w:rsidRDefault="005C4CC3" w14:paraId="28D57A86" w14:textId="77777777">
      <w:pPr>
        <w:rPr>
          <w:rFonts w:cs="Open Sans"/>
        </w:rPr>
      </w:pPr>
      <w:r w:rsidRPr="008F6E37">
        <w:rPr>
          <w:rFonts w:cs="Open Sans"/>
        </w:rPr>
        <w:t xml:space="preserve">Another described </w:t>
      </w:r>
      <w:r>
        <w:rPr>
          <w:rFonts w:cs="Open Sans"/>
        </w:rPr>
        <w:t xml:space="preserve">their </w:t>
      </w:r>
      <w:r w:rsidRPr="008F6E37">
        <w:rPr>
          <w:rFonts w:cs="Open Sans"/>
        </w:rPr>
        <w:t xml:space="preserve">similar experience of exclusion: </w:t>
      </w:r>
    </w:p>
    <w:p w:rsidRPr="00F85FED" w:rsidR="005C4CC3" w:rsidP="005C4CC3" w:rsidRDefault="005C4CC3" w14:paraId="20CA3163" w14:textId="77777777">
      <w:pPr>
        <w:ind w:left="720"/>
        <w:rPr>
          <w:rFonts w:cs="Open Sans"/>
          <w:sz w:val="22"/>
          <w:szCs w:val="22"/>
        </w:rPr>
      </w:pPr>
      <w:r w:rsidRPr="00F85FED">
        <w:rPr>
          <w:rFonts w:cs="Open Sans"/>
          <w:sz w:val="22"/>
          <w:szCs w:val="22"/>
        </w:rPr>
        <w:t>There was zero psychosocial support, or even counselling, there was no discussion, I was a minor, as far they were concerned, my parents and the doctor made the decision. Even though when I finished being in his care, I was 16 or 17, he could easily have spoken to me, he did not speak one single word to me when I was in his office on my own.</w:t>
      </w:r>
      <w:r w:rsidRPr="0117CC5D">
        <w:rPr>
          <w:rStyle w:val="EndnoteReference"/>
          <w:rFonts w:cs="Open Sans"/>
        </w:rPr>
        <w:endnoteReference w:id="213"/>
      </w:r>
    </w:p>
    <w:p w:rsidR="005C4CC3" w:rsidP="005C4CC3" w:rsidRDefault="005C4CC3" w14:paraId="07D55A1E" w14:textId="77777777">
      <w:pPr>
        <w:rPr>
          <w:rFonts w:cs="Open Sans"/>
        </w:rPr>
      </w:pPr>
      <w:r>
        <w:rPr>
          <w:rFonts w:cs="Open Sans"/>
        </w:rPr>
        <w:t>Similarly, one person said:</w:t>
      </w:r>
    </w:p>
    <w:p w:rsidRPr="008E2313" w:rsidR="005C4CC3" w:rsidP="005C4CC3" w:rsidRDefault="005C4CC3" w14:paraId="1EEED863" w14:textId="77777777">
      <w:pPr>
        <w:ind w:left="720"/>
        <w:rPr>
          <w:rFonts w:cs="Open Sans"/>
          <w:sz w:val="20"/>
          <w:szCs w:val="20"/>
        </w:rPr>
      </w:pPr>
      <w:r w:rsidRPr="00F85FED">
        <w:rPr>
          <w:rFonts w:cs="Open Sans"/>
          <w:sz w:val="22"/>
          <w:szCs w:val="22"/>
        </w:rPr>
        <w:t xml:space="preserve">As a teenager I experienced no consent. Consent was only apparently required via my father and stepmother. I was not included in anything during my </w:t>
      </w:r>
      <w:r>
        <w:rPr>
          <w:rFonts w:cs="Open Sans"/>
          <w:sz w:val="22"/>
          <w:szCs w:val="22"/>
        </w:rPr>
        <w:t>[doctor’s]</w:t>
      </w:r>
      <w:r w:rsidRPr="00001D6A">
        <w:rPr>
          <w:rFonts w:cs="Open Sans"/>
          <w:sz w:val="22"/>
          <w:szCs w:val="22"/>
        </w:rPr>
        <w:t xml:space="preserve"> appointments</w:t>
      </w:r>
      <w:r w:rsidRPr="008E2313">
        <w:rPr>
          <w:rFonts w:cs="Open Sans"/>
          <w:sz w:val="20"/>
          <w:szCs w:val="20"/>
        </w:rPr>
        <w:t>.</w:t>
      </w:r>
      <w:r w:rsidRPr="0117CC5D">
        <w:rPr>
          <w:rStyle w:val="EndnoteReference"/>
          <w:rFonts w:cs="Open Sans"/>
        </w:rPr>
        <w:endnoteReference w:id="214"/>
      </w:r>
    </w:p>
    <w:p w:rsidR="005C4CC3" w:rsidP="005C4CC3" w:rsidRDefault="005C4CC3" w14:paraId="4BF01D3D" w14:textId="77777777">
      <w:pPr>
        <w:rPr>
          <w:rFonts w:cs="Open Sans"/>
        </w:rPr>
      </w:pPr>
      <w:r>
        <w:rPr>
          <w:rFonts w:cs="Open Sans"/>
        </w:rPr>
        <w:t>Another person born with a variation in sex characteristics stated:</w:t>
      </w:r>
    </w:p>
    <w:p w:rsidRPr="00001D6A" w:rsidR="005C4CC3" w:rsidP="005C4CC3" w:rsidRDefault="005C4CC3" w14:paraId="559E8DBE" w14:textId="77777777">
      <w:pPr>
        <w:ind w:left="720"/>
        <w:rPr>
          <w:rFonts w:cs="Open Sans"/>
          <w:sz w:val="22"/>
          <w:szCs w:val="22"/>
        </w:rPr>
      </w:pPr>
      <w:r w:rsidRPr="00001D6A">
        <w:rPr>
          <w:rFonts w:cs="Open Sans"/>
          <w:sz w:val="22"/>
          <w:szCs w:val="22"/>
        </w:rPr>
        <w:t>I was not at all in touch with the decisions that were being made on behalf of me and I wasn</w:t>
      </w:r>
      <w:r>
        <w:rPr>
          <w:rFonts w:cs="Open Sans"/>
          <w:sz w:val="22"/>
          <w:szCs w:val="22"/>
        </w:rPr>
        <w:t>’</w:t>
      </w:r>
      <w:r w:rsidRPr="00001D6A">
        <w:rPr>
          <w:rFonts w:cs="Open Sans"/>
          <w:sz w:val="22"/>
          <w:szCs w:val="22"/>
        </w:rPr>
        <w:t>t aware, I just had no awareness of anything like that. You know this is the way it has to happen and this is the way it has to be.</w:t>
      </w:r>
      <w:r w:rsidRPr="0117CC5D">
        <w:rPr>
          <w:rStyle w:val="EndnoteReference"/>
          <w:rFonts w:cs="Open Sans"/>
        </w:rPr>
        <w:endnoteReference w:id="215"/>
      </w:r>
    </w:p>
    <w:p w:rsidR="005C4CC3" w:rsidP="005C4CC3" w:rsidRDefault="005C4CC3" w14:paraId="3EB09108" w14:textId="77777777">
      <w:pPr>
        <w:pStyle w:val="Heading4"/>
        <w:tabs>
          <w:tab w:val="clear" w:pos="851"/>
          <w:tab w:val="num" w:pos="1571"/>
        </w:tabs>
      </w:pPr>
      <w:r>
        <w:t>Pressure to consent</w:t>
      </w:r>
    </w:p>
    <w:p w:rsidRPr="00290781" w:rsidR="005C4CC3" w:rsidP="005C4CC3" w:rsidRDefault="005C4CC3" w14:paraId="16B8C609" w14:textId="77777777">
      <w:pPr>
        <w:rPr>
          <w:rFonts w:cs="Open Sans"/>
        </w:rPr>
      </w:pPr>
      <w:r>
        <w:rPr>
          <w:rFonts w:cs="Open Sans"/>
        </w:rPr>
        <w:t>Some p</w:t>
      </w:r>
      <w:r w:rsidRPr="005C324A">
        <w:rPr>
          <w:rFonts w:cs="Open Sans"/>
        </w:rPr>
        <w:t xml:space="preserve">eople </w:t>
      </w:r>
      <w:r>
        <w:rPr>
          <w:rFonts w:cs="Open Sans"/>
        </w:rPr>
        <w:t>born with variations in sex characteristics</w:t>
      </w:r>
      <w:r w:rsidRPr="005C324A">
        <w:rPr>
          <w:rFonts w:cs="Open Sans"/>
        </w:rPr>
        <w:t xml:space="preserve"> stated that </w:t>
      </w:r>
      <w:r>
        <w:rPr>
          <w:rFonts w:cs="Open Sans"/>
        </w:rPr>
        <w:t xml:space="preserve">they had some involvement in decision making </w:t>
      </w:r>
      <w:r w:rsidRPr="005C324A">
        <w:rPr>
          <w:rFonts w:cs="Open Sans"/>
        </w:rPr>
        <w:t>as children</w:t>
      </w:r>
      <w:r>
        <w:rPr>
          <w:rFonts w:cs="Open Sans"/>
        </w:rPr>
        <w:t>, but</w:t>
      </w:r>
      <w:r w:rsidDel="00CB6774">
        <w:rPr>
          <w:rFonts w:cs="Open Sans"/>
        </w:rPr>
        <w:t xml:space="preserve"> </w:t>
      </w:r>
      <w:r>
        <w:rPr>
          <w:rFonts w:cs="Open Sans"/>
        </w:rPr>
        <w:t>they had</w:t>
      </w:r>
      <w:r w:rsidRPr="005C324A">
        <w:rPr>
          <w:rFonts w:cs="Open Sans"/>
        </w:rPr>
        <w:t xml:space="preserve"> fel</w:t>
      </w:r>
      <w:r>
        <w:rPr>
          <w:rFonts w:cs="Open Sans"/>
        </w:rPr>
        <w:t>t</w:t>
      </w:r>
      <w:r w:rsidRPr="005C324A">
        <w:rPr>
          <w:rFonts w:cs="Open Sans"/>
        </w:rPr>
        <w:t xml:space="preserve"> coerced</w:t>
      </w:r>
      <w:r>
        <w:rPr>
          <w:rFonts w:cs="Open Sans"/>
        </w:rPr>
        <w:t xml:space="preserve"> or pressured to assent to medical treatment.</w:t>
      </w:r>
      <w:r w:rsidRPr="005C324A">
        <w:rPr>
          <w:rFonts w:cs="Open Sans"/>
        </w:rPr>
        <w:t xml:space="preserve"> </w:t>
      </w:r>
      <w:r w:rsidRPr="00290781">
        <w:rPr>
          <w:rFonts w:cs="Open Sans"/>
        </w:rPr>
        <w:t>One person</w:t>
      </w:r>
      <w:r>
        <w:rPr>
          <w:rFonts w:cs="Open Sans"/>
        </w:rPr>
        <w:t xml:space="preserve"> stated</w:t>
      </w:r>
      <w:r w:rsidRPr="00290781">
        <w:rPr>
          <w:rFonts w:cs="Open Sans"/>
        </w:rPr>
        <w:t xml:space="preserve">: </w:t>
      </w:r>
    </w:p>
    <w:p w:rsidR="005C4CC3" w:rsidP="005C4CC3" w:rsidRDefault="005C4CC3" w14:paraId="499210D9" w14:textId="77777777">
      <w:pPr>
        <w:ind w:left="720"/>
        <w:rPr>
          <w:rFonts w:cs="Open Sans"/>
          <w:sz w:val="22"/>
          <w:szCs w:val="22"/>
        </w:rPr>
      </w:pPr>
      <w:r w:rsidRPr="009833E1">
        <w:rPr>
          <w:rFonts w:cs="Open Sans"/>
          <w:sz w:val="22"/>
          <w:szCs w:val="22"/>
        </w:rPr>
        <w:t>I felt pressured to consent to my irreversible surgery. Withdrawal did not feel like an option. This was because I was a child and children don’t have the ability to speak their mind fully or understand all the implications.</w:t>
      </w:r>
      <w:r w:rsidRPr="008E2313">
        <w:rPr>
          <w:rFonts w:cs="Open Sans"/>
          <w:sz w:val="20"/>
          <w:szCs w:val="20"/>
          <w:vertAlign w:val="superscript"/>
        </w:rPr>
        <w:endnoteReference w:id="216"/>
      </w:r>
    </w:p>
    <w:p w:rsidRPr="008019A4" w:rsidR="005C4CC3" w:rsidP="005C4CC3" w:rsidRDefault="005C4CC3" w14:paraId="039D3CE9" w14:textId="77777777">
      <w:pPr>
        <w:rPr>
          <w:rFonts w:cs="Open Sans"/>
        </w:rPr>
      </w:pPr>
      <w:r>
        <w:rPr>
          <w:rFonts w:cs="Open Sans"/>
        </w:rPr>
        <w:t xml:space="preserve">Another individual </w:t>
      </w:r>
      <w:r w:rsidRPr="008019A4">
        <w:rPr>
          <w:rFonts w:cs="Open Sans"/>
        </w:rPr>
        <w:t>described</w:t>
      </w:r>
      <w:r>
        <w:rPr>
          <w:rFonts w:cs="Open Sans"/>
        </w:rPr>
        <w:t xml:space="preserve"> the</w:t>
      </w:r>
      <w:r w:rsidRPr="008019A4">
        <w:rPr>
          <w:rFonts w:cs="Open Sans"/>
        </w:rPr>
        <w:t xml:space="preserve"> pressure they felt to consent</w:t>
      </w:r>
      <w:r>
        <w:rPr>
          <w:rFonts w:cs="Open Sans"/>
        </w:rPr>
        <w:t xml:space="preserve"> to an intervention as an adult in these terms</w:t>
      </w:r>
      <w:r w:rsidRPr="008019A4">
        <w:rPr>
          <w:rFonts w:cs="Open Sans"/>
        </w:rPr>
        <w:t>:</w:t>
      </w:r>
    </w:p>
    <w:p w:rsidR="005C4CC3" w:rsidP="005C4CC3" w:rsidRDefault="005C4CC3" w14:paraId="42367596" w14:textId="77777777">
      <w:pPr>
        <w:ind w:left="720"/>
        <w:rPr>
          <w:rFonts w:eastAsia="Times New Roman"/>
          <w:sz w:val="22"/>
          <w:szCs w:val="22"/>
        </w:rPr>
      </w:pPr>
      <w:r w:rsidRPr="009833E1">
        <w:rPr>
          <w:rFonts w:eastAsia="Times New Roman"/>
          <w:sz w:val="22"/>
          <w:szCs w:val="22"/>
        </w:rPr>
        <w:lastRenderedPageBreak/>
        <w:t>when I reached adulthood and was told of my situation, I felt that I was under some pressure to make a decision, this led to me making a decision based on my chromosomes and my past history with Oestrogen at age 13. I honestly probably would</w:t>
      </w:r>
      <w:r>
        <w:rPr>
          <w:rFonts w:eastAsia="Times New Roman"/>
          <w:sz w:val="22"/>
          <w:szCs w:val="22"/>
        </w:rPr>
        <w:t>’</w:t>
      </w:r>
      <w:r w:rsidRPr="009833E1">
        <w:rPr>
          <w:rFonts w:eastAsia="Times New Roman"/>
          <w:sz w:val="22"/>
          <w:szCs w:val="22"/>
        </w:rPr>
        <w:t>ve preferred to move between hormones or to never have hormone</w:t>
      </w:r>
      <w:r>
        <w:rPr>
          <w:rFonts w:eastAsia="Times New Roman"/>
          <w:sz w:val="22"/>
          <w:szCs w:val="22"/>
        </w:rPr>
        <w:t>s.</w:t>
      </w:r>
      <w:r w:rsidRPr="0117CC5D">
        <w:rPr>
          <w:rStyle w:val="EndnoteReference"/>
          <w:rFonts w:eastAsia="Times New Roman"/>
        </w:rPr>
        <w:endnoteReference w:id="217"/>
      </w:r>
    </w:p>
    <w:p w:rsidR="005C4CC3" w:rsidP="005C4CC3" w:rsidRDefault="005C4CC3" w14:paraId="3E49C526" w14:textId="77777777">
      <w:pPr>
        <w:pStyle w:val="Heading4"/>
        <w:tabs>
          <w:tab w:val="clear" w:pos="851"/>
          <w:tab w:val="num" w:pos="1571"/>
        </w:tabs>
      </w:pPr>
      <w:r>
        <w:t xml:space="preserve">Inadequate information about exact nature of treatment </w:t>
      </w:r>
    </w:p>
    <w:p w:rsidR="005C4CC3" w:rsidP="005C4CC3" w:rsidRDefault="005C4CC3" w14:paraId="2F1D0B7D" w14:textId="77777777">
      <w:pPr>
        <w:rPr>
          <w:rFonts w:cs="Open Sans"/>
        </w:rPr>
      </w:pPr>
      <w:r>
        <w:rPr>
          <w:rFonts w:cs="Open Sans"/>
        </w:rPr>
        <w:t xml:space="preserve">One matter about which people with lived experience of </w:t>
      </w:r>
      <w:r w:rsidRPr="142DBD8A">
        <w:rPr>
          <w:rFonts w:cs="Open Sans"/>
        </w:rPr>
        <w:t>variations in sex characteristics</w:t>
      </w:r>
      <w:r>
        <w:rPr>
          <w:rFonts w:cs="Open Sans"/>
        </w:rPr>
        <w:t xml:space="preserve"> was the exact nature of, or need for, the treatment that doctors proposed to administer to them.</w:t>
      </w:r>
      <w:r w:rsidRPr="008E2313">
        <w:rPr>
          <w:rFonts w:cs="Open Sans"/>
          <w:sz w:val="20"/>
          <w:szCs w:val="20"/>
          <w:vertAlign w:val="superscript"/>
        </w:rPr>
        <w:endnoteReference w:id="218"/>
      </w:r>
      <w:r>
        <w:rPr>
          <w:rFonts w:cs="Open Sans"/>
        </w:rPr>
        <w:t xml:space="preserve"> Related to this</w:t>
      </w:r>
      <w:r w:rsidRPr="00290781">
        <w:rPr>
          <w:rFonts w:cs="Open Sans"/>
        </w:rPr>
        <w:t>, an</w:t>
      </w:r>
      <w:r>
        <w:rPr>
          <w:rFonts w:cs="Open Sans"/>
        </w:rPr>
        <w:t xml:space="preserve"> LGBTI </w:t>
      </w:r>
      <w:r w:rsidRPr="00290781">
        <w:rPr>
          <w:rFonts w:cs="Open Sans"/>
        </w:rPr>
        <w:t>community</w:t>
      </w:r>
      <w:r>
        <w:rPr>
          <w:rFonts w:cs="Open Sans"/>
        </w:rPr>
        <w:t xml:space="preserve"> organisation </w:t>
      </w:r>
      <w:r w:rsidRPr="00290781">
        <w:rPr>
          <w:rFonts w:cs="Open Sans"/>
        </w:rPr>
        <w:t>said</w:t>
      </w:r>
      <w:r>
        <w:rPr>
          <w:rFonts w:cs="Open Sans"/>
        </w:rPr>
        <w:t xml:space="preserve"> that individuals were sometime</w:t>
      </w:r>
      <w:r w:rsidRPr="00290781">
        <w:rPr>
          <w:rFonts w:cs="Open Sans"/>
        </w:rPr>
        <w:t>s not informed of what particular examinations</w:t>
      </w:r>
      <w:r>
        <w:rPr>
          <w:rFonts w:cs="Open Sans"/>
        </w:rPr>
        <w:t xml:space="preserve">, inspections, tests </w:t>
      </w:r>
      <w:r w:rsidRPr="00290781">
        <w:rPr>
          <w:rFonts w:cs="Open Sans"/>
        </w:rPr>
        <w:t>or other medical practices</w:t>
      </w:r>
      <w:r>
        <w:rPr>
          <w:rFonts w:cs="Open Sans"/>
        </w:rPr>
        <w:t xml:space="preserve"> </w:t>
      </w:r>
      <w:r w:rsidRPr="00290781">
        <w:rPr>
          <w:rFonts w:cs="Open Sans"/>
        </w:rPr>
        <w:t>were</w:t>
      </w:r>
      <w:r>
        <w:rPr>
          <w:rFonts w:cs="Open Sans"/>
        </w:rPr>
        <w:t xml:space="preserve"> proposed to be undertaken </w:t>
      </w:r>
      <w:r w:rsidRPr="00290781">
        <w:rPr>
          <w:rFonts w:cs="Open Sans"/>
        </w:rPr>
        <w:t xml:space="preserve">in </w:t>
      </w:r>
      <w:r w:rsidRPr="009B434A">
        <w:rPr>
          <w:rFonts w:cs="Open Sans"/>
        </w:rPr>
        <w:t xml:space="preserve">relation to a </w:t>
      </w:r>
      <w:r>
        <w:rPr>
          <w:rFonts w:cs="Open Sans"/>
        </w:rPr>
        <w:t>to a</w:t>
      </w:r>
      <w:r w:rsidRPr="00290781">
        <w:rPr>
          <w:rFonts w:cs="Open Sans"/>
        </w:rPr>
        <w:t xml:space="preserve"> proposed intervention.</w:t>
      </w:r>
      <w:r>
        <w:rPr>
          <w:rStyle w:val="EndnoteReference"/>
          <w:rFonts w:cs="Open Sans"/>
        </w:rPr>
        <w:endnoteReference w:id="219"/>
      </w:r>
    </w:p>
    <w:p w:rsidR="005C4CC3" w:rsidP="005C4CC3" w:rsidRDefault="005C4CC3" w14:paraId="084E753C" w14:textId="7E16EB1E">
      <w:pPr>
        <w:rPr>
          <w:rFonts w:cs="Open Sans"/>
          <w:lang w:val="en-US"/>
        </w:rPr>
      </w:pPr>
      <w:r>
        <w:rPr>
          <w:rFonts w:cs="Open Sans"/>
        </w:rPr>
        <w:t xml:space="preserve">One example was provided by </w:t>
      </w:r>
      <w:r w:rsidDel="005332BC">
        <w:rPr>
          <w:rFonts w:cs="Open Sans"/>
        </w:rPr>
        <w:t>a</w:t>
      </w:r>
      <w:r w:rsidDel="00004A17">
        <w:rPr>
          <w:rFonts w:cs="Open Sans"/>
        </w:rPr>
        <w:t xml:space="preserve"> state/territory</w:t>
      </w:r>
      <w:r w:rsidDel="005332BC">
        <w:rPr>
          <w:rFonts w:cs="Open Sans"/>
        </w:rPr>
        <w:t xml:space="preserve"> anti-discrimination body</w:t>
      </w:r>
      <w:r>
        <w:rPr>
          <w:rFonts w:cs="Open Sans"/>
        </w:rPr>
        <w:t>, which reported that it had recently been made aware of a case where a 16</w:t>
      </w:r>
      <w:r w:rsidR="1D755B78">
        <w:rPr>
          <w:rFonts w:cs="Open Sans"/>
        </w:rPr>
        <w:t>-</w:t>
      </w:r>
      <w:r>
        <w:rPr>
          <w:rFonts w:cs="Open Sans"/>
        </w:rPr>
        <w:t>year</w:t>
      </w:r>
      <w:r w:rsidR="21E1D62D">
        <w:rPr>
          <w:rFonts w:cs="Open Sans"/>
        </w:rPr>
        <w:t>-</w:t>
      </w:r>
      <w:r>
        <w:rPr>
          <w:rFonts w:cs="Open Sans"/>
        </w:rPr>
        <w:t xml:space="preserve">old </w:t>
      </w:r>
      <w:r w:rsidRPr="000448A6">
        <w:rPr>
          <w:rFonts w:cs="Open Sans"/>
          <w:i/>
          <w:iCs/>
        </w:rPr>
        <w:t>‘</w:t>
      </w:r>
      <w:r w:rsidRPr="00682FDE">
        <w:rPr>
          <w:rFonts w:cs="Open Sans"/>
          <w:lang w:val="en-US"/>
        </w:rPr>
        <w:t>underwent a gonadectomy, yet she was not told the truth about her procedure. This had serious ramifications upon her psychologically’</w:t>
      </w:r>
      <w:r w:rsidRPr="008701FD">
        <w:rPr>
          <w:rFonts w:cs="Open Sans"/>
          <w:lang w:val="en-US"/>
        </w:rPr>
        <w:t>.</w:t>
      </w:r>
      <w:r w:rsidRPr="0117CC5D">
        <w:rPr>
          <w:rStyle w:val="EndnoteReference"/>
          <w:rFonts w:cs="Open Sans"/>
          <w:lang w:val="en-US"/>
        </w:rPr>
        <w:endnoteReference w:id="220"/>
      </w:r>
    </w:p>
    <w:p w:rsidRPr="00DB2CFB" w:rsidR="005C4CC3" w:rsidP="005C4CC3" w:rsidRDefault="005C4CC3" w14:paraId="44F42276" w14:textId="77777777">
      <w:r>
        <w:rPr>
          <w:rFonts w:cs="Open Sans"/>
        </w:rPr>
        <w:t>In</w:t>
      </w:r>
      <w:r w:rsidRPr="00500E83">
        <w:rPr>
          <w:rFonts w:cs="Open Sans"/>
        </w:rPr>
        <w:t xml:space="preserve"> some instances, people felt misled by the conflation of multiple treatments as being necessar</w:t>
      </w:r>
      <w:r>
        <w:rPr>
          <w:rFonts w:cs="Open Sans"/>
        </w:rPr>
        <w:t>y and</w:t>
      </w:r>
      <w:r w:rsidRPr="00500E83">
        <w:rPr>
          <w:rFonts w:cs="Open Sans"/>
        </w:rPr>
        <w:t xml:space="preserve"> interdependent.</w:t>
      </w:r>
      <w:r w:rsidRPr="142DBD8A">
        <w:rPr>
          <w:rStyle w:val="CommentReference"/>
          <w:sz w:val="24"/>
          <w:szCs w:val="24"/>
        </w:rPr>
        <w:t xml:space="preserve"> </w:t>
      </w:r>
      <w:r>
        <w:rPr>
          <w:rFonts w:cs="Open Sans"/>
        </w:rPr>
        <w:t>A Gender Agenda,</w:t>
      </w:r>
      <w:r>
        <w:t xml:space="preserve"> a peer support organisation, submitted that doctors</w:t>
      </w:r>
      <w:r w:rsidRPr="00500E83">
        <w:t xml:space="preserve"> </w:t>
      </w:r>
      <w:r>
        <w:t xml:space="preserve">have in some cases </w:t>
      </w:r>
      <w:r w:rsidRPr="00500E83">
        <w:t>recommen</w:t>
      </w:r>
      <w:r>
        <w:t>ded</w:t>
      </w:r>
      <w:r w:rsidRPr="00500E83">
        <w:t xml:space="preserve"> multiple interventions</w:t>
      </w:r>
      <w:r>
        <w:t xml:space="preserve"> to individuals, without disclosing that</w:t>
      </w:r>
      <w:r w:rsidRPr="00500E83">
        <w:t xml:space="preserve"> </w:t>
      </w:r>
      <w:r>
        <w:t>these were not</w:t>
      </w:r>
      <w:r w:rsidRPr="00500E83">
        <w:t xml:space="preserve"> interdependent</w:t>
      </w:r>
      <w:r>
        <w:t xml:space="preserve">, with individuals </w:t>
      </w:r>
      <w:r w:rsidRPr="00500E83">
        <w:t>consent</w:t>
      </w:r>
      <w:r>
        <w:t>ing</w:t>
      </w:r>
      <w:r w:rsidRPr="00500E83">
        <w:t xml:space="preserve"> to </w:t>
      </w:r>
      <w:r>
        <w:t>a</w:t>
      </w:r>
      <w:r w:rsidRPr="00500E83">
        <w:t>ll</w:t>
      </w:r>
      <w:r>
        <w:t xml:space="preserve"> the interventions, as a result.</w:t>
      </w:r>
      <w:r w:rsidRPr="0117CC5D">
        <w:rPr>
          <w:rStyle w:val="EndnoteReference"/>
        </w:rPr>
        <w:endnoteReference w:id="221"/>
      </w:r>
    </w:p>
    <w:p w:rsidR="005C4CC3" w:rsidP="005C4CC3" w:rsidRDefault="005C4CC3" w14:paraId="64DAF463" w14:textId="77777777">
      <w:pPr>
        <w:pStyle w:val="Heading4"/>
        <w:tabs>
          <w:tab w:val="clear" w:pos="851"/>
          <w:tab w:val="num" w:pos="1571"/>
        </w:tabs>
      </w:pPr>
      <w:r>
        <w:t>Lack of information on alternatives to intervention</w:t>
      </w:r>
    </w:p>
    <w:p w:rsidR="005C4CC3" w:rsidP="005C4CC3" w:rsidRDefault="005C4CC3" w14:paraId="3EDE6CE8" w14:textId="77777777">
      <w:pPr>
        <w:rPr>
          <w:rFonts w:cs="Open Sans"/>
        </w:rPr>
      </w:pPr>
      <w:r>
        <w:rPr>
          <w:rFonts w:cs="Open Sans"/>
        </w:rPr>
        <w:t>People</w:t>
      </w:r>
      <w:r w:rsidRPr="00290781">
        <w:rPr>
          <w:rFonts w:cs="Open Sans"/>
        </w:rPr>
        <w:t xml:space="preserve"> born with variations in sex characteristics told the Commission that they did not receive information about </w:t>
      </w:r>
      <w:r>
        <w:rPr>
          <w:rFonts w:cs="Open Sans"/>
        </w:rPr>
        <w:t xml:space="preserve">the </w:t>
      </w:r>
      <w:r w:rsidRPr="00290781">
        <w:rPr>
          <w:rFonts w:cs="Open Sans"/>
        </w:rPr>
        <w:t>ability for people born with variations in sex characteristics to live, in the absence of intervention, healthy and happy lives, to celebrate their diversity, and to form strong social, romantic and sexual relationships</w:t>
      </w:r>
      <w:r>
        <w:rPr>
          <w:rFonts w:cs="Open Sans"/>
        </w:rPr>
        <w:t>.</w:t>
      </w:r>
      <w:r w:rsidRPr="00A9788F">
        <w:rPr>
          <w:rFonts w:cs="Open Sans"/>
          <w:sz w:val="20"/>
          <w:szCs w:val="20"/>
          <w:vertAlign w:val="superscript"/>
        </w:rPr>
        <w:endnoteReference w:id="222"/>
      </w:r>
      <w:r>
        <w:rPr>
          <w:rFonts w:cs="Open Sans"/>
        </w:rPr>
        <w:t xml:space="preserve"> </w:t>
      </w:r>
    </w:p>
    <w:p w:rsidR="005C4CC3" w:rsidP="005C4CC3" w:rsidRDefault="005C4CC3" w14:paraId="7604CC2E" w14:textId="77777777">
      <w:pPr>
        <w:rPr>
          <w:rFonts w:cs="Open Sans"/>
        </w:rPr>
      </w:pPr>
      <w:r>
        <w:rPr>
          <w:rFonts w:cs="Open Sans"/>
        </w:rPr>
        <w:t xml:space="preserve">The provision of this kind of information is particularly important for these people and their legal guardians, given the risk that psychosocial factors may be </w:t>
      </w:r>
      <w:r>
        <w:rPr>
          <w:rFonts w:cs="Open Sans"/>
        </w:rPr>
        <w:lastRenderedPageBreak/>
        <w:t>relied on by some legal guardians when consenting to interventions for their children, and by some doctors in advising legal guardians and children.</w:t>
      </w:r>
      <w:r w:rsidRPr="0117CC5D">
        <w:rPr>
          <w:rStyle w:val="EndnoteReference"/>
          <w:rFonts w:cs="Open Sans"/>
        </w:rPr>
        <w:endnoteReference w:id="223"/>
      </w:r>
      <w:r w:rsidRPr="00A9788F">
        <w:rPr>
          <w:rFonts w:cs="Open Sans"/>
          <w:sz w:val="20"/>
          <w:szCs w:val="20"/>
          <w:highlight w:val="yellow"/>
        </w:rPr>
        <w:t xml:space="preserve"> </w:t>
      </w:r>
    </w:p>
    <w:p w:rsidRPr="00AD51B1" w:rsidR="005C4CC3" w:rsidP="005C4CC3" w:rsidRDefault="005C4CC3" w14:paraId="311A00FD" w14:textId="77777777">
      <w:pPr>
        <w:pStyle w:val="Heading4"/>
        <w:tabs>
          <w:tab w:val="clear" w:pos="851"/>
          <w:tab w:val="num" w:pos="1571"/>
        </w:tabs>
      </w:pPr>
      <w:r w:rsidRPr="00AD51B1">
        <w:t xml:space="preserve">Lack of information about long-term </w:t>
      </w:r>
      <w:r>
        <w:t>effects and outcomes</w:t>
      </w:r>
      <w:r w:rsidRPr="00AD51B1">
        <w:t xml:space="preserve"> </w:t>
      </w:r>
    </w:p>
    <w:p w:rsidR="005C4CC3" w:rsidP="005C4CC3" w:rsidRDefault="005C4CC3" w14:paraId="4DA4C28D" w14:textId="77777777">
      <w:pPr>
        <w:rPr>
          <w:rFonts w:cs="Open Sans"/>
        </w:rPr>
      </w:pPr>
      <w:r>
        <w:rPr>
          <w:rFonts w:cs="Open Sans"/>
        </w:rPr>
        <w:t>Some people with variations in sex characteristics, or their legal guardians, reported</w:t>
      </w:r>
      <w:r w:rsidDel="001C67DD">
        <w:rPr>
          <w:rFonts w:cs="Open Sans"/>
        </w:rPr>
        <w:t xml:space="preserve"> </w:t>
      </w:r>
      <w:r>
        <w:rPr>
          <w:rFonts w:cs="Open Sans"/>
        </w:rPr>
        <w:t>receiving inadequate</w:t>
      </w:r>
      <w:r w:rsidRPr="00290781">
        <w:rPr>
          <w:rFonts w:cs="Open Sans"/>
        </w:rPr>
        <w:t xml:space="preserve"> information about </w:t>
      </w:r>
      <w:r>
        <w:rPr>
          <w:rFonts w:cs="Open Sans"/>
        </w:rPr>
        <w:t xml:space="preserve">all the consequences of </w:t>
      </w:r>
      <w:r w:rsidRPr="00290781">
        <w:rPr>
          <w:rFonts w:cs="Open Sans"/>
        </w:rPr>
        <w:t>proposed medical interventions</w:t>
      </w:r>
      <w:r>
        <w:rPr>
          <w:rFonts w:cs="Open Sans"/>
        </w:rPr>
        <w:t xml:space="preserve">, including possible </w:t>
      </w:r>
      <w:r w:rsidRPr="00290781">
        <w:rPr>
          <w:rFonts w:cs="Open Sans"/>
        </w:rPr>
        <w:t>long-term effects.</w:t>
      </w:r>
      <w:r w:rsidRPr="00A9788F">
        <w:rPr>
          <w:rFonts w:cs="Open Sans"/>
          <w:sz w:val="20"/>
          <w:szCs w:val="20"/>
          <w:vertAlign w:val="superscript"/>
        </w:rPr>
        <w:endnoteReference w:id="224"/>
      </w:r>
      <w:r w:rsidRPr="00A9788F">
        <w:rPr>
          <w:rFonts w:cs="Open Sans"/>
          <w:sz w:val="20"/>
          <w:szCs w:val="20"/>
        </w:rPr>
        <w:t xml:space="preserve"> </w:t>
      </w:r>
    </w:p>
    <w:p w:rsidRPr="00782BBE" w:rsidR="005C4CC3" w:rsidP="005C4CC3" w:rsidRDefault="005C4CC3" w14:paraId="44C8707E" w14:textId="77777777">
      <w:pPr>
        <w:rPr>
          <w:rFonts w:cs="Open Sans"/>
        </w:rPr>
      </w:pPr>
      <w:r>
        <w:rPr>
          <w:rFonts w:cs="Open Sans"/>
        </w:rPr>
        <w:t>Several</w:t>
      </w:r>
      <w:r w:rsidRPr="00782BBE">
        <w:rPr>
          <w:rFonts w:cs="Open Sans"/>
        </w:rPr>
        <w:t xml:space="preserve"> intersex peer and advocacy organisation</w:t>
      </w:r>
      <w:r>
        <w:rPr>
          <w:rFonts w:cs="Open Sans"/>
        </w:rPr>
        <w:t xml:space="preserve">s said </w:t>
      </w:r>
      <w:r w:rsidRPr="00782BBE">
        <w:rPr>
          <w:rFonts w:cs="Open Sans"/>
        </w:rPr>
        <w:t xml:space="preserve">that </w:t>
      </w:r>
      <w:r>
        <w:rPr>
          <w:rFonts w:cs="Open Sans"/>
        </w:rPr>
        <w:t>individuals with variations in sex characteristics</w:t>
      </w:r>
      <w:r w:rsidRPr="00782BBE">
        <w:rPr>
          <w:rFonts w:cs="Open Sans"/>
        </w:rPr>
        <w:t xml:space="preserve"> have reported that they ha</w:t>
      </w:r>
      <w:r>
        <w:rPr>
          <w:rFonts w:cs="Open Sans"/>
        </w:rPr>
        <w:t>ve</w:t>
      </w:r>
      <w:r w:rsidRPr="00782BBE">
        <w:rPr>
          <w:rFonts w:cs="Open Sans"/>
        </w:rPr>
        <w:t xml:space="preserve"> not been provided with information </w:t>
      </w:r>
      <w:r>
        <w:rPr>
          <w:rFonts w:cs="Open Sans"/>
        </w:rPr>
        <w:t xml:space="preserve">in </w:t>
      </w:r>
      <w:r w:rsidRPr="00782BBE">
        <w:rPr>
          <w:rFonts w:cs="Open Sans"/>
        </w:rPr>
        <w:t>relation to the consequences of intrusive procedures.</w:t>
      </w:r>
      <w:r w:rsidRPr="0117CC5D">
        <w:rPr>
          <w:rStyle w:val="EndnoteReference"/>
          <w:rFonts w:cs="Open Sans"/>
        </w:rPr>
        <w:endnoteReference w:id="225"/>
      </w:r>
    </w:p>
    <w:p w:rsidR="005C4CC3" w:rsidP="005C4CC3" w:rsidRDefault="005C4CC3" w14:paraId="5890605F" w14:textId="77777777">
      <w:pPr>
        <w:rPr>
          <w:rFonts w:cs="Open Sans"/>
        </w:rPr>
      </w:pPr>
      <w:r>
        <w:rPr>
          <w:rFonts w:cs="Open Sans"/>
        </w:rPr>
        <w:t>One advocacy and peer-support group collated the experiences of a number of people born with variations in sex characteristics, who described not receiving enough</w:t>
      </w:r>
      <w:r w:rsidRPr="00290781">
        <w:rPr>
          <w:rFonts w:cs="Open Sans"/>
        </w:rPr>
        <w:t xml:space="preserve"> information about long-term </w:t>
      </w:r>
      <w:r>
        <w:rPr>
          <w:rFonts w:cs="Open Sans"/>
        </w:rPr>
        <w:t>effects and outcomes of interventions.</w:t>
      </w:r>
      <w:r w:rsidRPr="003E32D3">
        <w:rPr>
          <w:rFonts w:cs="Open Sans"/>
          <w:sz w:val="20"/>
          <w:szCs w:val="20"/>
          <w:vertAlign w:val="superscript"/>
        </w:rPr>
        <w:endnoteReference w:id="226"/>
      </w:r>
      <w:r w:rsidRPr="003E32D3">
        <w:rPr>
          <w:rFonts w:cs="Open Sans"/>
          <w:sz w:val="20"/>
          <w:szCs w:val="20"/>
        </w:rPr>
        <w:t xml:space="preserve"> </w:t>
      </w:r>
      <w:r>
        <w:rPr>
          <w:rFonts w:cs="Open Sans"/>
        </w:rPr>
        <w:t>For instance, one person reported:</w:t>
      </w:r>
      <w:r w:rsidRPr="00290781" w:rsidDel="00A74857">
        <w:rPr>
          <w:rFonts w:cs="Open Sans"/>
          <w:vertAlign w:val="superscript"/>
        </w:rPr>
        <w:t xml:space="preserve"> </w:t>
      </w:r>
    </w:p>
    <w:p w:rsidR="005C4CC3" w:rsidP="005C4CC3" w:rsidRDefault="005C4CC3" w14:paraId="35CE0B1B" w14:textId="77777777">
      <w:pPr>
        <w:autoSpaceDE w:val="0"/>
        <w:autoSpaceDN w:val="0"/>
        <w:adjustRightInd w:val="0"/>
        <w:spacing w:before="0" w:after="0"/>
        <w:ind w:left="720"/>
        <w:rPr>
          <w:rFonts w:cs="Open Sans"/>
          <w:sz w:val="22"/>
          <w:szCs w:val="22"/>
          <w:lang w:val="en-US"/>
        </w:rPr>
      </w:pPr>
      <w:r w:rsidRPr="00BC4093">
        <w:rPr>
          <w:rFonts w:eastAsia="Times New Roman" w:cs="Open Sans"/>
          <w:sz w:val="22"/>
          <w:szCs w:val="22"/>
          <w:lang w:val="en-US"/>
        </w:rPr>
        <w:t>I did say yes to the surgery I received as a teenager, but I had no idea about the impact it would have on my body and my life, and the lifelong follow ups and</w:t>
      </w:r>
      <w:r w:rsidRPr="00BC4093">
        <w:rPr>
          <w:rFonts w:cs="Open Sans"/>
          <w:sz w:val="22"/>
          <w:szCs w:val="22"/>
          <w:lang w:val="en-US"/>
        </w:rPr>
        <w:t xml:space="preserve"> treatment the surgery brought about. That information didn’t get discussed, or only in</w:t>
      </w:r>
      <w:r>
        <w:rPr>
          <w:rFonts w:eastAsia="Times New Roman" w:cs="Open Sans"/>
          <w:sz w:val="22"/>
          <w:szCs w:val="22"/>
          <w:lang w:val="en-US"/>
        </w:rPr>
        <w:t xml:space="preserve"> </w:t>
      </w:r>
      <w:r w:rsidRPr="00AC3417">
        <w:rPr>
          <w:rFonts w:cs="Open Sans"/>
          <w:sz w:val="22"/>
          <w:szCs w:val="22"/>
          <w:lang w:val="en-US"/>
        </w:rPr>
        <w:t>a very cursory manner. If I had of known all the facts, I would have said no.</w:t>
      </w:r>
      <w:r w:rsidRPr="0117CC5D">
        <w:rPr>
          <w:rStyle w:val="EndnoteReference"/>
          <w:rFonts w:cs="Open Sans"/>
          <w:lang w:val="en-US"/>
        </w:rPr>
        <w:endnoteReference w:id="227"/>
      </w:r>
    </w:p>
    <w:p w:rsidR="005C4CC3" w:rsidP="005C4CC3" w:rsidRDefault="005C4CC3" w14:paraId="3C8CE88B" w14:textId="77777777">
      <w:pPr>
        <w:autoSpaceDE w:val="0"/>
        <w:autoSpaceDN w:val="0"/>
        <w:adjustRightInd w:val="0"/>
        <w:spacing w:before="0" w:after="0"/>
        <w:rPr>
          <w:rFonts w:eastAsia="Times New Roman" w:cs="Open Sans"/>
          <w:sz w:val="22"/>
          <w:szCs w:val="22"/>
          <w:lang w:val="en-US"/>
        </w:rPr>
      </w:pPr>
    </w:p>
    <w:p w:rsidR="005C4CC3" w:rsidP="005C4CC3" w:rsidRDefault="005C4CC3" w14:paraId="04C1FF41" w14:textId="77777777">
      <w:pPr>
        <w:autoSpaceDE w:val="0"/>
        <w:autoSpaceDN w:val="0"/>
        <w:adjustRightInd w:val="0"/>
        <w:spacing w:before="0" w:after="0"/>
        <w:rPr>
          <w:rFonts w:eastAsia="Times New Roman" w:cs="Open Sans"/>
          <w:lang w:val="en-US"/>
        </w:rPr>
      </w:pPr>
      <w:r w:rsidRPr="00F005FA">
        <w:rPr>
          <w:rFonts w:eastAsia="Times New Roman" w:cs="Open Sans"/>
          <w:lang w:val="en-US"/>
        </w:rPr>
        <w:t xml:space="preserve">Another </w:t>
      </w:r>
      <w:r>
        <w:rPr>
          <w:rFonts w:eastAsia="Times New Roman" w:cs="Open Sans"/>
          <w:lang w:val="en-US"/>
        </w:rPr>
        <w:t>said</w:t>
      </w:r>
      <w:r w:rsidRPr="00F005FA">
        <w:rPr>
          <w:rFonts w:eastAsia="Times New Roman" w:cs="Open Sans"/>
          <w:lang w:val="en-US"/>
        </w:rPr>
        <w:t>:</w:t>
      </w:r>
    </w:p>
    <w:p w:rsidRPr="00F005FA" w:rsidR="005C4CC3" w:rsidP="005C4CC3" w:rsidRDefault="005C4CC3" w14:paraId="216A2387" w14:textId="77777777">
      <w:pPr>
        <w:autoSpaceDE w:val="0"/>
        <w:autoSpaceDN w:val="0"/>
        <w:adjustRightInd w:val="0"/>
        <w:spacing w:before="0" w:after="0"/>
        <w:rPr>
          <w:rFonts w:eastAsia="Times New Roman" w:cs="Open Sans"/>
          <w:lang w:val="en-US"/>
        </w:rPr>
      </w:pPr>
    </w:p>
    <w:p w:rsidRPr="00AC3417" w:rsidR="005C4CC3" w:rsidP="005C4CC3" w:rsidRDefault="005C4CC3" w14:paraId="7FE1AD62" w14:textId="77777777">
      <w:pPr>
        <w:autoSpaceDE w:val="0"/>
        <w:autoSpaceDN w:val="0"/>
        <w:adjustRightInd w:val="0"/>
        <w:spacing w:before="0" w:after="0"/>
        <w:ind w:left="720"/>
        <w:rPr>
          <w:rFonts w:eastAsia="Times New Roman" w:cs="Open Sans"/>
          <w:sz w:val="22"/>
          <w:szCs w:val="22"/>
          <w:lang w:val="en-US"/>
        </w:rPr>
      </w:pPr>
      <w:r w:rsidRPr="00F005FA">
        <w:rPr>
          <w:rFonts w:eastAsia="Times New Roman" w:cs="Open Sans"/>
          <w:sz w:val="22"/>
          <w:szCs w:val="22"/>
          <w:lang w:val="en-US"/>
        </w:rPr>
        <w:t>I kind of consented, as an adult, but it wasn’t an informed consent. I was isolated, had</w:t>
      </w:r>
      <w:r>
        <w:rPr>
          <w:rFonts w:eastAsia="Times New Roman" w:cs="Open Sans"/>
          <w:sz w:val="22"/>
          <w:szCs w:val="22"/>
          <w:lang w:val="en-US"/>
        </w:rPr>
        <w:t xml:space="preserve"> </w:t>
      </w:r>
      <w:r w:rsidRPr="00F005FA">
        <w:rPr>
          <w:rFonts w:eastAsia="Times New Roman" w:cs="Open Sans"/>
          <w:sz w:val="22"/>
          <w:szCs w:val="22"/>
          <w:lang w:val="en-US"/>
        </w:rPr>
        <w:t>no support and no idea what the long term consequences of medical interventions</w:t>
      </w:r>
      <w:r>
        <w:rPr>
          <w:rFonts w:eastAsia="Times New Roman" w:cs="Open Sans"/>
          <w:sz w:val="22"/>
          <w:szCs w:val="22"/>
          <w:lang w:val="en-US"/>
        </w:rPr>
        <w:t xml:space="preserve"> </w:t>
      </w:r>
      <w:r w:rsidRPr="00F005FA">
        <w:rPr>
          <w:rFonts w:eastAsia="Times New Roman" w:cs="Open Sans"/>
          <w:sz w:val="22"/>
          <w:szCs w:val="22"/>
          <w:lang w:val="en-US"/>
        </w:rPr>
        <w:t>were, and really wasn’t able to make good decisions. They had big consequences not</w:t>
      </w:r>
      <w:r>
        <w:rPr>
          <w:rFonts w:eastAsia="Times New Roman" w:cs="Open Sans"/>
          <w:sz w:val="22"/>
          <w:szCs w:val="22"/>
          <w:lang w:val="en-US"/>
        </w:rPr>
        <w:t xml:space="preserve"> </w:t>
      </w:r>
      <w:r w:rsidRPr="00F005FA">
        <w:rPr>
          <w:rFonts w:eastAsia="Times New Roman" w:cs="Open Sans"/>
          <w:sz w:val="22"/>
          <w:szCs w:val="22"/>
          <w:lang w:val="en-US"/>
        </w:rPr>
        <w:t>only for my physical health, but also for my mental health.</w:t>
      </w:r>
      <w:r w:rsidRPr="0117CC5D">
        <w:rPr>
          <w:rStyle w:val="EndnoteReference"/>
          <w:rFonts w:eastAsia="Times New Roman" w:cs="Open Sans"/>
          <w:lang w:val="en-US"/>
        </w:rPr>
        <w:endnoteReference w:id="228"/>
      </w:r>
    </w:p>
    <w:p w:rsidR="005C4CC3" w:rsidP="005C4CC3" w:rsidRDefault="005C4CC3" w14:paraId="0FC5836A" w14:textId="77777777">
      <w:pPr>
        <w:pStyle w:val="Heading4"/>
        <w:tabs>
          <w:tab w:val="clear" w:pos="851"/>
          <w:tab w:val="num" w:pos="1571"/>
        </w:tabs>
      </w:pPr>
      <w:r>
        <w:t xml:space="preserve">Inadequate information about lack of medical consensus </w:t>
      </w:r>
    </w:p>
    <w:p w:rsidRPr="00290781" w:rsidR="005C4CC3" w:rsidP="005C4CC3" w:rsidRDefault="005C4CC3" w14:paraId="274F21E5" w14:textId="77777777">
      <w:pPr>
        <w:rPr>
          <w:rFonts w:cs="Open Sans"/>
        </w:rPr>
      </w:pPr>
      <w:r>
        <w:rPr>
          <w:rFonts w:cs="Open Sans"/>
        </w:rPr>
        <w:t xml:space="preserve">Several civil society organisations claimed </w:t>
      </w:r>
      <w:r w:rsidRPr="00290781">
        <w:rPr>
          <w:rFonts w:cs="Open Sans"/>
        </w:rPr>
        <w:t>that</w:t>
      </w:r>
      <w:r>
        <w:rPr>
          <w:rFonts w:cs="Open Sans"/>
        </w:rPr>
        <w:t xml:space="preserve"> health professionals have not always fully disclosed to people born with variations in sex characteristics or their legal guardians that there is a </w:t>
      </w:r>
      <w:r w:rsidRPr="00290781">
        <w:rPr>
          <w:rFonts w:cs="Open Sans"/>
        </w:rPr>
        <w:t xml:space="preserve">lack of clinical </w:t>
      </w:r>
      <w:r>
        <w:rPr>
          <w:rFonts w:cs="Open Sans"/>
        </w:rPr>
        <w:t xml:space="preserve">knowledge or </w:t>
      </w:r>
      <w:r w:rsidRPr="00290781">
        <w:rPr>
          <w:rFonts w:cs="Open Sans"/>
        </w:rPr>
        <w:t xml:space="preserve">consensus </w:t>
      </w:r>
      <w:r>
        <w:rPr>
          <w:rFonts w:cs="Open Sans"/>
        </w:rPr>
        <w:t>about the best approach to providing medical care for some individuals or variations</w:t>
      </w:r>
      <w:r w:rsidRPr="00290781">
        <w:rPr>
          <w:rFonts w:cs="Open Sans"/>
        </w:rPr>
        <w:t>. Specifically, the</w:t>
      </w:r>
      <w:r>
        <w:rPr>
          <w:rFonts w:cs="Open Sans"/>
        </w:rPr>
        <w:t>se organisations claimed that doctors do not always provide</w:t>
      </w:r>
      <w:r w:rsidRPr="00290781">
        <w:rPr>
          <w:rFonts w:cs="Open Sans"/>
        </w:rPr>
        <w:t xml:space="preserve"> information about</w:t>
      </w:r>
      <w:r>
        <w:rPr>
          <w:rFonts w:cs="Open Sans"/>
        </w:rPr>
        <w:t>:</w:t>
      </w:r>
      <w:r w:rsidRPr="00290781">
        <w:rPr>
          <w:rFonts w:cs="Open Sans"/>
        </w:rPr>
        <w:t xml:space="preserve"> what is known and what is not yet known about the variation </w:t>
      </w:r>
      <w:r w:rsidRPr="00290781">
        <w:rPr>
          <w:rFonts w:cs="Open Sans"/>
        </w:rPr>
        <w:lastRenderedPageBreak/>
        <w:t>in question</w:t>
      </w:r>
      <w:r>
        <w:rPr>
          <w:rFonts w:cs="Open Sans"/>
        </w:rPr>
        <w:t>;</w:t>
      </w:r>
      <w:r w:rsidRPr="00290781">
        <w:rPr>
          <w:rFonts w:cs="Open Sans"/>
        </w:rPr>
        <w:t xml:space="preserve"> potential complications</w:t>
      </w:r>
      <w:r>
        <w:rPr>
          <w:rFonts w:cs="Open Sans"/>
        </w:rPr>
        <w:t xml:space="preserve"> from proposed treatment;</w:t>
      </w:r>
      <w:r w:rsidRPr="00290781">
        <w:rPr>
          <w:rFonts w:cs="Open Sans"/>
        </w:rPr>
        <w:t xml:space="preserve"> </w:t>
      </w:r>
      <w:r>
        <w:rPr>
          <w:rFonts w:cs="Open Sans"/>
        </w:rPr>
        <w:t xml:space="preserve">and </w:t>
      </w:r>
      <w:r w:rsidRPr="00290781">
        <w:rPr>
          <w:rFonts w:cs="Open Sans"/>
        </w:rPr>
        <w:t>the efficacy and risks of the proposed treatment.</w:t>
      </w:r>
      <w:r w:rsidRPr="003E32D3">
        <w:rPr>
          <w:rFonts w:cs="Open Sans"/>
          <w:sz w:val="20"/>
          <w:szCs w:val="20"/>
          <w:vertAlign w:val="superscript"/>
        </w:rPr>
        <w:endnoteReference w:id="229"/>
      </w:r>
      <w:r>
        <w:rPr>
          <w:rFonts w:cs="Open Sans"/>
        </w:rPr>
        <w:t xml:space="preserve"> </w:t>
      </w:r>
    </w:p>
    <w:p w:rsidRPr="00C462A5" w:rsidR="005C4CC3" w:rsidP="005C4CC3" w:rsidRDefault="005C4CC3" w14:paraId="21D4245C" w14:textId="77777777">
      <w:pPr>
        <w:pStyle w:val="Heading4"/>
        <w:tabs>
          <w:tab w:val="clear" w:pos="851"/>
          <w:tab w:val="num" w:pos="1571"/>
        </w:tabs>
      </w:pPr>
      <w:r>
        <w:t>Lack of referrals to peer support</w:t>
      </w:r>
    </w:p>
    <w:p w:rsidR="005C4CC3" w:rsidP="005C4CC3" w:rsidRDefault="005C4CC3" w14:paraId="6283B2EA" w14:textId="7835A581">
      <w:pPr>
        <w:rPr>
          <w:rFonts w:cs="Open Sans"/>
        </w:rPr>
      </w:pPr>
      <w:r>
        <w:rPr>
          <w:rFonts w:cs="Open Sans"/>
        </w:rPr>
        <w:t xml:space="preserve">People </w:t>
      </w:r>
      <w:r w:rsidRPr="00B73262">
        <w:rPr>
          <w:rFonts w:cs="Open Sans"/>
        </w:rPr>
        <w:t xml:space="preserve">born with variations in sex characteristics </w:t>
      </w:r>
      <w:r>
        <w:rPr>
          <w:rFonts w:cs="Open Sans"/>
        </w:rPr>
        <w:t>stated that doctors or medical teams have not always provided them with referrals to peer support groups. They argued that connection to peer support at the time of diagnosis can provide crucial input to help individuals when weighing up whether to proceed with interventions or not.</w:t>
      </w:r>
      <w:r w:rsidRPr="0097140D">
        <w:rPr>
          <w:rFonts w:cs="Open Sans"/>
          <w:sz w:val="20"/>
          <w:szCs w:val="20"/>
          <w:vertAlign w:val="superscript"/>
        </w:rPr>
        <w:endnoteReference w:id="230"/>
      </w:r>
      <w:r w:rsidRPr="0097140D">
        <w:rPr>
          <w:rFonts w:cs="Open Sans"/>
          <w:sz w:val="20"/>
          <w:szCs w:val="20"/>
        </w:rPr>
        <w:t xml:space="preserve"> </w:t>
      </w:r>
      <w:r>
        <w:rPr>
          <w:rFonts w:cs="Open Sans"/>
        </w:rPr>
        <w:t>Such input can relate to</w:t>
      </w:r>
    </w:p>
    <w:p w:rsidR="005C4CC3" w:rsidP="002F7D27" w:rsidRDefault="005C4CC3" w14:paraId="71739E83" w14:textId="77777777">
      <w:pPr>
        <w:pStyle w:val="ListParagraph"/>
        <w:numPr>
          <w:ilvl w:val="0"/>
          <w:numId w:val="36"/>
        </w:numPr>
        <w:rPr>
          <w:rFonts w:cs="Open Sans"/>
        </w:rPr>
      </w:pPr>
      <w:r>
        <w:rPr>
          <w:rFonts w:cs="Open Sans"/>
        </w:rPr>
        <w:t>Lived experience of others who have the same variation. These people, who may or may not have had medical interventions, can provide valuable information about long-term outcomes in their own cases, and how this has affected them. Such a range of experiences can help inform individuals of potential different future scenarios. Access to this experience was said to be particularly important in light of the fact that there is very little long-term outcome data in the medical literature to guide individual decision making.</w:t>
      </w:r>
      <w:r w:rsidRPr="0117CC5D">
        <w:rPr>
          <w:rStyle w:val="EndnoteReference"/>
          <w:rFonts w:cs="Open Sans"/>
        </w:rPr>
        <w:endnoteReference w:id="231"/>
      </w:r>
      <w:r w:rsidRPr="0097140D">
        <w:rPr>
          <w:rFonts w:cs="Open Sans"/>
          <w:sz w:val="20"/>
          <w:szCs w:val="20"/>
        </w:rPr>
        <w:t xml:space="preserve"> </w:t>
      </w:r>
    </w:p>
    <w:p w:rsidRPr="0097140D" w:rsidR="005C4CC3" w:rsidP="002F7D27" w:rsidRDefault="005C4CC3" w14:paraId="7B94E9D1" w14:textId="77777777">
      <w:pPr>
        <w:pStyle w:val="ListParagraph"/>
        <w:numPr>
          <w:ilvl w:val="0"/>
          <w:numId w:val="36"/>
        </w:numPr>
        <w:rPr>
          <w:rFonts w:cs="Open Sans"/>
          <w:sz w:val="20"/>
          <w:szCs w:val="20"/>
        </w:rPr>
      </w:pPr>
      <w:r>
        <w:rPr>
          <w:rFonts w:cs="Open Sans"/>
        </w:rPr>
        <w:t>Psycho-emotional support at a stressful time from those who can best understand and relate, because they have similar experiences.</w:t>
      </w:r>
      <w:r w:rsidRPr="0117CC5D">
        <w:rPr>
          <w:rStyle w:val="EndnoteReference"/>
          <w:rFonts w:cs="Open Sans"/>
        </w:rPr>
        <w:endnoteReference w:id="232"/>
      </w:r>
    </w:p>
    <w:p w:rsidR="005C4CC3" w:rsidP="005C4CC3" w:rsidRDefault="005C4CC3" w14:paraId="1ADAFC3A" w14:textId="77777777">
      <w:pPr>
        <w:rPr>
          <w:rFonts w:cs="Open Sans"/>
        </w:rPr>
      </w:pPr>
      <w:r>
        <w:rPr>
          <w:rFonts w:cs="Open Sans"/>
        </w:rPr>
        <w:t>Both</w:t>
      </w:r>
      <w:r w:rsidDel="005A0A9F">
        <w:rPr>
          <w:rFonts w:cs="Open Sans"/>
        </w:rPr>
        <w:t xml:space="preserve"> </w:t>
      </w:r>
      <w:r>
        <w:rPr>
          <w:rFonts w:cs="Open Sans"/>
        </w:rPr>
        <w:t xml:space="preserve">these kinds of input can support a person in deciding whether or not to consent to a proposed medical intervention. </w:t>
      </w:r>
    </w:p>
    <w:p w:rsidR="005C4CC3" w:rsidP="005C4CC3" w:rsidRDefault="005C4CC3" w14:paraId="5E0AF5F0" w14:textId="77777777">
      <w:pPr>
        <w:rPr>
          <w:rFonts w:cs="Open Sans"/>
        </w:rPr>
      </w:pPr>
      <w:r>
        <w:rPr>
          <w:rFonts w:cs="Open Sans"/>
        </w:rPr>
        <w:t>These stakeholders</w:t>
      </w:r>
      <w:r w:rsidRPr="00B73262">
        <w:rPr>
          <w:rFonts w:cs="Open Sans"/>
        </w:rPr>
        <w:t xml:space="preserve"> </w:t>
      </w:r>
      <w:r>
        <w:rPr>
          <w:rFonts w:cs="Open Sans"/>
        </w:rPr>
        <w:t>suggested</w:t>
      </w:r>
      <w:r w:rsidRPr="00B73262">
        <w:rPr>
          <w:rFonts w:cs="Open Sans"/>
        </w:rPr>
        <w:t xml:space="preserve"> that provision of peer support at the time of diagnosis can establish a strong, healthy and affirming foundation for ongoing engagement with all parts of the treating team</w:t>
      </w:r>
      <w:r>
        <w:rPr>
          <w:rFonts w:cs="Open Sans"/>
        </w:rPr>
        <w:t>,</w:t>
      </w:r>
      <w:r w:rsidRPr="00B73262">
        <w:rPr>
          <w:rFonts w:cs="Open Sans"/>
        </w:rPr>
        <w:t xml:space="preserve"> and could remove from the clinicians </w:t>
      </w:r>
      <w:r>
        <w:rPr>
          <w:rFonts w:cs="Open Sans"/>
        </w:rPr>
        <w:t>the responsibility</w:t>
      </w:r>
      <w:r w:rsidRPr="00B73262">
        <w:rPr>
          <w:rFonts w:cs="Open Sans"/>
        </w:rPr>
        <w:t xml:space="preserve"> of providing psychosocial support.</w:t>
      </w:r>
      <w:r w:rsidRPr="0097140D">
        <w:rPr>
          <w:rFonts w:cs="Open Sans"/>
          <w:sz w:val="20"/>
          <w:szCs w:val="20"/>
          <w:vertAlign w:val="superscript"/>
        </w:rPr>
        <w:endnoteReference w:id="233"/>
      </w:r>
    </w:p>
    <w:p w:rsidR="005C4CC3" w:rsidP="005C4CC3" w:rsidRDefault="005C4CC3" w14:paraId="6589F338" w14:textId="77777777">
      <w:pPr>
        <w:rPr>
          <w:rFonts w:cs="Open Sans"/>
        </w:rPr>
      </w:pPr>
      <w:r>
        <w:rPr>
          <w:rFonts w:cs="Open Sans"/>
        </w:rPr>
        <w:t>One individual born with variations in sex characteristics stated:</w:t>
      </w:r>
    </w:p>
    <w:p w:rsidRPr="0097140D" w:rsidR="005C4CC3" w:rsidP="005C4CC3" w:rsidRDefault="005C4CC3" w14:paraId="78448EEC" w14:textId="77777777">
      <w:pPr>
        <w:ind w:left="720"/>
        <w:rPr>
          <w:rFonts w:cs="Open Sans"/>
          <w:sz w:val="20"/>
          <w:szCs w:val="20"/>
        </w:rPr>
      </w:pPr>
      <w:r w:rsidRPr="00240193">
        <w:rPr>
          <w:rFonts w:cs="Open Sans"/>
          <w:sz w:val="22"/>
          <w:szCs w:val="22"/>
        </w:rPr>
        <w:t xml:space="preserve">Consent is more than what happens on the way into an operating theatre. It’s about exposure to information, to peers, to different perspectives, and especially </w:t>
      </w:r>
      <w:r w:rsidRPr="00240193">
        <w:rPr>
          <w:rFonts w:cs="Open Sans"/>
          <w:sz w:val="22"/>
          <w:szCs w:val="22"/>
        </w:rPr>
        <w:lastRenderedPageBreak/>
        <w:t>to affirmative perspectives that can help tackle shame and secrecy in constructive ways</w:t>
      </w:r>
      <w:r w:rsidRPr="0097140D">
        <w:rPr>
          <w:rFonts w:cs="Open Sans"/>
          <w:sz w:val="20"/>
          <w:szCs w:val="20"/>
        </w:rPr>
        <w:t>.</w:t>
      </w:r>
      <w:r w:rsidRPr="0117CC5D">
        <w:rPr>
          <w:rStyle w:val="EndnoteReference"/>
          <w:rFonts w:cs="Open Sans"/>
        </w:rPr>
        <w:endnoteReference w:id="234"/>
      </w:r>
    </w:p>
    <w:p w:rsidRPr="003F1902" w:rsidR="005C4CC3" w:rsidP="005C4CC3" w:rsidRDefault="005C4CC3" w14:paraId="792BDCEE" w14:textId="77777777">
      <w:pPr>
        <w:rPr>
          <w:rFonts w:cs="Open Sans"/>
        </w:rPr>
      </w:pPr>
      <w:r>
        <w:rPr>
          <w:rFonts w:cs="Open Sans"/>
        </w:rPr>
        <w:t>A peer support and advocacy organisation submitted</w:t>
      </w:r>
      <w:r w:rsidRPr="003F1902">
        <w:rPr>
          <w:rFonts w:cs="Open Sans"/>
        </w:rPr>
        <w:t xml:space="preserve">: </w:t>
      </w:r>
    </w:p>
    <w:p w:rsidRPr="00454AFA" w:rsidR="005C4CC3" w:rsidP="005C4CC3" w:rsidRDefault="005C4CC3" w14:paraId="22C79791" w14:textId="77777777">
      <w:pPr>
        <w:ind w:left="720"/>
        <w:rPr>
          <w:rFonts w:cs="Open Sans"/>
          <w:sz w:val="20"/>
          <w:szCs w:val="20"/>
        </w:rPr>
      </w:pPr>
      <w:r w:rsidRPr="00F04CC9">
        <w:rPr>
          <w:rFonts w:cs="Open Sans"/>
          <w:sz w:val="22"/>
          <w:szCs w:val="22"/>
        </w:rPr>
        <w:t>The time of diagnosis for an individual or parent can be intensely stressful and uncertain</w:t>
      </w:r>
      <w:r>
        <w:rPr>
          <w:rFonts w:cs="Open Sans"/>
          <w:sz w:val="22"/>
          <w:szCs w:val="22"/>
        </w:rPr>
        <w:t xml:space="preserve"> </w:t>
      </w:r>
      <w:r w:rsidRPr="00F04CC9">
        <w:rPr>
          <w:rFonts w:cs="Open Sans"/>
          <w:sz w:val="22"/>
          <w:szCs w:val="22"/>
        </w:rPr>
        <w:t>…</w:t>
      </w:r>
      <w:r>
        <w:rPr>
          <w:rFonts w:cs="Open Sans"/>
          <w:sz w:val="22"/>
          <w:szCs w:val="22"/>
        </w:rPr>
        <w:t xml:space="preserve"> </w:t>
      </w:r>
      <w:r w:rsidRPr="00F04CC9">
        <w:rPr>
          <w:rFonts w:cs="Open Sans"/>
          <w:sz w:val="22"/>
          <w:szCs w:val="22"/>
        </w:rPr>
        <w:t>the range of information …</w:t>
      </w:r>
      <w:r>
        <w:rPr>
          <w:rFonts w:cs="Open Sans"/>
          <w:sz w:val="22"/>
          <w:szCs w:val="22"/>
        </w:rPr>
        <w:t xml:space="preserve"> </w:t>
      </w:r>
      <w:r w:rsidRPr="00F04CC9">
        <w:rPr>
          <w:rFonts w:cs="Open Sans"/>
          <w:sz w:val="22"/>
          <w:szCs w:val="22"/>
        </w:rPr>
        <w:t>can be overwhelming. Individuals or parents in this situation may also be navigating social difficulties, understanding or talking about the variation as a result of the stigma associated with their variations. Making contact with an unknown person or organisation at this stage may be increasingly difficult. Any tension between medical and social models of intersex may also be difficult to navigate, particularly if the benefits of peers</w:t>
      </w:r>
      <w:r>
        <w:rPr>
          <w:rFonts w:cs="Open Sans"/>
          <w:sz w:val="22"/>
          <w:szCs w:val="22"/>
        </w:rPr>
        <w:t xml:space="preserve"> [sic]</w:t>
      </w:r>
      <w:r w:rsidRPr="00F04CC9">
        <w:rPr>
          <w:rFonts w:cs="Open Sans"/>
          <w:sz w:val="22"/>
          <w:szCs w:val="22"/>
        </w:rPr>
        <w:t xml:space="preserve"> support are not explained by clinicians and recommendations for psychosocial support made as a first tier intervention</w:t>
      </w:r>
      <w:r w:rsidRPr="00454AFA">
        <w:rPr>
          <w:rFonts w:cs="Open Sans"/>
          <w:sz w:val="20"/>
          <w:szCs w:val="20"/>
        </w:rPr>
        <w:t>.</w:t>
      </w:r>
      <w:r w:rsidRPr="00454AFA">
        <w:rPr>
          <w:rFonts w:cs="Open Sans"/>
          <w:sz w:val="20"/>
          <w:szCs w:val="20"/>
          <w:vertAlign w:val="superscript"/>
        </w:rPr>
        <w:endnoteReference w:id="235"/>
      </w:r>
      <w:r w:rsidRPr="00454AFA">
        <w:rPr>
          <w:rFonts w:cs="Open Sans"/>
          <w:sz w:val="20"/>
          <w:szCs w:val="20"/>
        </w:rPr>
        <w:t xml:space="preserve"> </w:t>
      </w:r>
    </w:p>
    <w:p w:rsidRPr="003F1902" w:rsidR="005C4CC3" w:rsidP="005C4CC3" w:rsidRDefault="005C4CC3" w14:paraId="5E0E47F3" w14:textId="77777777">
      <w:pPr>
        <w:autoSpaceDE w:val="0"/>
        <w:autoSpaceDN w:val="0"/>
        <w:adjustRightInd w:val="0"/>
        <w:spacing w:after="0"/>
        <w:rPr>
          <w:rFonts w:cs="Open Sans"/>
        </w:rPr>
      </w:pPr>
      <w:r>
        <w:rPr>
          <w:rFonts w:cs="Open Sans"/>
        </w:rPr>
        <w:t>The concern was that, in assisting legal guardians or people born with variations in sex characteristics, medical teams provide inadequate or inappropriate referrals to peer support groups; it was not suggested that these referrals were never made by medical teams. This</w:t>
      </w:r>
      <w:r w:rsidRPr="005C324A">
        <w:rPr>
          <w:rFonts w:cs="Open Sans"/>
        </w:rPr>
        <w:t xml:space="preserve"> </w:t>
      </w:r>
      <w:r>
        <w:rPr>
          <w:rFonts w:cs="Open Sans"/>
        </w:rPr>
        <w:t>organisation</w:t>
      </w:r>
      <w:r w:rsidRPr="005C324A">
        <w:rPr>
          <w:rFonts w:cs="Open Sans"/>
        </w:rPr>
        <w:t xml:space="preserve"> </w:t>
      </w:r>
      <w:r>
        <w:rPr>
          <w:rFonts w:cs="Open Sans"/>
        </w:rPr>
        <w:t>submitted</w:t>
      </w:r>
      <w:r w:rsidRPr="005C324A">
        <w:rPr>
          <w:rFonts w:cs="Open Sans"/>
        </w:rPr>
        <w:t xml:space="preserve"> that </w:t>
      </w:r>
      <w:r>
        <w:rPr>
          <w:rFonts w:cs="Open Sans"/>
        </w:rPr>
        <w:t>whatever referral mechanisms may be in place are</w:t>
      </w:r>
      <w:r w:rsidRPr="005C324A">
        <w:rPr>
          <w:rFonts w:cs="Open Sans"/>
        </w:rPr>
        <w:t xml:space="preserve"> not currently working</w:t>
      </w:r>
      <w:r>
        <w:rPr>
          <w:rFonts w:cs="Open Sans"/>
        </w:rPr>
        <w:t>,</w:t>
      </w:r>
      <w:r w:rsidRPr="005C324A">
        <w:rPr>
          <w:rFonts w:cs="Open Sans"/>
        </w:rPr>
        <w:t xml:space="preserve"> a</w:t>
      </w:r>
      <w:r>
        <w:rPr>
          <w:rFonts w:cs="Open Sans"/>
        </w:rPr>
        <w:t xml:space="preserve">nd that it was </w:t>
      </w:r>
      <w:r w:rsidRPr="00F4033E">
        <w:rPr>
          <w:rFonts w:cs="Open Sans"/>
        </w:rPr>
        <w:t xml:space="preserve">not </w:t>
      </w:r>
      <w:r>
        <w:rPr>
          <w:rFonts w:cs="Open Sans"/>
        </w:rPr>
        <w:t>‘</w:t>
      </w:r>
      <w:r w:rsidRPr="00F4033E">
        <w:rPr>
          <w:rFonts w:cs="Open Sans"/>
        </w:rPr>
        <w:t xml:space="preserve">aware of a single referral to our support group from any Australian </w:t>
      </w:r>
      <w:r w:rsidRPr="00572E9F">
        <w:rPr>
          <w:rFonts w:cs="Open Sans"/>
        </w:rPr>
        <w:t>hospital in the past decade’</w:t>
      </w:r>
      <w:r w:rsidRPr="005C324A">
        <w:rPr>
          <w:rFonts w:cs="Open Sans"/>
        </w:rPr>
        <w:t>.</w:t>
      </w:r>
      <w:r w:rsidRPr="0117CC5D">
        <w:rPr>
          <w:rStyle w:val="EndnoteReference"/>
          <w:rFonts w:cs="Open Sans"/>
        </w:rPr>
        <w:endnoteReference w:id="236"/>
      </w:r>
      <w:r w:rsidRPr="00454AFA">
        <w:rPr>
          <w:rFonts w:cs="Open Sans"/>
          <w:sz w:val="20"/>
          <w:szCs w:val="20"/>
        </w:rPr>
        <w:t xml:space="preserve"> </w:t>
      </w:r>
      <w:r w:rsidRPr="00090A30">
        <w:rPr>
          <w:rFonts w:cs="Open Sans"/>
        </w:rPr>
        <w:t>There was support from parent support groups for referrals to peer support organisations</w:t>
      </w:r>
      <w:r>
        <w:rPr>
          <w:rFonts w:cs="Open Sans"/>
        </w:rPr>
        <w:t>.</w:t>
      </w:r>
      <w:r>
        <w:rPr>
          <w:rStyle w:val="EndnoteReference"/>
          <w:rFonts w:cs="Open Sans"/>
        </w:rPr>
        <w:endnoteReference w:id="237"/>
      </w:r>
    </w:p>
    <w:p w:rsidRPr="00FB33D0" w:rsidR="005C4CC3" w:rsidP="005C4CC3" w:rsidRDefault="005C4CC3" w14:paraId="64EB30E8" w14:textId="4E626989">
      <w:pPr>
        <w:pStyle w:val="Heading3"/>
        <w:tabs>
          <w:tab w:val="clear" w:pos="851"/>
          <w:tab w:val="num" w:pos="1571"/>
        </w:tabs>
      </w:pPr>
      <w:bookmarkStart w:name="_Toc55576997" w:id="240"/>
      <w:bookmarkStart w:name="_Toc55680028" w:id="241"/>
      <w:bookmarkStart w:name="_Toc55680111" w:id="242"/>
      <w:bookmarkStart w:name="_Toc55680352" w:id="243"/>
      <w:bookmarkStart w:name="_Toc55849891" w:id="244"/>
      <w:bookmarkStart w:name="_Toc56172639" w:id="245"/>
      <w:bookmarkStart w:name="_Toc56172724" w:id="246"/>
      <w:bookmarkStart w:name="_Toc80096983" w:id="247"/>
      <w:bookmarkStart w:name="_Toc85541420" w:id="248"/>
      <w:bookmarkEnd w:id="240"/>
      <w:bookmarkEnd w:id="241"/>
      <w:bookmarkEnd w:id="242"/>
      <w:bookmarkEnd w:id="243"/>
      <w:bookmarkEnd w:id="244"/>
      <w:bookmarkEnd w:id="245"/>
      <w:bookmarkEnd w:id="246"/>
      <w:r>
        <w:t xml:space="preserve">Experience of </w:t>
      </w:r>
      <w:r w:rsidR="00B153E6">
        <w:t xml:space="preserve">parents and </w:t>
      </w:r>
      <w:r>
        <w:t>legal guardians</w:t>
      </w:r>
      <w:bookmarkEnd w:id="248"/>
      <w:r>
        <w:t xml:space="preserve"> </w:t>
      </w:r>
      <w:bookmarkEnd w:id="247"/>
    </w:p>
    <w:p w:rsidR="005C4CC3" w:rsidP="005C4CC3" w:rsidRDefault="005C4CC3" w14:paraId="2DC0293F" w14:textId="77777777">
      <w:pPr>
        <w:rPr>
          <w:rFonts w:cs="Open Sans"/>
        </w:rPr>
      </w:pPr>
      <w:r>
        <w:rPr>
          <w:rFonts w:cs="Open Sans"/>
        </w:rPr>
        <w:t>Some</w:t>
      </w:r>
      <w:r w:rsidRPr="005C324A">
        <w:rPr>
          <w:rFonts w:cs="Open Sans"/>
        </w:rPr>
        <w:t xml:space="preserve"> parents </w:t>
      </w:r>
      <w:r>
        <w:rPr>
          <w:rFonts w:cs="Open Sans"/>
        </w:rPr>
        <w:t xml:space="preserve">who had provided consent to interventions on behalf of their children </w:t>
      </w:r>
      <w:r w:rsidRPr="005C324A">
        <w:rPr>
          <w:rFonts w:cs="Open Sans"/>
        </w:rPr>
        <w:t>expressed satisfaction with decision-making processes</w:t>
      </w:r>
      <w:r>
        <w:rPr>
          <w:rFonts w:cs="Open Sans"/>
        </w:rPr>
        <w:t>, including</w:t>
      </w:r>
      <w:r w:rsidRPr="00392661">
        <w:rPr>
          <w:rFonts w:cs="Open Sans"/>
        </w:rPr>
        <w:t xml:space="preserve"> </w:t>
      </w:r>
      <w:r w:rsidRPr="005C324A">
        <w:rPr>
          <w:rFonts w:cs="Open Sans"/>
        </w:rPr>
        <w:t>the information made available by clinicians.</w:t>
      </w:r>
      <w:r w:rsidRPr="0117CC5D">
        <w:rPr>
          <w:rStyle w:val="EndnoteReference"/>
          <w:rFonts w:cs="Open Sans"/>
        </w:rPr>
        <w:endnoteReference w:id="238"/>
      </w:r>
      <w:r w:rsidRPr="00922050">
        <w:rPr>
          <w:rFonts w:cs="Open Sans"/>
          <w:sz w:val="20"/>
          <w:szCs w:val="20"/>
        </w:rPr>
        <w:t xml:space="preserve"> </w:t>
      </w:r>
      <w:r>
        <w:rPr>
          <w:rFonts w:cs="Open Sans"/>
        </w:rPr>
        <w:t>T</w:t>
      </w:r>
      <w:r w:rsidRPr="005C324A">
        <w:rPr>
          <w:rFonts w:cs="Open Sans"/>
        </w:rPr>
        <w:t xml:space="preserve">hey expressed </w:t>
      </w:r>
      <w:r>
        <w:rPr>
          <w:rFonts w:cs="Open Sans"/>
        </w:rPr>
        <w:t xml:space="preserve">the view that parents are the appropriate decision makers about medical treatment for children, including interventions for children born with variations in sex characteristics. </w:t>
      </w:r>
    </w:p>
    <w:p w:rsidR="005C4CC3" w:rsidP="005C4CC3" w:rsidRDefault="005C4CC3" w14:paraId="3FFB1E1E" w14:textId="77777777">
      <w:pPr>
        <w:rPr>
          <w:rFonts w:cs="Open Sans"/>
        </w:rPr>
      </w:pPr>
      <w:r>
        <w:rPr>
          <w:rFonts w:cs="Open Sans"/>
        </w:rPr>
        <w:t>They argued that parents have their children’s best interests at heart. One parent, in</w:t>
      </w:r>
      <w:r w:rsidRPr="000D3CE4">
        <w:rPr>
          <w:rFonts w:cs="Open Sans"/>
        </w:rPr>
        <w:t xml:space="preserve"> </w:t>
      </w:r>
      <w:r>
        <w:rPr>
          <w:rFonts w:cs="Open Sans"/>
        </w:rPr>
        <w:t>explaining their decision to consent to an intervention on behalf of their child, said that ‘a</w:t>
      </w:r>
      <w:r w:rsidRPr="00116D06">
        <w:rPr>
          <w:rFonts w:cs="Open Sans"/>
        </w:rPr>
        <w:t>s parents all you want is for your child to fit in and be happy and healthy</w:t>
      </w:r>
      <w:r>
        <w:rPr>
          <w:rFonts w:cs="Open Sans"/>
        </w:rPr>
        <w:t>’</w:t>
      </w:r>
      <w:r w:rsidRPr="00116D06">
        <w:rPr>
          <w:rFonts w:cs="Open Sans"/>
        </w:rPr>
        <w:t>.</w:t>
      </w:r>
      <w:r w:rsidRPr="0117CC5D">
        <w:rPr>
          <w:rStyle w:val="EndnoteReference"/>
          <w:rFonts w:cs="Open Sans"/>
        </w:rPr>
        <w:endnoteReference w:id="239"/>
      </w:r>
      <w:r>
        <w:rPr>
          <w:rFonts w:cs="Open Sans"/>
        </w:rPr>
        <w:t xml:space="preserve"> </w:t>
      </w:r>
      <w:r w:rsidRPr="00116D06">
        <w:rPr>
          <w:rFonts w:cs="Open Sans"/>
          <w:color w:val="212121"/>
        </w:rPr>
        <w:t>The</w:t>
      </w:r>
      <w:r>
        <w:rPr>
          <w:rFonts w:cs="Open Sans"/>
          <w:color w:val="212121"/>
        </w:rPr>
        <w:t xml:space="preserve"> parent</w:t>
      </w:r>
      <w:r w:rsidRPr="00116D06">
        <w:rPr>
          <w:rFonts w:cs="Open Sans"/>
          <w:color w:val="212121"/>
        </w:rPr>
        <w:t xml:space="preserve"> </w:t>
      </w:r>
      <w:r>
        <w:rPr>
          <w:rFonts w:cs="Open Sans"/>
          <w:color w:val="212121"/>
        </w:rPr>
        <w:t xml:space="preserve">continued that </w:t>
      </w:r>
      <w:r w:rsidRPr="008F18E9">
        <w:rPr>
          <w:rFonts w:cs="Open Sans"/>
        </w:rPr>
        <w:t xml:space="preserve">’[w]e do not make decisions too quickly or without thinking of the full extent the decision would have on the child later in life’ and </w:t>
      </w:r>
      <w:r>
        <w:rPr>
          <w:rFonts w:cs="Open Sans"/>
        </w:rPr>
        <w:t>argued that applying a human rights framework risked curtailing the legitimate exercise of parents’ rights to make decisions in their child’s best interests.</w:t>
      </w:r>
      <w:r w:rsidRPr="0117CC5D">
        <w:rPr>
          <w:rStyle w:val="EndnoteReference"/>
          <w:rFonts w:cs="Open Sans"/>
        </w:rPr>
        <w:endnoteReference w:id="240"/>
      </w:r>
    </w:p>
    <w:p w:rsidRPr="002633D7" w:rsidR="005C4CC3" w:rsidP="005C4CC3" w:rsidRDefault="005C4CC3" w14:paraId="1FBF42A3" w14:textId="77777777">
      <w:pPr>
        <w:pStyle w:val="Heading4"/>
        <w:tabs>
          <w:tab w:val="clear" w:pos="851"/>
          <w:tab w:val="num" w:pos="1571"/>
        </w:tabs>
      </w:pPr>
      <w:r w:rsidRPr="002633D7">
        <w:lastRenderedPageBreak/>
        <w:t>Age</w:t>
      </w:r>
      <w:r>
        <w:t>-</w:t>
      </w:r>
      <w:r w:rsidRPr="002633D7">
        <w:t xml:space="preserve">appropriate engagement </w:t>
      </w:r>
    </w:p>
    <w:p w:rsidR="005C4CC3" w:rsidP="005C4CC3" w:rsidRDefault="005C4CC3" w14:paraId="076C239C" w14:textId="77777777">
      <w:pPr>
        <w:autoSpaceDE w:val="0"/>
        <w:autoSpaceDN w:val="0"/>
        <w:adjustRightInd w:val="0"/>
        <w:spacing w:before="0" w:after="0"/>
        <w:rPr>
          <w:rFonts w:cs="Open Sans"/>
        </w:rPr>
      </w:pPr>
      <w:r>
        <w:rPr>
          <w:rFonts w:cs="Open Sans"/>
        </w:rPr>
        <w:t>Several parents stated that information was provided to allow for the age-appropriate participation of children.</w:t>
      </w:r>
      <w:r w:rsidRPr="0117CC5D">
        <w:rPr>
          <w:rStyle w:val="EndnoteReference"/>
          <w:rFonts w:cs="Open Sans"/>
        </w:rPr>
        <w:endnoteReference w:id="241"/>
      </w:r>
      <w:r w:rsidRPr="00922050">
        <w:rPr>
          <w:rFonts w:cs="Open Sans"/>
          <w:sz w:val="20"/>
          <w:szCs w:val="20"/>
        </w:rPr>
        <w:t xml:space="preserve"> </w:t>
      </w:r>
      <w:r>
        <w:rPr>
          <w:rFonts w:cs="Open Sans"/>
        </w:rPr>
        <w:t xml:space="preserve">Specifically, one parent </w:t>
      </w:r>
      <w:r w:rsidRPr="002633D7">
        <w:rPr>
          <w:rFonts w:cs="Open Sans"/>
        </w:rPr>
        <w:t xml:space="preserve">expressed satisfaction </w:t>
      </w:r>
      <w:r>
        <w:rPr>
          <w:rFonts w:cs="Open Sans"/>
        </w:rPr>
        <w:t xml:space="preserve">with </w:t>
      </w:r>
      <w:r w:rsidRPr="002633D7">
        <w:rPr>
          <w:rFonts w:cs="Open Sans"/>
        </w:rPr>
        <w:t xml:space="preserve">how their child was </w:t>
      </w:r>
      <w:r>
        <w:rPr>
          <w:rFonts w:cs="Open Sans"/>
        </w:rPr>
        <w:t>e</w:t>
      </w:r>
      <w:r w:rsidRPr="002633D7">
        <w:rPr>
          <w:rFonts w:cs="Open Sans"/>
        </w:rPr>
        <w:t>ngaged with by clin</w:t>
      </w:r>
      <w:r>
        <w:rPr>
          <w:rFonts w:cs="Open Sans"/>
        </w:rPr>
        <w:t>i</w:t>
      </w:r>
      <w:r w:rsidRPr="002633D7">
        <w:rPr>
          <w:rFonts w:cs="Open Sans"/>
        </w:rPr>
        <w:t>cians in relation to proposed treatment</w:t>
      </w:r>
      <w:r>
        <w:rPr>
          <w:rFonts w:cs="Open Sans"/>
        </w:rPr>
        <w:t xml:space="preserve"> in the following terms:</w:t>
      </w:r>
    </w:p>
    <w:p w:rsidRPr="002633D7" w:rsidR="005C4CC3" w:rsidP="005C4CC3" w:rsidRDefault="005C4CC3" w14:paraId="5A9EDA95" w14:textId="77777777">
      <w:pPr>
        <w:autoSpaceDE w:val="0"/>
        <w:autoSpaceDN w:val="0"/>
        <w:adjustRightInd w:val="0"/>
        <w:spacing w:before="0" w:after="0"/>
        <w:rPr>
          <w:rFonts w:cs="Open Sans"/>
        </w:rPr>
      </w:pPr>
    </w:p>
    <w:p w:rsidRPr="002633D7" w:rsidR="005C4CC3" w:rsidP="005C4CC3" w:rsidRDefault="005C4CC3" w14:paraId="1B3467D7" w14:textId="77777777">
      <w:pPr>
        <w:autoSpaceDE w:val="0"/>
        <w:autoSpaceDN w:val="0"/>
        <w:adjustRightInd w:val="0"/>
        <w:spacing w:before="0" w:after="0"/>
        <w:ind w:left="720"/>
        <w:rPr>
          <w:rFonts w:cs="Open Sans"/>
          <w:sz w:val="22"/>
          <w:szCs w:val="22"/>
        </w:rPr>
      </w:pPr>
      <w:r w:rsidRPr="002633D7">
        <w:rPr>
          <w:rFonts w:cs="Open Sans"/>
          <w:sz w:val="22"/>
          <w:szCs w:val="22"/>
        </w:rPr>
        <w:t>My 13 year old daughter gave informed consent and we as parents also consented. Information was provided by one specialist, age appropriate for my 13 year old, psychological assessment was conducted to ensure she was not coerced, etc.</w:t>
      </w:r>
      <w:r w:rsidRPr="0117CC5D">
        <w:rPr>
          <w:rStyle w:val="EndnoteReference"/>
          <w:rFonts w:cs="Open Sans"/>
        </w:rPr>
        <w:endnoteReference w:id="242"/>
      </w:r>
    </w:p>
    <w:p w:rsidR="005C4CC3" w:rsidP="005C4CC3" w:rsidRDefault="005C4CC3" w14:paraId="44805130" w14:textId="77777777">
      <w:pPr>
        <w:pStyle w:val="Heading4"/>
        <w:tabs>
          <w:tab w:val="clear" w:pos="851"/>
          <w:tab w:val="num" w:pos="1571"/>
        </w:tabs>
      </w:pPr>
      <w:r>
        <w:t>Inadequate information provision</w:t>
      </w:r>
    </w:p>
    <w:p w:rsidRPr="0061498D" w:rsidR="005C4CC3" w:rsidP="005C4CC3" w:rsidRDefault="005C4CC3" w14:paraId="09B76D1E" w14:textId="77777777">
      <w:pPr>
        <w:rPr>
          <w:rFonts w:cs="Open Sans"/>
        </w:rPr>
      </w:pPr>
      <w:r w:rsidRPr="00290781">
        <w:rPr>
          <w:rFonts w:cs="Open Sans"/>
        </w:rPr>
        <w:t xml:space="preserve">Some </w:t>
      </w:r>
      <w:r>
        <w:rPr>
          <w:rFonts w:cs="Open Sans"/>
        </w:rPr>
        <w:t>parents</w:t>
      </w:r>
      <w:r w:rsidRPr="00290781">
        <w:rPr>
          <w:rFonts w:cs="Open Sans"/>
        </w:rPr>
        <w:t xml:space="preserve"> indicated</w:t>
      </w:r>
      <w:r>
        <w:rPr>
          <w:rFonts w:cs="Open Sans"/>
        </w:rPr>
        <w:t xml:space="preserve"> that doctors did not provide enough information</w:t>
      </w:r>
      <w:r w:rsidRPr="00290781">
        <w:rPr>
          <w:rFonts w:cs="Open Sans"/>
        </w:rPr>
        <w:t>,</w:t>
      </w:r>
      <w:r>
        <w:rPr>
          <w:rFonts w:cs="Open Sans"/>
        </w:rPr>
        <w:t xml:space="preserve"> and as a result</w:t>
      </w:r>
      <w:r w:rsidRPr="00290781">
        <w:rPr>
          <w:rFonts w:cs="Open Sans"/>
        </w:rPr>
        <w:t xml:space="preserve"> they needed to do a lot of their own research to understand </w:t>
      </w:r>
      <w:r>
        <w:rPr>
          <w:rFonts w:cs="Open Sans"/>
        </w:rPr>
        <w:t xml:space="preserve">both </w:t>
      </w:r>
      <w:r w:rsidRPr="00290781">
        <w:rPr>
          <w:rFonts w:cs="Open Sans"/>
        </w:rPr>
        <w:t xml:space="preserve">what </w:t>
      </w:r>
      <w:r>
        <w:rPr>
          <w:rFonts w:cs="Open Sans"/>
        </w:rPr>
        <w:t xml:space="preserve">treatment </w:t>
      </w:r>
      <w:r w:rsidRPr="00290781">
        <w:rPr>
          <w:rFonts w:cs="Open Sans"/>
        </w:rPr>
        <w:t>options were available</w:t>
      </w:r>
      <w:r>
        <w:rPr>
          <w:rFonts w:cs="Open Sans"/>
        </w:rPr>
        <w:t xml:space="preserve"> for their children</w:t>
      </w:r>
      <w:r w:rsidRPr="00290781">
        <w:rPr>
          <w:rFonts w:cs="Open Sans"/>
        </w:rPr>
        <w:t>, and the merits or otherwise of each option.</w:t>
      </w:r>
      <w:r>
        <w:rPr>
          <w:rFonts w:cs="Open Sans"/>
        </w:rPr>
        <w:t xml:space="preserve"> One frustrated parent said,</w:t>
      </w:r>
      <w:r w:rsidRPr="00C6250D">
        <w:rPr>
          <w:rFonts w:cs="Open Sans"/>
        </w:rPr>
        <w:t xml:space="preserve"> ‘</w:t>
      </w:r>
      <w:r w:rsidRPr="00DB0AEF">
        <w:t>you need a lot more support at that than you actually get’</w:t>
      </w:r>
      <w:r>
        <w:t>.</w:t>
      </w:r>
      <w:r w:rsidRPr="0117CC5D">
        <w:rPr>
          <w:rStyle w:val="EndnoteReference"/>
        </w:rPr>
        <w:endnoteReference w:id="243"/>
      </w:r>
    </w:p>
    <w:p w:rsidR="005C4CC3" w:rsidP="005C4CC3" w:rsidRDefault="005C4CC3" w14:paraId="5CE1C0BC" w14:textId="77777777">
      <w:r>
        <w:t xml:space="preserve">In describing her ability to ensure that her daughter, who has congenital adrenal hyperplasia, was provided with the appropriate medical care, she continued: </w:t>
      </w:r>
    </w:p>
    <w:p w:rsidR="005C4CC3" w:rsidP="005C4CC3" w:rsidRDefault="005C4CC3" w14:paraId="5BABC5E9" w14:textId="77777777">
      <w:pPr>
        <w:ind w:left="720"/>
        <w:rPr>
          <w:rFonts w:cs="Open Sans"/>
          <w:sz w:val="22"/>
          <w:szCs w:val="22"/>
        </w:rPr>
      </w:pPr>
      <w:r w:rsidRPr="00BC1522">
        <w:rPr>
          <w:rFonts w:cs="Open Sans"/>
          <w:sz w:val="22"/>
          <w:szCs w:val="22"/>
        </w:rPr>
        <w:t>what makes me so upset about this scenario is I had the means to gain access and to do it [obtain condition-related information] on my own but I don’t think everybody does you know, we’re not all created equal in that scenario. And that’s where I would say, I was dissatisfied with that. Well, I had to go out and do it all on my own to find out what I wanted to do for my daughter. There wasn’t access coming to me.</w:t>
      </w:r>
      <w:r w:rsidRPr="0117CC5D">
        <w:rPr>
          <w:rStyle w:val="EndnoteReference"/>
          <w:rFonts w:cs="Open Sans"/>
        </w:rPr>
        <w:endnoteReference w:id="244"/>
      </w:r>
    </w:p>
    <w:p w:rsidRPr="00DC6911" w:rsidR="005C4CC3" w:rsidP="005C4CC3" w:rsidRDefault="005C4CC3" w14:paraId="67D45EC6" w14:textId="77777777">
      <w:pPr>
        <w:rPr>
          <w:rFonts w:cs="Open Sans"/>
        </w:rPr>
      </w:pPr>
      <w:r w:rsidRPr="00DC6911">
        <w:rPr>
          <w:rFonts w:cs="Open Sans"/>
        </w:rPr>
        <w:t xml:space="preserve">An intersex peer and advocacy organisation </w:t>
      </w:r>
      <w:r>
        <w:rPr>
          <w:rFonts w:cs="Open Sans"/>
        </w:rPr>
        <w:t>said</w:t>
      </w:r>
      <w:r w:rsidRPr="00DC6911">
        <w:rPr>
          <w:rFonts w:cs="Open Sans"/>
        </w:rPr>
        <w:t xml:space="preserve"> that parents reported to them that information about alternative treatment options was not provided to them.</w:t>
      </w:r>
      <w:r w:rsidRPr="003346E0">
        <w:rPr>
          <w:rFonts w:cs="Open Sans"/>
          <w:sz w:val="20"/>
          <w:szCs w:val="20"/>
          <w:vertAlign w:val="superscript"/>
        </w:rPr>
        <w:endnoteReference w:id="245"/>
      </w:r>
      <w:r w:rsidRPr="003346E0">
        <w:rPr>
          <w:rFonts w:cs="Open Sans"/>
          <w:sz w:val="20"/>
          <w:szCs w:val="20"/>
        </w:rPr>
        <w:t xml:space="preserve"> </w:t>
      </w:r>
      <w:r>
        <w:rPr>
          <w:rFonts w:cs="Open Sans"/>
        </w:rPr>
        <w:t>I</w:t>
      </w:r>
      <w:r w:rsidRPr="00DC6911">
        <w:rPr>
          <w:rFonts w:cs="Open Sans"/>
        </w:rPr>
        <w:t>n some instances doctors have not provided all relevant information without significant prompting by parents.</w:t>
      </w:r>
      <w:r w:rsidRPr="003346E0">
        <w:rPr>
          <w:rFonts w:cs="Open Sans"/>
          <w:sz w:val="20"/>
          <w:szCs w:val="20"/>
          <w:vertAlign w:val="superscript"/>
        </w:rPr>
        <w:endnoteReference w:id="246"/>
      </w:r>
      <w:r w:rsidRPr="00DC6911">
        <w:rPr>
          <w:rFonts w:cs="Open Sans"/>
        </w:rPr>
        <w:t xml:space="preserve"> </w:t>
      </w:r>
    </w:p>
    <w:p w:rsidRPr="00055506" w:rsidR="005C4CC3" w:rsidP="005C4CC3" w:rsidRDefault="005C4CC3" w14:paraId="5944B7AE" w14:textId="77777777">
      <w:pPr>
        <w:pStyle w:val="Heading3"/>
        <w:tabs>
          <w:tab w:val="clear" w:pos="851"/>
          <w:tab w:val="num" w:pos="2291"/>
        </w:tabs>
      </w:pPr>
      <w:bookmarkStart w:name="_Toc80096984" w:id="249"/>
      <w:bookmarkStart w:name="_Toc85541421" w:id="250"/>
      <w:r>
        <w:lastRenderedPageBreak/>
        <w:t>Providing adequate information to ensure informed consent</w:t>
      </w:r>
      <w:bookmarkEnd w:id="249"/>
      <w:bookmarkEnd w:id="250"/>
    </w:p>
    <w:p w:rsidRPr="00444066" w:rsidR="005C4CC3" w:rsidP="005C4CC3" w:rsidRDefault="005C4CC3" w14:paraId="3C4781AD" w14:textId="77777777">
      <w:r>
        <w:t>Stakeholders</w:t>
      </w:r>
      <w:r w:rsidRPr="00444066">
        <w:t xml:space="preserve"> </w:t>
      </w:r>
      <w:r>
        <w:t>agreed</w:t>
      </w:r>
      <w:r w:rsidRPr="00444066">
        <w:t xml:space="preserve"> that people born with variations in sex characteristics and their </w:t>
      </w:r>
      <w:r>
        <w:t>legal guardians</w:t>
      </w:r>
      <w:r w:rsidRPr="00444066">
        <w:t xml:space="preserve"> </w:t>
      </w:r>
      <w:r>
        <w:t xml:space="preserve">should </w:t>
      </w:r>
      <w:r w:rsidRPr="00444066">
        <w:t xml:space="preserve">be provided with adequate relevant information to ensure informed consent. </w:t>
      </w:r>
      <w:r>
        <w:t xml:space="preserve">Stakeholder views </w:t>
      </w:r>
      <w:r w:rsidRPr="00113F46">
        <w:t xml:space="preserve">about what information should be provided, and how, are discussed below. </w:t>
      </w:r>
    </w:p>
    <w:p w:rsidRPr="00444066" w:rsidR="005C4CC3" w:rsidP="005C4CC3" w:rsidRDefault="005C4CC3" w14:paraId="1E46A02B" w14:textId="77777777">
      <w:pPr>
        <w:pStyle w:val="Heading4"/>
      </w:pPr>
      <w:r w:rsidRPr="00444066">
        <w:t xml:space="preserve">What information </w:t>
      </w:r>
      <w:r w:rsidRPr="00113F46">
        <w:t>should be provided</w:t>
      </w:r>
    </w:p>
    <w:p w:rsidRPr="00366C17" w:rsidR="005C4CC3" w:rsidP="005C4CC3" w:rsidRDefault="005C4CC3" w14:paraId="167B4EB1" w14:textId="77777777">
      <w:r>
        <w:t>Stakeholders</w:t>
      </w:r>
      <w:r w:rsidRPr="00366C17">
        <w:t xml:space="preserve"> </w:t>
      </w:r>
      <w:r>
        <w:t>submitted that decision makers need to receive information that is</w:t>
      </w:r>
      <w:r w:rsidRPr="00366C17">
        <w:t xml:space="preserve"> accurate, up-to-date and evidence</w:t>
      </w:r>
      <w:r>
        <w:t xml:space="preserve"> </w:t>
      </w:r>
      <w:r w:rsidRPr="00366C17">
        <w:t>based. Information should be provided from multiple perspectives</w:t>
      </w:r>
      <w:r w:rsidRPr="0018353A">
        <w:t xml:space="preserve">, including that </w:t>
      </w:r>
      <w:r w:rsidRPr="009F0451">
        <w:t>of</w:t>
      </w:r>
      <w:r w:rsidRPr="0018353A">
        <w:t xml:space="preserve"> mental health specialists and people with lived experience of variations in sex characteristics</w:t>
      </w:r>
      <w:r w:rsidRPr="00366C17">
        <w:t xml:space="preserve">, </w:t>
      </w:r>
      <w:r>
        <w:t>and should address</w:t>
      </w:r>
      <w:r w:rsidRPr="00366C17">
        <w:t xml:space="preserve"> proposed treatment</w:t>
      </w:r>
      <w:r>
        <w:t>s</w:t>
      </w:r>
      <w:r w:rsidRPr="00366C17">
        <w:t xml:space="preserve">, </w:t>
      </w:r>
      <w:r>
        <w:t xml:space="preserve">potential alternatives, and the associated </w:t>
      </w:r>
      <w:r w:rsidRPr="00366C17">
        <w:t>risks and benefits</w:t>
      </w:r>
      <w:r>
        <w:t xml:space="preserve"> of all options</w:t>
      </w:r>
      <w:r w:rsidRPr="00366C17">
        <w:t xml:space="preserve">, including </w:t>
      </w:r>
      <w:r>
        <w:t>the risks and benefits of opting for</w:t>
      </w:r>
      <w:r w:rsidRPr="00366C17">
        <w:t xml:space="preserve"> no treatment</w:t>
      </w:r>
      <w:r>
        <w:t>.</w:t>
      </w:r>
      <w:r w:rsidRPr="003346E0">
        <w:rPr>
          <w:sz w:val="20"/>
          <w:szCs w:val="20"/>
          <w:vertAlign w:val="superscript"/>
        </w:rPr>
        <w:endnoteReference w:id="247"/>
      </w:r>
      <w:r w:rsidRPr="003346E0">
        <w:rPr>
          <w:sz w:val="20"/>
          <w:szCs w:val="20"/>
        </w:rPr>
        <w:t xml:space="preserve"> </w:t>
      </w:r>
      <w:r>
        <w:t>Decision makers should also be informed about</w:t>
      </w:r>
      <w:r w:rsidRPr="00366C17">
        <w:t xml:space="preserve"> whether proposed interventions are reversible.</w:t>
      </w:r>
      <w:r w:rsidRPr="003346E0">
        <w:rPr>
          <w:sz w:val="20"/>
          <w:szCs w:val="20"/>
          <w:vertAlign w:val="superscript"/>
        </w:rPr>
        <w:endnoteReference w:id="248"/>
      </w:r>
      <w:r w:rsidRPr="00366C17">
        <w:t xml:space="preserve"> </w:t>
      </w:r>
    </w:p>
    <w:p w:rsidRPr="00366C17" w:rsidR="005C4CC3" w:rsidP="005C4CC3" w:rsidRDefault="005C4CC3" w14:paraId="13869134" w14:textId="77777777">
      <w:r w:rsidRPr="00366C17">
        <w:t xml:space="preserve">People born with variations </w:t>
      </w:r>
      <w:r>
        <w:t xml:space="preserve">in sex characteristics </w:t>
      </w:r>
      <w:r w:rsidRPr="00366C17">
        <w:t xml:space="preserve">called for clear articulation </w:t>
      </w:r>
      <w:r>
        <w:t xml:space="preserve">by treating professionals </w:t>
      </w:r>
      <w:r w:rsidRPr="00366C17">
        <w:t>of the purpose</w:t>
      </w:r>
      <w:r>
        <w:t xml:space="preserve"> or purpose</w:t>
      </w:r>
      <w:r w:rsidRPr="00366C17">
        <w:t>s of proposed treatment</w:t>
      </w:r>
      <w:r>
        <w:t xml:space="preserve">. In particular, it should be made clear whether factors said to weigh in favour of an intervention relate to physical matters such as </w:t>
      </w:r>
      <w:r w:rsidRPr="00366C17">
        <w:t>function</w:t>
      </w:r>
      <w:r>
        <w:t xml:space="preserve">, </w:t>
      </w:r>
      <w:r w:rsidRPr="00366C17">
        <w:t>pain</w:t>
      </w:r>
      <w:r>
        <w:t xml:space="preserve"> or </w:t>
      </w:r>
      <w:r w:rsidRPr="00366C17">
        <w:t>discomfort</w:t>
      </w:r>
      <w:r>
        <w:t>, or to psychosocial or other matters</w:t>
      </w:r>
      <w:r w:rsidRPr="00366C17">
        <w:t xml:space="preserve"> (</w:t>
      </w:r>
      <w:r>
        <w:t>for example,</w:t>
      </w:r>
      <w:r w:rsidRPr="00366C17">
        <w:t xml:space="preserve"> addressing concerns about bullying). </w:t>
      </w:r>
      <w:r w:rsidRPr="00366C17">
        <w:rPr>
          <w:rFonts w:cs="Open Sans"/>
        </w:rPr>
        <w:t xml:space="preserve">People born with variations in sex characteristics also called for </w:t>
      </w:r>
      <w:r w:rsidRPr="00366C17">
        <w:t xml:space="preserve">access to information about social understandings of </w:t>
      </w:r>
      <w:r>
        <w:t>‘</w:t>
      </w:r>
      <w:r w:rsidRPr="00366C17">
        <w:t>intersex</w:t>
      </w:r>
      <w:r>
        <w:t>’</w:t>
      </w:r>
      <w:r w:rsidRPr="00366C17">
        <w:t>.</w:t>
      </w:r>
      <w:r w:rsidRPr="003346E0">
        <w:rPr>
          <w:sz w:val="20"/>
          <w:szCs w:val="20"/>
          <w:vertAlign w:val="superscript"/>
        </w:rPr>
        <w:endnoteReference w:id="249"/>
      </w:r>
    </w:p>
    <w:p w:rsidRPr="0018353A" w:rsidR="005C4CC3" w:rsidP="005C4CC3" w:rsidRDefault="005C4CC3" w14:paraId="2C7D3482" w14:textId="77777777">
      <w:pPr>
        <w:rPr>
          <w:rFonts w:cs="Open Sans"/>
        </w:rPr>
      </w:pPr>
      <w:r w:rsidRPr="00366C17">
        <w:t>Clinician</w:t>
      </w:r>
      <w:r w:rsidRPr="00366C17" w:rsidDel="003C189D">
        <w:t xml:space="preserve"> </w:t>
      </w:r>
      <w:r>
        <w:t>stakeholders</w:t>
      </w:r>
      <w:r w:rsidRPr="00366C17">
        <w:t xml:space="preserve"> supported the dissemination of results of research and studies in an accessible format.</w:t>
      </w:r>
      <w:r w:rsidRPr="003346E0">
        <w:rPr>
          <w:sz w:val="20"/>
          <w:szCs w:val="20"/>
          <w:vertAlign w:val="superscript"/>
        </w:rPr>
        <w:endnoteReference w:id="250"/>
      </w:r>
      <w:r w:rsidRPr="003346E0">
        <w:rPr>
          <w:sz w:val="20"/>
          <w:szCs w:val="20"/>
        </w:rPr>
        <w:t xml:space="preserve"> </w:t>
      </w:r>
      <w:r>
        <w:t>There is currently a lack of long-term outcome data relating to interventions for people born with variations in sex characteristics, as</w:t>
      </w:r>
      <w:r w:rsidDel="003C189D">
        <w:t xml:space="preserve"> </w:t>
      </w:r>
      <w:r>
        <w:t xml:space="preserve">discussed in </w:t>
      </w:r>
      <w:r w:rsidRPr="003346E0">
        <w:t xml:space="preserve">Chapter 9 – </w:t>
      </w:r>
      <w:bookmarkStart w:name="_Toc55849894" w:id="251"/>
      <w:bookmarkStart w:name="_Toc56172642" w:id="252"/>
      <w:bookmarkStart w:name="_Toc56172727" w:id="253"/>
      <w:bookmarkStart w:name="_Toc55849895" w:id="254"/>
      <w:bookmarkStart w:name="_Toc56172643" w:id="255"/>
      <w:bookmarkStart w:name="_Toc56172728" w:id="256"/>
      <w:bookmarkStart w:name="_Toc55849896" w:id="257"/>
      <w:bookmarkStart w:name="_Toc56172644" w:id="258"/>
      <w:bookmarkStart w:name="_Toc56172729" w:id="259"/>
      <w:bookmarkStart w:name="_Toc55849897" w:id="260"/>
      <w:bookmarkStart w:name="_Toc56172645" w:id="261"/>
      <w:bookmarkStart w:name="_Toc56172730" w:id="262"/>
      <w:bookmarkStart w:name="_Toc55849898" w:id="263"/>
      <w:bookmarkStart w:name="_Toc56172646" w:id="264"/>
      <w:bookmarkStart w:name="_Toc56172731" w:id="265"/>
      <w:bookmarkStart w:name="_Toc55849899" w:id="266"/>
      <w:bookmarkStart w:name="_Toc56172647" w:id="267"/>
      <w:bookmarkStart w:name="_Toc56172732" w:id="268"/>
      <w:bookmarkStart w:name="_Toc55849900" w:id="269"/>
      <w:bookmarkStart w:name="_Toc56172648" w:id="270"/>
      <w:bookmarkStart w:name="_Toc56172733" w:id="271"/>
      <w:bookmarkStart w:name="_Toc74731948" w:id="272"/>
      <w:bookmarkStart w:name="_Toc74731949" w:id="273"/>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003346E0">
        <w:t>Support, health records and data collection</w:t>
      </w:r>
      <w:r>
        <w:t xml:space="preserve">. </w:t>
      </w:r>
      <w:r w:rsidRPr="003346E0">
        <w:t>The Endocrine Society</w:t>
      </w:r>
      <w:r>
        <w:t xml:space="preserve"> of Australia</w:t>
      </w:r>
      <w:r w:rsidRPr="00366C17" w:rsidDel="0037417E">
        <w:rPr>
          <w:rFonts w:cs="Open Sans"/>
        </w:rPr>
        <w:t xml:space="preserve"> </w:t>
      </w:r>
      <w:r w:rsidRPr="00366C17">
        <w:rPr>
          <w:rFonts w:cs="Open Sans"/>
        </w:rPr>
        <w:t xml:space="preserve">stated that availability of long-term outcome data </w:t>
      </w:r>
      <w:r>
        <w:rPr>
          <w:rFonts w:cs="Open Sans"/>
        </w:rPr>
        <w:t>’</w:t>
      </w:r>
      <w:r w:rsidRPr="00366C17">
        <w:rPr>
          <w:rFonts w:cs="Open Sans"/>
          <w:lang w:val="en-US"/>
        </w:rPr>
        <w:t>would enhance the capacity of people born with variations in sex characteristics to provide full and informed consent</w:t>
      </w:r>
      <w:r>
        <w:rPr>
          <w:rFonts w:cs="Open Sans"/>
        </w:rPr>
        <w:t>’</w:t>
      </w:r>
      <w:r w:rsidRPr="00366C17">
        <w:rPr>
          <w:rFonts w:cs="Open Sans"/>
        </w:rPr>
        <w:t>.</w:t>
      </w:r>
      <w:r w:rsidRPr="0117CC5D">
        <w:rPr>
          <w:rStyle w:val="EndnoteReference"/>
          <w:rFonts w:cs="Open Sans"/>
        </w:rPr>
        <w:endnoteReference w:id="251"/>
      </w:r>
      <w:r w:rsidRPr="003346E0">
        <w:rPr>
          <w:rFonts w:cs="Open Sans"/>
          <w:sz w:val="20"/>
          <w:szCs w:val="20"/>
        </w:rPr>
        <w:t xml:space="preserve"> </w:t>
      </w:r>
    </w:p>
    <w:p w:rsidRPr="00366C17" w:rsidR="005C4CC3" w:rsidP="005C4CC3" w:rsidRDefault="005C4CC3" w14:paraId="5A54370B" w14:textId="77777777">
      <w:pPr>
        <w:pStyle w:val="Heading4"/>
        <w:tabs>
          <w:tab w:val="clear" w:pos="851"/>
          <w:tab w:val="num" w:pos="1571"/>
        </w:tabs>
      </w:pPr>
      <w:r w:rsidRPr="00366C17">
        <w:t>How information should be provided</w:t>
      </w:r>
    </w:p>
    <w:p w:rsidRPr="00B02CF8" w:rsidR="005C4CC3" w:rsidP="005C4CC3" w:rsidRDefault="005C4CC3" w14:paraId="6BD07656" w14:textId="77777777">
      <w:pPr>
        <w:rPr>
          <w:i/>
          <w:iCs/>
        </w:rPr>
      </w:pPr>
      <w:r>
        <w:t>The Endocrine Society of Australia</w:t>
      </w:r>
      <w:r w:rsidRPr="002B6CDF" w:rsidDel="0037417E">
        <w:t xml:space="preserve"> </w:t>
      </w:r>
      <w:r w:rsidRPr="002B6CDF">
        <w:t xml:space="preserve">said </w:t>
      </w:r>
      <w:r>
        <w:t xml:space="preserve">the provision of information </w:t>
      </w:r>
      <w:r w:rsidRPr="002B6CDF">
        <w:t>should be open and clear, with space and time made for ongoing discussion before a decision is made</w:t>
      </w:r>
      <w:r>
        <w:t xml:space="preserve">, at least </w:t>
      </w:r>
      <w:r w:rsidRPr="002B6CDF">
        <w:t>in the absence of an emergency.</w:t>
      </w:r>
      <w:r w:rsidRPr="003346E0">
        <w:rPr>
          <w:sz w:val="20"/>
          <w:szCs w:val="20"/>
          <w:vertAlign w:val="superscript"/>
        </w:rPr>
        <w:endnoteReference w:id="252"/>
      </w:r>
      <w:r w:rsidRPr="002B6CDF">
        <w:t xml:space="preserve"> Some parent</w:t>
      </w:r>
      <w:r>
        <w:t>s</w:t>
      </w:r>
      <w:r w:rsidRPr="002B6CDF">
        <w:t xml:space="preserve"> </w:t>
      </w:r>
      <w:r>
        <w:t xml:space="preserve">and </w:t>
      </w:r>
      <w:r w:rsidRPr="002B6CDF">
        <w:lastRenderedPageBreak/>
        <w:t>clinician</w:t>
      </w:r>
      <w:r>
        <w:t>s</w:t>
      </w:r>
      <w:r w:rsidRPr="002B6CDF">
        <w:t xml:space="preserve"> emphasised the need for families to be given</w:t>
      </w:r>
      <w:r w:rsidRPr="002B6CDF" w:rsidDel="004A15A2">
        <w:t xml:space="preserve"> </w:t>
      </w:r>
      <w:r w:rsidRPr="002B6CDF">
        <w:t>time to consider information properly before being asked to provide consent</w:t>
      </w:r>
      <w:r>
        <w:t xml:space="preserve"> because, at the time of diagnosis, the information can be overwhelming</w:t>
      </w:r>
      <w:r w:rsidRPr="002B6CDF">
        <w:t>.</w:t>
      </w:r>
      <w:r w:rsidRPr="003346E0">
        <w:rPr>
          <w:sz w:val="20"/>
          <w:szCs w:val="20"/>
          <w:vertAlign w:val="superscript"/>
        </w:rPr>
        <w:endnoteReference w:id="253"/>
      </w:r>
      <w:r w:rsidRPr="003346E0">
        <w:rPr>
          <w:sz w:val="20"/>
          <w:szCs w:val="20"/>
        </w:rPr>
        <w:t xml:space="preserve"> </w:t>
      </w:r>
    </w:p>
    <w:p w:rsidRPr="002B6CDF" w:rsidR="005C4CC3" w:rsidP="005C4CC3" w:rsidRDefault="005C4CC3" w14:paraId="3758BD2D" w14:textId="77777777">
      <w:pPr>
        <w:rPr>
          <w:rFonts w:cs="Open Sans"/>
          <w:i/>
          <w:iCs/>
        </w:rPr>
      </w:pPr>
      <w:r>
        <w:t>The Endocrine Society of Australia</w:t>
      </w:r>
      <w:r w:rsidRPr="002B6CDF" w:rsidDel="0037417E">
        <w:t xml:space="preserve"> </w:t>
      </w:r>
      <w:r w:rsidRPr="0026675C">
        <w:t>highlighted that</w:t>
      </w:r>
      <w:r>
        <w:t xml:space="preserve"> the</w:t>
      </w:r>
      <w:r w:rsidRPr="0026675C">
        <w:t xml:space="preserve"> </w:t>
      </w:r>
      <w:r>
        <w:t>2016 Consensus Statement Update recommends that doctors ensure time is provided</w:t>
      </w:r>
      <w:r w:rsidRPr="0026675C">
        <w:t xml:space="preserve"> </w:t>
      </w:r>
      <w:r>
        <w:t>those providing consent</w:t>
      </w:r>
      <w:r w:rsidRPr="0026675C">
        <w:t xml:space="preserve"> to </w:t>
      </w:r>
      <w:r>
        <w:t>‘</w:t>
      </w:r>
      <w:r w:rsidRPr="0026675C">
        <w:t>articulate back</w:t>
      </w:r>
      <w:r>
        <w:t>’</w:t>
      </w:r>
      <w:r w:rsidRPr="0026675C">
        <w:t xml:space="preserve"> the information and advice provided, and the implications</w:t>
      </w:r>
      <w:r>
        <w:t xml:space="preserve"> of proposed treatment.</w:t>
      </w:r>
      <w:r w:rsidRPr="003346E0">
        <w:rPr>
          <w:sz w:val="20"/>
          <w:szCs w:val="20"/>
          <w:vertAlign w:val="superscript"/>
        </w:rPr>
        <w:endnoteReference w:id="254"/>
      </w:r>
      <w:r w:rsidRPr="003346E0">
        <w:rPr>
          <w:sz w:val="20"/>
          <w:szCs w:val="20"/>
        </w:rPr>
        <w:t xml:space="preserve"> </w:t>
      </w:r>
      <w:r>
        <w:t>This can ensure that decision makers fully understand these matters</w:t>
      </w:r>
      <w:r w:rsidRPr="0026675C">
        <w:t>.</w:t>
      </w:r>
    </w:p>
    <w:p w:rsidRPr="009F0451" w:rsidR="005C4CC3" w:rsidP="005C4CC3" w:rsidRDefault="005C4CC3" w14:paraId="625E2B9B" w14:textId="77777777">
      <w:r>
        <w:t>I</w:t>
      </w:r>
      <w:r w:rsidRPr="002B6CDF">
        <w:t>nformation and education</w:t>
      </w:r>
      <w:r>
        <w:t>al</w:t>
      </w:r>
      <w:r w:rsidRPr="002B6CDF">
        <w:t xml:space="preserve"> materials should be developed with guidance from people with lived experience </w:t>
      </w:r>
      <w:r>
        <w:t>of variations in sex characteristics</w:t>
      </w:r>
      <w:r w:rsidRPr="002B6CDF">
        <w:t>.</w:t>
      </w:r>
      <w:r w:rsidRPr="003346E0">
        <w:rPr>
          <w:sz w:val="20"/>
          <w:szCs w:val="20"/>
          <w:vertAlign w:val="superscript"/>
        </w:rPr>
        <w:endnoteReference w:id="255"/>
      </w:r>
      <w:r w:rsidRPr="009F0451">
        <w:t xml:space="preserve"> </w:t>
      </w:r>
      <w:r>
        <w:rPr>
          <w:rFonts w:cs="Open Sans"/>
        </w:rPr>
        <w:t>The Australasian Paediatric Endocrine Group</w:t>
      </w:r>
      <w:r w:rsidRPr="009F0451">
        <w:rPr>
          <w:rFonts w:cs="Open Sans"/>
        </w:rPr>
        <w:t xml:space="preserve"> suggested that </w:t>
      </w:r>
      <w:r>
        <w:rPr>
          <w:rFonts w:cs="Open Sans"/>
        </w:rPr>
        <w:t>these</w:t>
      </w:r>
      <w:r w:rsidRPr="009F0451">
        <w:rPr>
          <w:rFonts w:cs="Open Sans"/>
        </w:rPr>
        <w:t xml:space="preserve"> materials </w:t>
      </w:r>
      <w:r>
        <w:rPr>
          <w:rFonts w:cs="Open Sans"/>
        </w:rPr>
        <w:t xml:space="preserve">should </w:t>
      </w:r>
      <w:r w:rsidRPr="009F0451">
        <w:rPr>
          <w:rFonts w:cs="Open Sans"/>
        </w:rPr>
        <w:t>be developed in a range of media and formats, to help children</w:t>
      </w:r>
      <w:r>
        <w:rPr>
          <w:rFonts w:cs="Open Sans"/>
        </w:rPr>
        <w:t xml:space="preserve"> </w:t>
      </w:r>
      <w:r w:rsidRPr="009F0451">
        <w:rPr>
          <w:rFonts w:cs="Open Sans"/>
        </w:rPr>
        <w:t>better understand their bodies and participate in decision-making.</w:t>
      </w:r>
      <w:r w:rsidRPr="003346E0">
        <w:rPr>
          <w:rFonts w:cs="Open Sans"/>
          <w:sz w:val="20"/>
          <w:szCs w:val="20"/>
          <w:vertAlign w:val="superscript"/>
        </w:rPr>
        <w:endnoteReference w:id="256"/>
      </w:r>
      <w:r w:rsidRPr="003346E0">
        <w:rPr>
          <w:rFonts w:cs="Open Sans"/>
          <w:sz w:val="20"/>
          <w:szCs w:val="20"/>
        </w:rPr>
        <w:t xml:space="preserve"> </w:t>
      </w:r>
    </w:p>
    <w:p w:rsidRPr="0018353A" w:rsidR="005C4CC3" w:rsidP="005C4CC3" w:rsidRDefault="005C4CC3" w14:paraId="51BBC55B" w14:textId="77777777">
      <w:r>
        <w:t xml:space="preserve">The </w:t>
      </w:r>
      <w:r w:rsidRPr="00626948">
        <w:t>Western Australian Multidisciplinary DSD Team</w:t>
      </w:r>
      <w:r w:rsidRPr="00626948" w:rsidDel="00626948">
        <w:t xml:space="preserve"> </w:t>
      </w:r>
      <w:r w:rsidRPr="009F0451">
        <w:t xml:space="preserve">stated that </w:t>
      </w:r>
      <w:r>
        <w:t xml:space="preserve">the </w:t>
      </w:r>
      <w:r w:rsidRPr="009F0451">
        <w:t xml:space="preserve">provision of ‘consent’ </w:t>
      </w:r>
      <w:r>
        <w:t>i</w:t>
      </w:r>
      <w:r w:rsidRPr="009F0451">
        <w:t xml:space="preserve">s </w:t>
      </w:r>
      <w:r>
        <w:t xml:space="preserve">often </w:t>
      </w:r>
      <w:r w:rsidRPr="009F0451">
        <w:t>an ongoing discussion</w:t>
      </w:r>
      <w:r>
        <w:t>, rather than a single, point-in-time decision</w:t>
      </w:r>
      <w:r w:rsidRPr="009F0451">
        <w:t>.</w:t>
      </w:r>
      <w:r w:rsidRPr="003346E0">
        <w:rPr>
          <w:sz w:val="20"/>
          <w:szCs w:val="20"/>
          <w:vertAlign w:val="superscript"/>
        </w:rPr>
        <w:endnoteReference w:id="257"/>
      </w:r>
      <w:r w:rsidRPr="002B6CDF">
        <w:t xml:space="preserve"> </w:t>
      </w:r>
      <w:r>
        <w:t xml:space="preserve">Some medical interventions occur in stages or over an extended period of time. </w:t>
      </w:r>
      <w:r>
        <w:rPr>
          <w:rFonts w:cs="Open Sans"/>
        </w:rPr>
        <w:t>The Australasian Paediatric Endocrine Group</w:t>
      </w:r>
      <w:r w:rsidRPr="009F0451">
        <w:rPr>
          <w:rFonts w:cs="Open Sans"/>
        </w:rPr>
        <w:t xml:space="preserve"> </w:t>
      </w:r>
      <w:r>
        <w:t>cited the example of</w:t>
      </w:r>
      <w:r w:rsidRPr="002B6CDF">
        <w:t xml:space="preserve"> the need for ongoing assent when pubertal hormone therapies are undertaken.</w:t>
      </w:r>
      <w:r w:rsidRPr="0117CC5D">
        <w:rPr>
          <w:rStyle w:val="EndnoteReference"/>
        </w:rPr>
        <w:endnoteReference w:id="258"/>
      </w:r>
      <w:r w:rsidRPr="003346E0">
        <w:rPr>
          <w:sz w:val="20"/>
          <w:szCs w:val="20"/>
        </w:rPr>
        <w:t xml:space="preserve"> </w:t>
      </w:r>
    </w:p>
    <w:p w:rsidRPr="002B6CDF" w:rsidR="005C4CC3" w:rsidP="005C4CC3" w:rsidRDefault="005C4CC3" w14:paraId="2B8F0B0D" w14:textId="77777777">
      <w:r w:rsidRPr="002B6CDF">
        <w:t>One</w:t>
      </w:r>
      <w:r w:rsidDel="00D95152">
        <w:t xml:space="preserve"> </w:t>
      </w:r>
      <w:r w:rsidRPr="002B6CDF">
        <w:t xml:space="preserve">multidisciplinary team </w:t>
      </w:r>
      <w:r>
        <w:t>noted that there are ‘</w:t>
      </w:r>
      <w:r w:rsidRPr="009777BA">
        <w:t>no standardised safeguards to ensure a process of informed consent occurs, apart from clinical best practice</w:t>
      </w:r>
      <w:r>
        <w:t>’</w:t>
      </w:r>
      <w:r w:rsidRPr="009777BA">
        <w:t>.</w:t>
      </w:r>
      <w:r w:rsidRPr="59EB42EB">
        <w:rPr>
          <w:rStyle w:val="EndnoteReference"/>
        </w:rPr>
        <w:endnoteReference w:id="259"/>
      </w:r>
      <w:r w:rsidRPr="003346E0">
        <w:rPr>
          <w:sz w:val="20"/>
          <w:szCs w:val="20"/>
        </w:rPr>
        <w:t xml:space="preserve"> </w:t>
      </w:r>
      <w:r>
        <w:t xml:space="preserve">This team was </w:t>
      </w:r>
      <w:r w:rsidRPr="002B6CDF">
        <w:t xml:space="preserve">in favour </w:t>
      </w:r>
      <w:r>
        <w:t xml:space="preserve">of ‘the development of </w:t>
      </w:r>
      <w:r w:rsidRPr="002B6CDF">
        <w:t xml:space="preserve">guidelines </w:t>
      </w:r>
      <w:r>
        <w:t xml:space="preserve">and standardised material </w:t>
      </w:r>
      <w:r w:rsidRPr="002B6CDF">
        <w:t>to assist with documentation of informed consent in decision making</w:t>
      </w:r>
      <w:r>
        <w:t>’</w:t>
      </w:r>
      <w:r w:rsidRPr="002B6CDF">
        <w:t>.</w:t>
      </w:r>
      <w:r w:rsidRPr="59EB42EB">
        <w:rPr>
          <w:rStyle w:val="EndnoteReference"/>
        </w:rPr>
        <w:endnoteReference w:id="260"/>
      </w:r>
      <w:r w:rsidRPr="002B6CDF">
        <w:t xml:space="preserve"> </w:t>
      </w:r>
      <w:r>
        <w:t>The</w:t>
      </w:r>
      <w:r w:rsidRPr="002B6CDF">
        <w:t xml:space="preserve"> need for </w:t>
      </w:r>
      <w:r>
        <w:t xml:space="preserve">new </w:t>
      </w:r>
      <w:r w:rsidRPr="002B6CDF">
        <w:t xml:space="preserve">guidelines more generally is explored in </w:t>
      </w:r>
      <w:r w:rsidRPr="005F2CA7">
        <w:t xml:space="preserve">Chapter 6 </w:t>
      </w:r>
      <w:r w:rsidRPr="005F2CA7">
        <w:rPr>
          <w:rFonts w:cs="Open Sans"/>
        </w:rPr>
        <w:t>–</w:t>
      </w:r>
      <w:r w:rsidRPr="005F2CA7">
        <w:t xml:space="preserve"> </w:t>
      </w:r>
      <w:r w:rsidRPr="007175D6">
        <w:rPr>
          <w:rFonts w:cs="Open Sans"/>
        </w:rPr>
        <w:t xml:space="preserve">Clinical </w:t>
      </w:r>
      <w:r>
        <w:rPr>
          <w:rFonts w:cs="Open Sans"/>
        </w:rPr>
        <w:t xml:space="preserve">practice </w:t>
      </w:r>
      <w:r w:rsidRPr="007175D6">
        <w:rPr>
          <w:rFonts w:cs="Open Sans"/>
        </w:rPr>
        <w:t>and</w:t>
      </w:r>
      <w:r>
        <w:rPr>
          <w:rFonts w:cs="Open Sans"/>
        </w:rPr>
        <w:t xml:space="preserve"> new National</w:t>
      </w:r>
      <w:r w:rsidRPr="007175D6">
        <w:rPr>
          <w:rFonts w:cs="Open Sans"/>
        </w:rPr>
        <w:t xml:space="preserve"> </w:t>
      </w:r>
      <w:r>
        <w:rPr>
          <w:rFonts w:cs="Open Sans"/>
        </w:rPr>
        <w:t>G</w:t>
      </w:r>
      <w:r w:rsidRPr="007175D6">
        <w:rPr>
          <w:rFonts w:cs="Open Sans"/>
        </w:rPr>
        <w:t>uid</w:t>
      </w:r>
      <w:r>
        <w:rPr>
          <w:rFonts w:cs="Open Sans"/>
        </w:rPr>
        <w:t>elines</w:t>
      </w:r>
      <w:r>
        <w:t xml:space="preserve">. </w:t>
      </w:r>
    </w:p>
    <w:p w:rsidRPr="00A21D2F" w:rsidR="005C4CC3" w:rsidP="00C62836" w:rsidRDefault="005C4CC3" w14:paraId="29A7C725" w14:textId="77777777">
      <w:pPr>
        <w:pStyle w:val="AHRCHeading2"/>
      </w:pPr>
      <w:bookmarkStart w:name="_Toc80096985" w:id="274"/>
      <w:bookmarkStart w:name="_Toc85541422" w:id="275"/>
      <w:r>
        <w:t>Emerging themes</w:t>
      </w:r>
      <w:bookmarkEnd w:id="274"/>
      <w:bookmarkEnd w:id="275"/>
    </w:p>
    <w:p w:rsidR="005C4CC3" w:rsidP="005C4CC3" w:rsidRDefault="005C4CC3" w14:paraId="248F8C9E" w14:textId="77777777">
      <w:pPr>
        <w:rPr>
          <w:rFonts w:cs="Open Sans"/>
        </w:rPr>
      </w:pPr>
      <w:r w:rsidRPr="142DBD8A">
        <w:rPr>
          <w:rFonts w:cs="Open Sans"/>
        </w:rPr>
        <w:t xml:space="preserve">Two significant and related themes about consent have emerged. The first is the central importance of ensuring that consent to medical interventions for people born with variations in sex characteristics is fully informed. The second is the </w:t>
      </w:r>
      <w:r w:rsidRPr="142DBD8A">
        <w:rPr>
          <w:rFonts w:cs="Open Sans"/>
        </w:rPr>
        <w:lastRenderedPageBreak/>
        <w:t xml:space="preserve">need to ensure that any person who is not able to provide personal consent, such as </w:t>
      </w:r>
      <w:r>
        <w:rPr>
          <w:rFonts w:cs="Open Sans"/>
        </w:rPr>
        <w:t>a</w:t>
      </w:r>
      <w:r w:rsidRPr="142DBD8A">
        <w:rPr>
          <w:rFonts w:cs="Open Sans"/>
        </w:rPr>
        <w:t xml:space="preserve"> child who is not </w:t>
      </w:r>
      <w:r w:rsidRPr="142DBD8A">
        <w:rPr>
          <w:rFonts w:cs="Open Sans"/>
          <w:i/>
          <w:iCs/>
        </w:rPr>
        <w:t xml:space="preserve">Gillick </w:t>
      </w:r>
      <w:r w:rsidRPr="142DBD8A">
        <w:rPr>
          <w:rFonts w:cs="Open Sans"/>
        </w:rPr>
        <w:t xml:space="preserve">competent, is empowered to participate meaningfully in relevant decision making and have their views heard, consistent with the principle of supported decision making. </w:t>
      </w:r>
    </w:p>
    <w:p w:rsidR="005C4CC3" w:rsidP="005C4CC3" w:rsidRDefault="005C4CC3" w14:paraId="32124963" w14:textId="77777777">
      <w:pPr>
        <w:rPr>
          <w:rFonts w:cs="Open Sans"/>
        </w:rPr>
      </w:pPr>
      <w:r w:rsidRPr="142DBD8A">
        <w:rPr>
          <w:rFonts w:cs="Open Sans"/>
        </w:rPr>
        <w:t xml:space="preserve">Both of these are requirements under international human rights law. Both received wide acceptance from all stakeholder groups. However, there is inevitably some divergence of views about the degree to which these requirements are being met in practice. It also appears that there is some disagreement about precisely what these requirements entail. </w:t>
      </w:r>
    </w:p>
    <w:p w:rsidRPr="002647A3" w:rsidR="005C4CC3" w:rsidP="005C4CC3" w:rsidRDefault="005C4CC3" w14:paraId="02963974" w14:textId="77777777">
      <w:pPr>
        <w:pStyle w:val="Heading3"/>
      </w:pPr>
      <w:bookmarkStart w:name="_Toc80096986" w:id="276"/>
      <w:bookmarkStart w:name="_Toc85541423" w:id="277"/>
      <w:r w:rsidRPr="00047F90">
        <w:t>What is required for informed consent</w:t>
      </w:r>
      <w:bookmarkEnd w:id="276"/>
      <w:bookmarkEnd w:id="277"/>
    </w:p>
    <w:p w:rsidR="005C4CC3" w:rsidP="005C4CC3" w:rsidRDefault="005C4CC3" w14:paraId="5826CC7D" w14:textId="77777777">
      <w:pPr>
        <w:rPr>
          <w:rFonts w:cs="Open Sans"/>
          <w:lang w:val="en-US"/>
        </w:rPr>
      </w:pPr>
      <w:r w:rsidRPr="142DBD8A">
        <w:rPr>
          <w:rFonts w:cs="Open Sans"/>
        </w:rPr>
        <w:t xml:space="preserve">International human rights law requires that for personal consent to be effective, the person giving it must have sufficient understanding of all the factors relevant to their circumstances, and enough time and support to arrive at a decision. </w:t>
      </w:r>
    </w:p>
    <w:p w:rsidR="005C4CC3" w:rsidP="005C4CC3" w:rsidRDefault="005C4CC3" w14:paraId="637FBDD6" w14:textId="77777777">
      <w:pPr>
        <w:rPr>
          <w:rFonts w:cs="Open Sans"/>
          <w:lang w:val="en-US"/>
        </w:rPr>
      </w:pPr>
      <w:r>
        <w:rPr>
          <w:rFonts w:cs="Open Sans"/>
        </w:rPr>
        <w:t xml:space="preserve">The principal source of information for people about medical decisions will necessarily be doctors and other health professionals, who therefore have a special responsibility to their patients to support their decision making. These requirements are explained in detail in the 2009 report of the UN </w:t>
      </w:r>
      <w:r w:rsidRPr="00F464F2">
        <w:rPr>
          <w:rFonts w:cs="Open Sans"/>
          <w:lang w:val="en-US"/>
        </w:rPr>
        <w:t>Special Rapporteur on the right of everyone to the enjoyment of the highest attainable standard of physical and mental health</w:t>
      </w:r>
      <w:r>
        <w:rPr>
          <w:rFonts w:cs="Open Sans"/>
          <w:lang w:val="en-US"/>
        </w:rPr>
        <w:t>.</w:t>
      </w:r>
      <w:r w:rsidRPr="0117CC5D">
        <w:rPr>
          <w:rStyle w:val="EndnoteReference"/>
          <w:rFonts w:cs="Open Sans"/>
          <w:lang w:val="en-US"/>
        </w:rPr>
        <w:endnoteReference w:id="261"/>
      </w:r>
      <w:r>
        <w:rPr>
          <w:rFonts w:cs="Open Sans"/>
          <w:lang w:val="en-US"/>
        </w:rPr>
        <w:t xml:space="preserve"> </w:t>
      </w:r>
    </w:p>
    <w:p w:rsidR="005C4CC3" w:rsidP="005C4CC3" w:rsidRDefault="005C4CC3" w14:paraId="36A2B733" w14:textId="77777777">
      <w:pPr>
        <w:rPr>
          <w:rFonts w:cs="Open Sans"/>
        </w:rPr>
      </w:pPr>
      <w:r w:rsidRPr="142DBD8A">
        <w:rPr>
          <w:rFonts w:cs="Open Sans"/>
        </w:rPr>
        <w:t xml:space="preserve">People considering medical treatment for themselves or those in their care require comprehensive information about the benefits and risks of any proposed treatment, and any alternative options. That includes information about the risks and benefits of other treatments, of delaying treatment, or not undergoing any treatment. It also includes information about any relevant uncertainties about the state of medical knowledge, and consequently about assessing whether the proposed treatment is necessary. </w:t>
      </w:r>
    </w:p>
    <w:p w:rsidR="005C4CC3" w:rsidP="005C4CC3" w:rsidRDefault="005C4CC3" w14:paraId="1B5AEE0E" w14:textId="77777777">
      <w:pPr>
        <w:rPr>
          <w:rFonts w:cs="Open Sans"/>
        </w:rPr>
      </w:pPr>
      <w:r>
        <w:rPr>
          <w:rFonts w:cs="Open Sans"/>
        </w:rPr>
        <w:t xml:space="preserve">This information must be provided to those providing consent in a way that is </w:t>
      </w:r>
      <w:r w:rsidRPr="29BC6FA5">
        <w:rPr>
          <w:rFonts w:cs="Open Sans"/>
        </w:rPr>
        <w:t xml:space="preserve">appropriate and </w:t>
      </w:r>
      <w:r>
        <w:rPr>
          <w:rFonts w:cs="Open Sans"/>
        </w:rPr>
        <w:t xml:space="preserve">accessible to </w:t>
      </w:r>
      <w:r w:rsidRPr="29BC6FA5">
        <w:rPr>
          <w:rFonts w:cs="Open Sans"/>
        </w:rPr>
        <w:t>the individual concerned</w:t>
      </w:r>
      <w:r>
        <w:rPr>
          <w:rFonts w:cs="Open Sans"/>
        </w:rPr>
        <w:t xml:space="preserve">, without </w:t>
      </w:r>
      <w:r w:rsidRPr="29BC6FA5">
        <w:rPr>
          <w:rFonts w:cs="Open Sans"/>
        </w:rPr>
        <w:t xml:space="preserve">being too </w:t>
      </w:r>
      <w:r>
        <w:rPr>
          <w:rFonts w:cs="Open Sans"/>
        </w:rPr>
        <w:t xml:space="preserve">technical or complex </w:t>
      </w:r>
      <w:r w:rsidRPr="29BC6FA5">
        <w:rPr>
          <w:rFonts w:cs="Open Sans"/>
        </w:rPr>
        <w:t>for their understanding</w:t>
      </w:r>
      <w:r>
        <w:rPr>
          <w:rFonts w:cs="Open Sans"/>
        </w:rPr>
        <w:t xml:space="preserve">. It is vital that people are provided with adequate time to consider advice, and to ask questions to clarify it. People should not be pressured or rushed in their decision making, in the absence of a medical emergency. </w:t>
      </w:r>
    </w:p>
    <w:p w:rsidR="005C4CC3" w:rsidP="005C4CC3" w:rsidRDefault="005C4CC3" w14:paraId="0A6B505A" w14:textId="77777777">
      <w:pPr>
        <w:rPr>
          <w:rFonts w:cs="Open Sans"/>
        </w:rPr>
      </w:pPr>
      <w:r w:rsidRPr="142DBD8A">
        <w:rPr>
          <w:rFonts w:cs="Open Sans"/>
        </w:rPr>
        <w:lastRenderedPageBreak/>
        <w:t xml:space="preserve">Further factors apply in the case of people may not legally be able to provide their own consent, such as children and adolescents, where there may be a role for someone, such as a guardian, to consent on their behalf. The mere fact that a person is under 18 years of age cannot be taken as establishing that they lack legal capacity to make decisions for themselves. Where they do have decision making ability, they should be supported to participate in a way that is consistent with their ability, and allowed to express their views. In all cases where consent is provided on behalf of a younger child, decisions must be made in the best interests of the child. Critically, in the context of proposed medical interventions for children born with variations of sex characteristics, non-consensual interventions should be performed only where medically necessary. </w:t>
      </w:r>
    </w:p>
    <w:p w:rsidR="005C4CC3" w:rsidP="005C4CC3" w:rsidRDefault="005C4CC3" w14:paraId="51F64830" w14:textId="02C01FB6">
      <w:pPr>
        <w:rPr>
          <w:rFonts w:cs="Open Sans"/>
        </w:rPr>
      </w:pPr>
      <w:r w:rsidRPr="142DBD8A">
        <w:rPr>
          <w:rFonts w:cs="Open Sans"/>
        </w:rPr>
        <w:t xml:space="preserve">There was general agreement on these requirements from stakeholders, although there was a broader range of views about the concept and role of medical necessity in decision making. That is discussed separately in </w:t>
      </w:r>
      <w:r w:rsidRPr="00CB1068">
        <w:rPr>
          <w:rFonts w:cs="Open Sans"/>
        </w:rPr>
        <w:t>Chapter 2</w:t>
      </w:r>
      <w:r w:rsidRPr="142DBD8A">
        <w:rPr>
          <w:rFonts w:cs="Open Sans"/>
        </w:rPr>
        <w:t xml:space="preserve"> </w:t>
      </w:r>
      <w:r w:rsidRPr="00CB1068">
        <w:rPr>
          <w:rFonts w:cs="Open Sans"/>
        </w:rPr>
        <w:t>–</w:t>
      </w:r>
      <w:r w:rsidR="00C974FE">
        <w:rPr>
          <w:rFonts w:cs="Open Sans"/>
        </w:rPr>
        <w:t xml:space="preserve"> </w:t>
      </w:r>
      <w:r w:rsidRPr="00CB1068">
        <w:rPr>
          <w:rFonts w:cs="Open Sans"/>
        </w:rPr>
        <w:t>Human rights.</w:t>
      </w:r>
      <w:r w:rsidRPr="142DBD8A">
        <w:rPr>
          <w:rFonts w:cs="Open Sans"/>
        </w:rPr>
        <w:t xml:space="preserve"> </w:t>
      </w:r>
    </w:p>
    <w:p w:rsidR="005C4CC3" w:rsidP="005C4CC3" w:rsidRDefault="005C4CC3" w14:paraId="703C3BD1" w14:textId="77777777">
      <w:pPr>
        <w:rPr>
          <w:rFonts w:cs="Open Sans"/>
        </w:rPr>
      </w:pPr>
      <w:r w:rsidRPr="142DBD8A">
        <w:rPr>
          <w:rFonts w:cs="Open Sans"/>
        </w:rPr>
        <w:t xml:space="preserve">In particular, some clinical stakeholders recognised the need to support decision makers in providing informed consent, and to include children in decision making. How well those principles are applied in practice is discussed below. </w:t>
      </w:r>
    </w:p>
    <w:p w:rsidRPr="00C15B22" w:rsidR="005C4CC3" w:rsidP="005C4CC3" w:rsidRDefault="005C4CC3" w14:paraId="51CFADB9" w14:textId="77777777">
      <w:pPr>
        <w:pStyle w:val="Heading3"/>
      </w:pPr>
      <w:bookmarkStart w:name="_Toc80096987" w:id="278"/>
      <w:bookmarkStart w:name="_Toc85541424" w:id="279"/>
      <w:r>
        <w:t>Barriers to informed consent</w:t>
      </w:r>
      <w:bookmarkEnd w:id="278"/>
      <w:bookmarkEnd w:id="279"/>
    </w:p>
    <w:p w:rsidR="005C4CC3" w:rsidP="005C4CC3" w:rsidRDefault="005C4CC3" w14:paraId="27486228" w14:textId="77777777">
      <w:pPr>
        <w:rPr>
          <w:rFonts w:cs="Open Sans"/>
        </w:rPr>
      </w:pPr>
      <w:r>
        <w:rPr>
          <w:rFonts w:cs="Open Sans"/>
        </w:rPr>
        <w:t>In</w:t>
      </w:r>
      <w:r w:rsidRPr="003D0145">
        <w:rPr>
          <w:rFonts w:cs="Open Sans"/>
        </w:rPr>
        <w:t xml:space="preserve"> the Commission</w:t>
      </w:r>
      <w:r>
        <w:rPr>
          <w:rFonts w:cs="Open Sans"/>
        </w:rPr>
        <w:t>’s view, where medical interventions were made on people born with variations of sex characteristics in the past, the broadly accepted</w:t>
      </w:r>
      <w:r w:rsidRPr="003D0145">
        <w:rPr>
          <w:rFonts w:cs="Open Sans"/>
        </w:rPr>
        <w:t xml:space="preserve"> requirements</w:t>
      </w:r>
      <w:r>
        <w:rPr>
          <w:rFonts w:cs="Open Sans"/>
        </w:rPr>
        <w:t xml:space="preserve"> for informed consent</w:t>
      </w:r>
      <w:r w:rsidRPr="003D0145">
        <w:rPr>
          <w:rFonts w:cs="Open Sans"/>
        </w:rPr>
        <w:t xml:space="preserve"> </w:t>
      </w:r>
      <w:r>
        <w:rPr>
          <w:rFonts w:cs="Open Sans"/>
        </w:rPr>
        <w:t>under Australian domestic law</w:t>
      </w:r>
      <w:r w:rsidRPr="003D0145">
        <w:rPr>
          <w:rFonts w:cs="Open Sans"/>
        </w:rPr>
        <w:t xml:space="preserve"> </w:t>
      </w:r>
      <w:r>
        <w:rPr>
          <w:rFonts w:cs="Open Sans"/>
        </w:rPr>
        <w:t xml:space="preserve">or international human rights law </w:t>
      </w:r>
      <w:r w:rsidRPr="003D0145">
        <w:rPr>
          <w:rFonts w:cs="Open Sans"/>
        </w:rPr>
        <w:t>have not always been met</w:t>
      </w:r>
      <w:r>
        <w:rPr>
          <w:rFonts w:cs="Open Sans"/>
        </w:rPr>
        <w:t>. Further, there is a real risk that these requirements</w:t>
      </w:r>
      <w:r w:rsidRPr="003D0145">
        <w:rPr>
          <w:rFonts w:cs="Open Sans"/>
        </w:rPr>
        <w:t xml:space="preserve"> may not always be met </w:t>
      </w:r>
      <w:r>
        <w:rPr>
          <w:rFonts w:cs="Open Sans"/>
        </w:rPr>
        <w:t>in</w:t>
      </w:r>
      <w:r w:rsidRPr="003D0145">
        <w:rPr>
          <w:rFonts w:cs="Open Sans"/>
        </w:rPr>
        <w:t xml:space="preserve"> current practice. </w:t>
      </w:r>
      <w:r>
        <w:rPr>
          <w:rFonts w:cs="Open Sans"/>
        </w:rPr>
        <w:t>The areas of concern in this regard are discussed below.</w:t>
      </w:r>
      <w:r w:rsidRPr="003D0145">
        <w:rPr>
          <w:rFonts w:cs="Open Sans"/>
        </w:rPr>
        <w:t xml:space="preserve"> </w:t>
      </w:r>
    </w:p>
    <w:p w:rsidRPr="00146F4A" w:rsidR="005C4CC3" w:rsidP="005C4CC3" w:rsidRDefault="005C4CC3" w14:paraId="1EEA6B1B" w14:textId="77777777">
      <w:pPr>
        <w:pStyle w:val="Heading4"/>
      </w:pPr>
      <w:r w:rsidRPr="00146F4A">
        <w:t>Provision of information</w:t>
      </w:r>
    </w:p>
    <w:p w:rsidRPr="00FC71A3" w:rsidR="005C4CC3" w:rsidP="005C4CC3" w:rsidRDefault="005C4CC3" w14:paraId="221BA4BB" w14:textId="5D827330">
      <w:pPr>
        <w:rPr>
          <w:rFonts w:cs="Open Sans"/>
        </w:rPr>
      </w:pPr>
      <w:r w:rsidRPr="142DBD8A">
        <w:rPr>
          <w:rFonts w:cs="Open Sans"/>
        </w:rPr>
        <w:t>The Commission received powerful accounts from some people born with variations in sex characteristics that they were not provided with sufficient information to allow them to provide fully</w:t>
      </w:r>
      <w:r>
        <w:rPr>
          <w:rFonts w:cs="Open Sans"/>
        </w:rPr>
        <w:t xml:space="preserve"> </w:t>
      </w:r>
      <w:r w:rsidRPr="142DBD8A">
        <w:rPr>
          <w:rFonts w:cs="Open Sans"/>
        </w:rPr>
        <w:t xml:space="preserve">informed consent or participate fully </w:t>
      </w:r>
      <w:r w:rsidRPr="142DBD8A">
        <w:rPr>
          <w:rFonts w:cs="Open Sans"/>
        </w:rPr>
        <w:lastRenderedPageBreak/>
        <w:t>in decision making, even where medical intervention occurred when they were of an age to be capable of full participation. As noted above, clinicians generally reported to the Commission that affected people were provided with sufficient information to provide fully</w:t>
      </w:r>
      <w:r>
        <w:rPr>
          <w:rFonts w:cs="Open Sans"/>
        </w:rPr>
        <w:t xml:space="preserve"> </w:t>
      </w:r>
      <w:r w:rsidRPr="142DBD8A">
        <w:rPr>
          <w:rFonts w:cs="Open Sans"/>
        </w:rPr>
        <w:t xml:space="preserve">informed consent and to participate fully in decision making. The Commission is concerned by the reports it received that some people born with variations of sex characteristics </w:t>
      </w:r>
      <w:r w:rsidRPr="0117CC5D" w:rsidR="4C4CFD5F">
        <w:rPr>
          <w:rFonts w:cs="Open Sans"/>
        </w:rPr>
        <w:t>received</w:t>
      </w:r>
      <w:r w:rsidRPr="142DBD8A">
        <w:rPr>
          <w:rFonts w:cs="Open Sans"/>
        </w:rPr>
        <w:t xml:space="preserve"> inadequate information about the exact nature of, or need for, the treatment that doctors proposed to administer to them. </w:t>
      </w:r>
    </w:p>
    <w:p w:rsidR="005C4CC3" w:rsidP="005C4CC3" w:rsidRDefault="005C4CC3" w14:paraId="198B5D12" w14:textId="77777777">
      <w:pPr>
        <w:rPr>
          <w:rFonts w:cs="Open Sans"/>
        </w:rPr>
      </w:pPr>
      <w:r>
        <w:rPr>
          <w:rFonts w:cs="Open Sans"/>
        </w:rPr>
        <w:t xml:space="preserve">Some people </w:t>
      </w:r>
      <w:r w:rsidRPr="00FC71A3">
        <w:rPr>
          <w:rFonts w:cs="Open Sans"/>
        </w:rPr>
        <w:t>born with variations of sex characteristics</w:t>
      </w:r>
      <w:r>
        <w:rPr>
          <w:rFonts w:cs="Open Sans"/>
        </w:rPr>
        <w:t xml:space="preserve"> report not receiving adequate explanations of the potential long-term consequences of medical interventions before consenting to treatment. In some cases, this may be due to the lack of scientific data about these consequences. In any event, that lack of data is itself something that should be explained to people before they are asked to consent to medical treatment. </w:t>
      </w:r>
    </w:p>
    <w:p w:rsidR="005C4CC3" w:rsidP="005C4CC3" w:rsidRDefault="005C4CC3" w14:paraId="127E4BCA" w14:textId="77777777">
      <w:pPr>
        <w:rPr>
          <w:rFonts w:cs="Open Sans"/>
        </w:rPr>
      </w:pPr>
      <w:r>
        <w:rPr>
          <w:rFonts w:cs="Open Sans"/>
        </w:rPr>
        <w:t>Some legal guardians</w:t>
      </w:r>
      <w:r w:rsidDel="00AA55E8">
        <w:rPr>
          <w:rFonts w:cs="Open Sans"/>
        </w:rPr>
        <w:t xml:space="preserve"> reported </w:t>
      </w:r>
      <w:r>
        <w:rPr>
          <w:rFonts w:cs="Open Sans"/>
        </w:rPr>
        <w:t xml:space="preserve">not receiving enough information from treating doctors about potential alternatives to recommended medical interventions. Legal guardians can prompt doctors to provide more information; or they can conduct their own research to address gaps. However, these options cannot be assumed to be open to all legal guardians, and cannot replace the provision of relevant information and advice at first instance by medical practitioners. </w:t>
      </w:r>
    </w:p>
    <w:p w:rsidRPr="00146F4A" w:rsidR="005C4CC3" w:rsidP="005C4CC3" w:rsidRDefault="005C4CC3" w14:paraId="122E4C78" w14:textId="77777777">
      <w:pPr>
        <w:pStyle w:val="Heading4"/>
        <w:tabs>
          <w:tab w:val="clear" w:pos="851"/>
          <w:tab w:val="num" w:pos="1571"/>
        </w:tabs>
      </w:pPr>
      <w:r>
        <w:t>Exclusion of children from discussion, and failure to defer non-urgent interventions</w:t>
      </w:r>
    </w:p>
    <w:p w:rsidRPr="0005667E" w:rsidR="005C4CC3" w:rsidP="005C4CC3" w:rsidRDefault="005C4CC3" w14:paraId="15384108" w14:textId="77777777">
      <w:pPr>
        <w:pStyle w:val="CommentText"/>
        <w:rPr>
          <w:rFonts w:cs="Open Sans"/>
          <w:sz w:val="24"/>
          <w:szCs w:val="24"/>
        </w:rPr>
      </w:pPr>
      <w:r>
        <w:rPr>
          <w:rFonts w:cs="Open Sans"/>
          <w:sz w:val="24"/>
          <w:szCs w:val="24"/>
        </w:rPr>
        <w:t>Some clinical bodies consider that current practice involves children in decision making in an age-appropriate way. While there are some suggestions in submissions and current guidance documents that it may be appropriate to defer some treatments until children can participate in decision making, this</w:t>
      </w:r>
      <w:r w:rsidDel="00863DFE">
        <w:rPr>
          <w:rFonts w:cs="Open Sans"/>
          <w:sz w:val="24"/>
          <w:szCs w:val="24"/>
        </w:rPr>
        <w:t xml:space="preserve"> </w:t>
      </w:r>
      <w:r>
        <w:rPr>
          <w:rFonts w:cs="Open Sans"/>
          <w:sz w:val="24"/>
          <w:szCs w:val="24"/>
        </w:rPr>
        <w:t>does not appear to be a principle that is given a high priority.</w:t>
      </w:r>
    </w:p>
    <w:p w:rsidR="005C4CC3" w:rsidP="005C4CC3" w:rsidRDefault="005C4CC3" w14:paraId="2A23948B" w14:textId="77777777">
      <w:pPr>
        <w:pStyle w:val="CommentText"/>
        <w:rPr>
          <w:rFonts w:cs="Open Sans"/>
          <w:sz w:val="24"/>
          <w:szCs w:val="24"/>
        </w:rPr>
      </w:pPr>
      <w:r>
        <w:rPr>
          <w:rFonts w:cs="Open Sans"/>
          <w:sz w:val="24"/>
          <w:szCs w:val="24"/>
        </w:rPr>
        <w:t>Some</w:t>
      </w:r>
      <w:r w:rsidRPr="00146F4A">
        <w:rPr>
          <w:rFonts w:cs="Open Sans"/>
          <w:sz w:val="24"/>
          <w:szCs w:val="24"/>
        </w:rPr>
        <w:t xml:space="preserve"> people born with variations in sex characteristics </w:t>
      </w:r>
      <w:r>
        <w:rPr>
          <w:rFonts w:cs="Open Sans"/>
          <w:sz w:val="24"/>
          <w:szCs w:val="24"/>
        </w:rPr>
        <w:t xml:space="preserve">reported </w:t>
      </w:r>
      <w:r w:rsidRPr="00146F4A">
        <w:rPr>
          <w:rFonts w:cs="Open Sans"/>
          <w:sz w:val="24"/>
          <w:szCs w:val="24"/>
        </w:rPr>
        <w:t>that as children, they had some involvement in decision making, but did</w:t>
      </w:r>
      <w:r w:rsidRPr="0025159A">
        <w:rPr>
          <w:rFonts w:cs="Open Sans"/>
          <w:sz w:val="24"/>
          <w:szCs w:val="24"/>
        </w:rPr>
        <w:t xml:space="preserve"> </w:t>
      </w:r>
      <w:r w:rsidRPr="00146F4A">
        <w:rPr>
          <w:rFonts w:cs="Open Sans"/>
          <w:sz w:val="24"/>
          <w:szCs w:val="24"/>
        </w:rPr>
        <w:t>n</w:t>
      </w:r>
      <w:r w:rsidRPr="0025159A">
        <w:rPr>
          <w:rFonts w:cs="Open Sans"/>
          <w:sz w:val="24"/>
          <w:szCs w:val="24"/>
        </w:rPr>
        <w:t>o</w:t>
      </w:r>
      <w:r w:rsidRPr="00146F4A">
        <w:rPr>
          <w:rFonts w:cs="Open Sans"/>
          <w:sz w:val="24"/>
          <w:szCs w:val="24"/>
        </w:rPr>
        <w:t xml:space="preserve">t feel </w:t>
      </w:r>
      <w:r>
        <w:rPr>
          <w:rFonts w:cs="Open Sans"/>
          <w:sz w:val="24"/>
          <w:szCs w:val="24"/>
        </w:rPr>
        <w:t>that involvement</w:t>
      </w:r>
      <w:r w:rsidRPr="00146F4A">
        <w:rPr>
          <w:rFonts w:cs="Open Sans"/>
          <w:sz w:val="24"/>
          <w:szCs w:val="24"/>
        </w:rPr>
        <w:t xml:space="preserve"> was adequate. </w:t>
      </w:r>
      <w:r>
        <w:rPr>
          <w:rFonts w:cs="Open Sans"/>
          <w:sz w:val="24"/>
          <w:szCs w:val="24"/>
        </w:rPr>
        <w:t>However, some reported being ignored by doctors, even in adolescence, and that doctors had spoken exclusively to their legal guardians about proposed treatments on their own bodies. While some</w:t>
      </w:r>
      <w:r w:rsidDel="00752AE8">
        <w:rPr>
          <w:rFonts w:cs="Open Sans"/>
          <w:sz w:val="24"/>
          <w:szCs w:val="24"/>
        </w:rPr>
        <w:t xml:space="preserve"> </w:t>
      </w:r>
      <w:r>
        <w:rPr>
          <w:rFonts w:cs="Open Sans"/>
          <w:sz w:val="24"/>
          <w:szCs w:val="24"/>
        </w:rPr>
        <w:t xml:space="preserve">reports related to experiences that occurred some time ago, others were recent. The Commission </w:t>
      </w:r>
      <w:r>
        <w:rPr>
          <w:rFonts w:cs="Open Sans"/>
          <w:sz w:val="24"/>
          <w:szCs w:val="24"/>
        </w:rPr>
        <w:lastRenderedPageBreak/>
        <w:t xml:space="preserve">is concerned that, in some cases, children are today not fully involved in decision making in a way appropriate for their developing ability, and there is a risk that will continue to be the case. </w:t>
      </w:r>
    </w:p>
    <w:p w:rsidR="005C4CC3" w:rsidP="005C4CC3" w:rsidRDefault="005C4CC3" w14:paraId="32065AA9" w14:textId="77777777">
      <w:pPr>
        <w:pStyle w:val="CommentText"/>
        <w:rPr>
          <w:rFonts w:cs="Open Sans"/>
          <w:sz w:val="24"/>
          <w:szCs w:val="24"/>
        </w:rPr>
      </w:pPr>
      <w:r w:rsidRPr="142DBD8A">
        <w:rPr>
          <w:rFonts w:cs="Open Sans"/>
          <w:sz w:val="24"/>
          <w:szCs w:val="24"/>
        </w:rPr>
        <w:t xml:space="preserve">At the same time, there are legal guardians who strongly consider that they should be able to make unfettered decisions on behalf of their children, including in circumstances where there is no immediate threat to life or physical health. Under the current medical framework, there is a significant risk that legal guardians will not choose to defer intervention until children can meaningfully participate in the decisions, or decide for themselves. </w:t>
      </w:r>
    </w:p>
    <w:p w:rsidRPr="00E97BC8" w:rsidR="005C4CC3" w:rsidP="005C4CC3" w:rsidRDefault="005C4CC3" w14:paraId="38D0C7C8" w14:textId="77777777">
      <w:pPr>
        <w:pStyle w:val="CommentText"/>
        <w:rPr>
          <w:rFonts w:cs="Open Sans"/>
          <w:sz w:val="24"/>
          <w:szCs w:val="24"/>
        </w:rPr>
      </w:pPr>
      <w:r>
        <w:rPr>
          <w:rFonts w:cs="Open Sans"/>
          <w:sz w:val="24"/>
          <w:szCs w:val="24"/>
        </w:rPr>
        <w:t xml:space="preserve">Together, these factors indicate that the principle of ensuring that children have the maximum possible opportunity to participate in decision making is not consistently prioritised in obtaining consent to medical interventions directed toward variations in sex characteristics. </w:t>
      </w:r>
    </w:p>
    <w:p w:rsidRPr="00874995" w:rsidR="005C4CC3" w:rsidP="005C4CC3" w:rsidRDefault="005C4CC3" w14:paraId="3C8D1AF3" w14:textId="77777777">
      <w:pPr>
        <w:pStyle w:val="Heading4"/>
      </w:pPr>
      <w:r w:rsidRPr="00874995">
        <w:t xml:space="preserve">Inadequate time for decision making and pressure to consent </w:t>
      </w:r>
    </w:p>
    <w:p w:rsidR="005C4CC3" w:rsidP="005C4CC3" w:rsidRDefault="005C4CC3" w14:paraId="0C4FA736" w14:textId="77777777">
      <w:pPr>
        <w:rPr>
          <w:rFonts w:cs="Open Sans"/>
        </w:rPr>
      </w:pPr>
      <w:r>
        <w:rPr>
          <w:rFonts w:cs="Open Sans"/>
        </w:rPr>
        <w:t xml:space="preserve">People born with variations in sex characteristics can feel pressured, or rushed, to assent to treatment recommended to them as children. </w:t>
      </w:r>
    </w:p>
    <w:p w:rsidR="005C4CC3" w:rsidP="005C4CC3" w:rsidRDefault="005C4CC3" w14:paraId="66CE684E" w14:textId="77777777">
      <w:pPr>
        <w:rPr>
          <w:rFonts w:cs="Open Sans"/>
        </w:rPr>
      </w:pPr>
      <w:r>
        <w:rPr>
          <w:rFonts w:cs="Open Sans"/>
        </w:rPr>
        <w:t>Legal guardians can feel overwhelmed when they first receive a diagnosis for their child relating to a variation of sex characteristics, and it is essential that enough time be given for them to make reflective, informed decisions.</w:t>
      </w:r>
    </w:p>
    <w:p w:rsidR="005C4CC3" w:rsidP="005C4CC3" w:rsidRDefault="005C4CC3" w14:paraId="17846030" w14:textId="77777777">
      <w:pPr>
        <w:rPr>
          <w:rFonts w:cs="Open Sans"/>
        </w:rPr>
      </w:pPr>
      <w:r>
        <w:rPr>
          <w:rFonts w:cs="Open Sans"/>
        </w:rPr>
        <w:t xml:space="preserve">While these problems may not be pervasive, there is a real risk that legal guardians and children may not be given sufficient time to consider medical advice in at least some non-urgent cases. </w:t>
      </w:r>
    </w:p>
    <w:p w:rsidRPr="004A321C" w:rsidR="005C4CC3" w:rsidP="005C4CC3" w:rsidRDefault="005C4CC3" w14:paraId="4C6AE1D6" w14:textId="77777777">
      <w:pPr>
        <w:pStyle w:val="Heading4"/>
      </w:pPr>
      <w:r w:rsidRPr="004A321C">
        <w:t>Inadequate referrals to peer support</w:t>
      </w:r>
    </w:p>
    <w:p w:rsidRPr="004A321C" w:rsidR="005C4CC3" w:rsidP="005C4CC3" w:rsidRDefault="005C4CC3" w14:paraId="3B66A4C3" w14:textId="77777777">
      <w:pPr>
        <w:pStyle w:val="CommentText"/>
        <w:rPr>
          <w:rFonts w:cs="Open Sans"/>
          <w:sz w:val="24"/>
          <w:szCs w:val="24"/>
        </w:rPr>
      </w:pPr>
      <w:r w:rsidRPr="142DBD8A">
        <w:rPr>
          <w:rFonts w:cs="Open Sans"/>
          <w:sz w:val="24"/>
          <w:szCs w:val="24"/>
        </w:rPr>
        <w:t xml:space="preserve">While some legal guardians and children are referred by clinicians to peer support groups, evidence from those support groups and people with lived experience suggests that these referrals are not routinely made. That deprives legal guardians and, as they mature, children, from a valuable source of </w:t>
      </w:r>
      <w:r w:rsidRPr="142DBD8A">
        <w:rPr>
          <w:rFonts w:cs="Open Sans"/>
          <w:sz w:val="24"/>
          <w:szCs w:val="24"/>
        </w:rPr>
        <w:lastRenderedPageBreak/>
        <w:t xml:space="preserve">information, particularly regarding experiences of interventions and alternatives, as well as psycho-emotional support. </w:t>
      </w:r>
    </w:p>
    <w:p w:rsidRPr="004A321C" w:rsidR="005C4CC3" w:rsidP="005C4CC3" w:rsidRDefault="005C4CC3" w14:paraId="6BCB9465" w14:textId="77777777">
      <w:pPr>
        <w:pStyle w:val="Heading4"/>
      </w:pPr>
      <w:r w:rsidRPr="004A321C">
        <w:t>Lack of standardised procedures and materials</w:t>
      </w:r>
    </w:p>
    <w:p w:rsidRPr="005E65FB" w:rsidR="005C4CC3" w:rsidP="005C4CC3" w:rsidRDefault="005C4CC3" w14:paraId="7C08D26F" w14:textId="77777777">
      <w:pPr>
        <w:rPr>
          <w:rFonts w:cs="Open Sans"/>
        </w:rPr>
      </w:pPr>
      <w:r w:rsidRPr="142DBD8A">
        <w:rPr>
          <w:rFonts w:cs="Open Sans"/>
        </w:rPr>
        <w:t xml:space="preserve">There appear to be no standardised guidelines to regulate the provision of information and advice by doctors to people born with variations in sex characteristics and their legal guardians. Nor are there guidelines standardising the obtaining and documenting of consent. These matters are therefore left to clinical practice, which is unlikely to be uniform, and makes departures from best practice more likely. </w:t>
      </w:r>
    </w:p>
    <w:p w:rsidRPr="00F93117" w:rsidR="005C4CC3" w:rsidP="00C62836" w:rsidRDefault="005C4CC3" w14:paraId="797DF451" w14:textId="4968B84D">
      <w:pPr>
        <w:pStyle w:val="AHRCHeading2"/>
      </w:pPr>
      <w:bookmarkStart w:name="_Toc80096988" w:id="280"/>
      <w:bookmarkStart w:name="_Toc85541425" w:id="281"/>
      <w:r>
        <w:t>Ensuring consent is informed</w:t>
      </w:r>
      <w:bookmarkEnd w:id="280"/>
      <w:bookmarkEnd w:id="281"/>
    </w:p>
    <w:p w:rsidRPr="001E257F" w:rsidR="005C4CC3" w:rsidP="005C4CC3" w:rsidRDefault="005C4CC3" w14:paraId="7012BB56" w14:textId="0778DC8B">
      <w:pPr>
        <w:rPr>
          <w:rFonts w:cs="Open Sans"/>
          <w:b/>
          <w:bCs/>
        </w:rPr>
      </w:pPr>
      <w:r w:rsidRPr="142DBD8A">
        <w:rPr>
          <w:rFonts w:cs="Open Sans"/>
          <w:b/>
          <w:bCs/>
        </w:rPr>
        <w:t xml:space="preserve">Recommendation </w:t>
      </w:r>
      <w:r>
        <w:rPr>
          <w:rFonts w:cs="Open Sans"/>
          <w:b/>
          <w:bCs/>
        </w:rPr>
        <w:t>3</w:t>
      </w:r>
      <w:r w:rsidR="00DE6AE5">
        <w:rPr>
          <w:rFonts w:cs="Open Sans"/>
          <w:b/>
          <w:bCs/>
        </w:rPr>
        <w:t>:</w:t>
      </w:r>
      <w:r w:rsidRPr="142DBD8A">
        <w:rPr>
          <w:rFonts w:cs="Open Sans"/>
          <w:b/>
          <w:bCs/>
        </w:rPr>
        <w:t xml:space="preserve"> New</w:t>
      </w:r>
      <w:r w:rsidRPr="142DBD8A">
        <w:rPr>
          <w:rFonts w:eastAsia="Times New Roman" w:cs="Open Sans"/>
          <w:b/>
          <w:bCs/>
          <w:i/>
          <w:iCs/>
        </w:rPr>
        <w:t xml:space="preserve"> National Guidelines on medical interventions for people born with variations </w:t>
      </w:r>
      <w:r>
        <w:rPr>
          <w:rFonts w:eastAsia="Times New Roman" w:cs="Open Sans"/>
          <w:b/>
          <w:bCs/>
          <w:i/>
          <w:iCs/>
        </w:rPr>
        <w:t>in</w:t>
      </w:r>
      <w:r w:rsidRPr="142DBD8A">
        <w:rPr>
          <w:rFonts w:eastAsia="Times New Roman" w:cs="Open Sans"/>
          <w:b/>
          <w:bCs/>
          <w:i/>
          <w:iCs/>
        </w:rPr>
        <w:t xml:space="preserve"> sex characteristics</w:t>
      </w:r>
      <w:r w:rsidRPr="142DBD8A">
        <w:rPr>
          <w:rFonts w:cs="Open Sans"/>
          <w:b/>
          <w:bCs/>
        </w:rPr>
        <w:t xml:space="preserve"> (see Recommendation </w:t>
      </w:r>
      <w:r w:rsidR="00F627B8">
        <w:rPr>
          <w:rFonts w:cs="Open Sans"/>
          <w:b/>
          <w:bCs/>
        </w:rPr>
        <w:t>6</w:t>
      </w:r>
      <w:r w:rsidRPr="142DBD8A">
        <w:rPr>
          <w:rFonts w:cs="Open Sans"/>
          <w:b/>
          <w:bCs/>
        </w:rPr>
        <w:t>) should set out what is required to obtain informed consent before performing a medical intervention for a person born with variations of sex characteristics. This guidance should require that:</w:t>
      </w:r>
    </w:p>
    <w:p w:rsidRPr="001E257F" w:rsidR="005C4CC3" w:rsidP="002F7D27" w:rsidRDefault="005C4CC3" w14:paraId="19A9D272" w14:textId="77777777">
      <w:pPr>
        <w:pStyle w:val="ListParagraph"/>
        <w:numPr>
          <w:ilvl w:val="0"/>
          <w:numId w:val="41"/>
        </w:numPr>
        <w:rPr>
          <w:rFonts w:cs="Open Sans"/>
          <w:b/>
          <w:bCs/>
        </w:rPr>
      </w:pPr>
      <w:r w:rsidRPr="142DBD8A">
        <w:rPr>
          <w:rFonts w:cs="Open Sans"/>
          <w:b/>
          <w:bCs/>
        </w:rPr>
        <w:t>treating practitioners provide accurate, up-to-date, evidence-based medical information, including about:</w:t>
      </w:r>
    </w:p>
    <w:p w:rsidRPr="001E257F" w:rsidR="005C4CC3" w:rsidP="002F7D27" w:rsidRDefault="005C4CC3" w14:paraId="22FB312A" w14:textId="77777777">
      <w:pPr>
        <w:pStyle w:val="ListParagraph"/>
        <w:numPr>
          <w:ilvl w:val="1"/>
          <w:numId w:val="41"/>
        </w:numPr>
        <w:rPr>
          <w:rFonts w:cs="Open Sans"/>
          <w:b/>
          <w:bCs/>
        </w:rPr>
      </w:pPr>
      <w:r w:rsidRPr="001E257F">
        <w:rPr>
          <w:rFonts w:cs="Open Sans"/>
          <w:b/>
          <w:bCs/>
        </w:rPr>
        <w:t>the variation in question</w:t>
      </w:r>
    </w:p>
    <w:p w:rsidRPr="001E257F" w:rsidR="005C4CC3" w:rsidP="002F7D27" w:rsidRDefault="005C4CC3" w14:paraId="1999D241" w14:textId="77777777">
      <w:pPr>
        <w:pStyle w:val="ListParagraph"/>
        <w:numPr>
          <w:ilvl w:val="1"/>
          <w:numId w:val="41"/>
        </w:numPr>
        <w:rPr>
          <w:rFonts w:cs="Open Sans"/>
          <w:b/>
          <w:bCs/>
        </w:rPr>
      </w:pPr>
      <w:r w:rsidRPr="001E257F">
        <w:rPr>
          <w:rFonts w:cs="Open Sans"/>
          <w:b/>
          <w:bCs/>
        </w:rPr>
        <w:t>the exact nature of any proposed intervention, why it is medically necessary, and the degree of any risk from the intervention</w:t>
      </w:r>
    </w:p>
    <w:p w:rsidRPr="001E257F" w:rsidR="005C4CC3" w:rsidP="002F7D27" w:rsidRDefault="005C4CC3" w14:paraId="3D23D1B8" w14:textId="77777777">
      <w:pPr>
        <w:pStyle w:val="ListParagraph"/>
        <w:numPr>
          <w:ilvl w:val="1"/>
          <w:numId w:val="41"/>
        </w:numPr>
        <w:rPr>
          <w:rFonts w:cs="Open Sans"/>
          <w:b/>
          <w:bCs/>
        </w:rPr>
      </w:pPr>
      <w:r w:rsidRPr="001E257F">
        <w:rPr>
          <w:rFonts w:cs="Open Sans"/>
          <w:b/>
          <w:bCs/>
        </w:rPr>
        <w:t>what alternatives exist, including other medical interventions or delaying or deferring the proposed intervention</w:t>
      </w:r>
    </w:p>
    <w:p w:rsidRPr="001E257F" w:rsidR="005C4CC3" w:rsidP="002F7D27" w:rsidRDefault="005C4CC3" w14:paraId="22314BF9" w14:textId="39791FAA">
      <w:pPr>
        <w:pStyle w:val="ListParagraph"/>
        <w:numPr>
          <w:ilvl w:val="1"/>
          <w:numId w:val="41"/>
        </w:numPr>
        <w:rPr>
          <w:rFonts w:cs="Open Sans"/>
          <w:b/>
          <w:bCs/>
        </w:rPr>
      </w:pPr>
      <w:r w:rsidRPr="001E257F">
        <w:rPr>
          <w:rFonts w:cs="Open Sans"/>
          <w:b/>
          <w:bCs/>
        </w:rPr>
        <w:t>the likely long-term effects and outcomes if the proposed intervention is carried out</w:t>
      </w:r>
      <w:r w:rsidR="002D3F44">
        <w:rPr>
          <w:rFonts w:cs="Open Sans"/>
          <w:b/>
          <w:bCs/>
        </w:rPr>
        <w:t xml:space="preserve"> immediately, at a later </w:t>
      </w:r>
      <w:r w:rsidRPr="0117CC5D" w:rsidR="002D3F44">
        <w:rPr>
          <w:rFonts w:cs="Open Sans"/>
          <w:b/>
          <w:bCs/>
        </w:rPr>
        <w:t>ti</w:t>
      </w:r>
      <w:r w:rsidRPr="0117CC5D" w:rsidR="16243888">
        <w:rPr>
          <w:rFonts w:cs="Open Sans"/>
          <w:b/>
          <w:bCs/>
        </w:rPr>
        <w:t>m</w:t>
      </w:r>
      <w:r w:rsidRPr="0117CC5D" w:rsidR="002D3F44">
        <w:rPr>
          <w:rFonts w:cs="Open Sans"/>
          <w:b/>
          <w:bCs/>
        </w:rPr>
        <w:t>e</w:t>
      </w:r>
      <w:r w:rsidR="002D3F44">
        <w:rPr>
          <w:rFonts w:cs="Open Sans"/>
          <w:b/>
          <w:bCs/>
        </w:rPr>
        <w:t>,</w:t>
      </w:r>
      <w:r w:rsidRPr="001E257F">
        <w:rPr>
          <w:rFonts w:cs="Open Sans"/>
          <w:b/>
          <w:bCs/>
        </w:rPr>
        <w:t xml:space="preserve"> and if intervention is </w:t>
      </w:r>
      <w:r w:rsidR="006D5FFE">
        <w:rPr>
          <w:rFonts w:cs="Open Sans"/>
          <w:b/>
          <w:bCs/>
        </w:rPr>
        <w:t xml:space="preserve">not </w:t>
      </w:r>
      <w:r w:rsidRPr="001E257F">
        <w:rPr>
          <w:rFonts w:cs="Open Sans"/>
          <w:b/>
          <w:bCs/>
        </w:rPr>
        <w:t>carried out</w:t>
      </w:r>
    </w:p>
    <w:p w:rsidRPr="001E257F" w:rsidR="005C4CC3" w:rsidP="002F7D27" w:rsidRDefault="005C4CC3" w14:paraId="583C57E9" w14:textId="77777777">
      <w:pPr>
        <w:pStyle w:val="ListParagraph"/>
        <w:numPr>
          <w:ilvl w:val="1"/>
          <w:numId w:val="41"/>
        </w:numPr>
        <w:rPr>
          <w:rFonts w:cs="Open Sans"/>
          <w:b/>
          <w:bCs/>
        </w:rPr>
      </w:pPr>
      <w:r w:rsidRPr="001E257F">
        <w:rPr>
          <w:rFonts w:cs="Open Sans"/>
          <w:b/>
          <w:bCs/>
        </w:rPr>
        <w:t>what uncertainty, if any, exists in relation to the current state of medical knowledge underpinning any recommended intervention</w:t>
      </w:r>
    </w:p>
    <w:p w:rsidRPr="001E257F" w:rsidR="005C4CC3" w:rsidP="002F7D27" w:rsidRDefault="005C4CC3" w14:paraId="1E05784A" w14:textId="77777777">
      <w:pPr>
        <w:pStyle w:val="ListParagraph"/>
        <w:numPr>
          <w:ilvl w:val="1"/>
          <w:numId w:val="41"/>
        </w:numPr>
        <w:rPr>
          <w:rFonts w:cs="Open Sans"/>
          <w:b/>
          <w:bCs/>
        </w:rPr>
      </w:pPr>
      <w:r w:rsidRPr="001E257F">
        <w:rPr>
          <w:rFonts w:cs="Open Sans"/>
          <w:b/>
          <w:bCs/>
        </w:rPr>
        <w:lastRenderedPageBreak/>
        <w:t>any diversity of medical opinion about the proposed intervention</w:t>
      </w:r>
    </w:p>
    <w:p w:rsidRPr="001E257F" w:rsidR="005C4CC3" w:rsidP="002F7D27" w:rsidRDefault="005C4CC3" w14:paraId="52E45EE9" w14:textId="77777777">
      <w:pPr>
        <w:pStyle w:val="ListParagraph"/>
        <w:numPr>
          <w:ilvl w:val="1"/>
          <w:numId w:val="41"/>
        </w:numPr>
        <w:rPr>
          <w:rFonts w:cs="Open Sans"/>
          <w:b/>
          <w:bCs/>
        </w:rPr>
      </w:pPr>
      <w:r w:rsidRPr="001E257F">
        <w:rPr>
          <w:rFonts w:cs="Open Sans"/>
          <w:b/>
          <w:bCs/>
        </w:rPr>
        <w:t>the benefits of peer support, and contact information for relevant groups</w:t>
      </w:r>
    </w:p>
    <w:p w:rsidRPr="001E257F" w:rsidR="005C4CC3" w:rsidP="002F7D27" w:rsidRDefault="005C4CC3" w14:paraId="1E19FB0C" w14:textId="5662B3B3">
      <w:pPr>
        <w:pStyle w:val="ListParagraph"/>
        <w:numPr>
          <w:ilvl w:val="0"/>
          <w:numId w:val="41"/>
        </w:numPr>
        <w:rPr>
          <w:rFonts w:cs="Open Sans"/>
          <w:b/>
          <w:bCs/>
        </w:rPr>
      </w:pPr>
      <w:r w:rsidRPr="001E257F">
        <w:rPr>
          <w:rFonts w:cs="Open Sans"/>
          <w:b/>
          <w:bCs/>
        </w:rPr>
        <w:t xml:space="preserve">treating practitioners document fully the information provided, how they have included children in decision-making processes and </w:t>
      </w:r>
      <w:r>
        <w:rPr>
          <w:rFonts w:cs="Open Sans"/>
          <w:b/>
          <w:bCs/>
        </w:rPr>
        <w:t>the steps</w:t>
      </w:r>
      <w:r w:rsidRPr="001E257F">
        <w:rPr>
          <w:rFonts w:cs="Open Sans"/>
          <w:b/>
          <w:bCs/>
        </w:rPr>
        <w:t xml:space="preserve"> they have </w:t>
      </w:r>
      <w:r>
        <w:rPr>
          <w:rFonts w:cs="Open Sans"/>
          <w:b/>
          <w:bCs/>
        </w:rPr>
        <w:t>taken</w:t>
      </w:r>
      <w:r w:rsidRPr="001E257F">
        <w:rPr>
          <w:rFonts w:cs="Open Sans"/>
          <w:b/>
          <w:bCs/>
        </w:rPr>
        <w:t xml:space="preserve"> to communicate effectively the information taking into account the age, disability or other characteristics of the person</w:t>
      </w:r>
      <w:r w:rsidR="00176A44">
        <w:rPr>
          <w:rFonts w:cs="Open Sans"/>
          <w:b/>
          <w:bCs/>
        </w:rPr>
        <w:t>.</w:t>
      </w:r>
      <w:r w:rsidR="001A1155">
        <w:rPr>
          <w:rFonts w:cs="Open Sans"/>
          <w:b/>
          <w:bCs/>
        </w:rPr>
        <w:t xml:space="preserve"> </w:t>
      </w:r>
      <w:r w:rsidRPr="001E257F">
        <w:rPr>
          <w:rFonts w:cs="Open Sans"/>
          <w:b/>
          <w:bCs/>
        </w:rPr>
        <w:t xml:space="preserve"> </w:t>
      </w:r>
    </w:p>
    <w:p w:rsidRPr="001E257F" w:rsidR="005C4CC3" w:rsidP="002F7D27" w:rsidRDefault="005C4CC3" w14:paraId="65C0AC23" w14:textId="1848D205">
      <w:pPr>
        <w:pStyle w:val="ListParagraph"/>
        <w:numPr>
          <w:ilvl w:val="0"/>
          <w:numId w:val="41"/>
        </w:numPr>
        <w:rPr>
          <w:rFonts w:cs="Open Sans"/>
          <w:b/>
          <w:bCs/>
        </w:rPr>
      </w:pPr>
      <w:r w:rsidRPr="001E257F">
        <w:rPr>
          <w:rFonts w:cs="Open Sans"/>
          <w:b/>
          <w:bCs/>
        </w:rPr>
        <w:t xml:space="preserve">people born with variations in sex characteristics and, where they are children, </w:t>
      </w:r>
      <w:r w:rsidR="00037906">
        <w:rPr>
          <w:rFonts w:cs="Open Sans"/>
          <w:b/>
          <w:bCs/>
        </w:rPr>
        <w:t xml:space="preserve">their </w:t>
      </w:r>
      <w:r w:rsidR="001A1155">
        <w:rPr>
          <w:rFonts w:cs="Open Sans"/>
          <w:b/>
          <w:bCs/>
        </w:rPr>
        <w:t>parents and other</w:t>
      </w:r>
      <w:r w:rsidRPr="001E257F">
        <w:rPr>
          <w:rFonts w:cs="Open Sans"/>
          <w:b/>
          <w:bCs/>
        </w:rPr>
        <w:t xml:space="preserve"> famil</w:t>
      </w:r>
      <w:r w:rsidR="001A1155">
        <w:rPr>
          <w:rFonts w:cs="Open Sans"/>
          <w:b/>
          <w:bCs/>
        </w:rPr>
        <w:t>y members</w:t>
      </w:r>
      <w:r w:rsidRPr="001E257F">
        <w:rPr>
          <w:rFonts w:cs="Open Sans"/>
          <w:b/>
          <w:bCs/>
        </w:rPr>
        <w:t>, are provided information in clear, accessible, non-technical language that they can understand</w:t>
      </w:r>
    </w:p>
    <w:p w:rsidRPr="00A87398" w:rsidR="005C4CC3" w:rsidP="002F7D27" w:rsidRDefault="005C4CC3" w14:paraId="2B989E12" w14:textId="1097057A">
      <w:pPr>
        <w:pStyle w:val="ListParagraph"/>
        <w:numPr>
          <w:ilvl w:val="0"/>
          <w:numId w:val="41"/>
        </w:numPr>
        <w:rPr>
          <w:rFonts w:cs="Open Sans"/>
          <w:b/>
          <w:bCs/>
        </w:rPr>
      </w:pPr>
      <w:r w:rsidRPr="00A87398">
        <w:rPr>
          <w:rFonts w:cs="Open Sans"/>
          <w:b/>
          <w:bCs/>
        </w:rPr>
        <w:t>treating practitioners refer people born with variations in sex characteristics, and where relevant</w:t>
      </w:r>
      <w:r w:rsidR="00DF4AF2">
        <w:rPr>
          <w:rFonts w:cs="Open Sans"/>
          <w:b/>
          <w:bCs/>
        </w:rPr>
        <w:t>,</w:t>
      </w:r>
      <w:r w:rsidRPr="00A87398">
        <w:rPr>
          <w:rFonts w:cs="Open Sans"/>
          <w:b/>
          <w:bCs/>
        </w:rPr>
        <w:t xml:space="preserve"> </w:t>
      </w:r>
      <w:r w:rsidR="00037906">
        <w:rPr>
          <w:rFonts w:cs="Open Sans"/>
          <w:b/>
          <w:bCs/>
        </w:rPr>
        <w:t xml:space="preserve">their </w:t>
      </w:r>
      <w:r w:rsidR="001A1155">
        <w:rPr>
          <w:rFonts w:cs="Open Sans"/>
          <w:b/>
          <w:bCs/>
        </w:rPr>
        <w:t xml:space="preserve">parents and other </w:t>
      </w:r>
      <w:r w:rsidRPr="00A87398">
        <w:rPr>
          <w:rFonts w:cs="Open Sans"/>
          <w:b/>
          <w:bCs/>
        </w:rPr>
        <w:t>famil</w:t>
      </w:r>
      <w:r w:rsidR="001A1155">
        <w:rPr>
          <w:rFonts w:cs="Open Sans"/>
          <w:b/>
          <w:bCs/>
        </w:rPr>
        <w:t>y members</w:t>
      </w:r>
      <w:r w:rsidRPr="00A87398">
        <w:rPr>
          <w:rFonts w:cs="Open Sans"/>
          <w:b/>
          <w:bCs/>
        </w:rPr>
        <w:t xml:space="preserve">, to peer support and advocacy organisations, and services such as psychologists and social workers, who can provide further information to help inform their decision-making.  </w:t>
      </w:r>
    </w:p>
    <w:p w:rsidRPr="001E257F" w:rsidR="005C4CC3" w:rsidP="002F7D27" w:rsidRDefault="005C4CC3" w14:paraId="18F4ECD6" w14:textId="15FD04AC">
      <w:pPr>
        <w:pStyle w:val="ListParagraph"/>
        <w:numPr>
          <w:ilvl w:val="0"/>
          <w:numId w:val="41"/>
        </w:numPr>
        <w:rPr>
          <w:rFonts w:cs="Open Sans"/>
          <w:b/>
          <w:bCs/>
        </w:rPr>
      </w:pPr>
      <w:r w:rsidRPr="142DBD8A">
        <w:rPr>
          <w:rFonts w:cs="Open Sans"/>
          <w:b/>
          <w:bCs/>
        </w:rPr>
        <w:t xml:space="preserve">children are included in decision making in an age-appropriate way, including by being given support to understand any medical advice and to express their views, </w:t>
      </w:r>
      <w:r w:rsidRPr="00C9494A">
        <w:rPr>
          <w:rFonts w:cs="Open Sans"/>
          <w:b/>
          <w:bCs/>
        </w:rPr>
        <w:t>with due weight being given to those views according to their age and capacity. Where a child has sufficient understanding</w:t>
      </w:r>
      <w:r w:rsidRPr="00C9494A">
        <w:rPr>
          <w:rFonts w:cs="Open Sans"/>
          <w:b/>
        </w:rPr>
        <w:t xml:space="preserve">, the child’s informed consent should be sought. Where the view is formed that the child </w:t>
      </w:r>
      <w:r w:rsidR="00A87398">
        <w:rPr>
          <w:rFonts w:cs="Open Sans"/>
          <w:b/>
        </w:rPr>
        <w:t>does</w:t>
      </w:r>
      <w:r w:rsidRPr="00C9494A">
        <w:rPr>
          <w:rFonts w:cs="Open Sans"/>
          <w:b/>
        </w:rPr>
        <w:t xml:space="preserve"> not </w:t>
      </w:r>
      <w:r w:rsidRPr="00C9494A">
        <w:rPr>
          <w:rFonts w:cs="Open Sans"/>
          <w:b/>
          <w:bCs/>
        </w:rPr>
        <w:t>have sufficient understanding</w:t>
      </w:r>
      <w:r w:rsidRPr="00C9494A">
        <w:rPr>
          <w:rFonts w:cs="Open Sans"/>
          <w:b/>
        </w:rPr>
        <w:t xml:space="preserve"> f</w:t>
      </w:r>
      <w:r w:rsidRPr="00C9494A">
        <w:rPr>
          <w:rFonts w:cs="Open Sans"/>
          <w:b/>
          <w:bCs/>
        </w:rPr>
        <w:t>or their consent to be sought, the reasons and evidence for this should be documented</w:t>
      </w:r>
      <w:r w:rsidRPr="142DBD8A">
        <w:rPr>
          <w:rFonts w:cs="Open Sans"/>
          <w:b/>
          <w:bCs/>
        </w:rPr>
        <w:t xml:space="preserve"> along with a description of the attempts made to seek the views of the child </w:t>
      </w:r>
    </w:p>
    <w:p w:rsidRPr="001E257F" w:rsidR="005C4CC3" w:rsidP="002F7D27" w:rsidRDefault="005C4CC3" w14:paraId="072E8E7C" w14:textId="0CB9D5F1">
      <w:pPr>
        <w:pStyle w:val="ListParagraph"/>
        <w:numPr>
          <w:ilvl w:val="0"/>
          <w:numId w:val="41"/>
        </w:numPr>
        <w:rPr>
          <w:rFonts w:cs="Open Sans"/>
          <w:b/>
          <w:bCs/>
        </w:rPr>
      </w:pPr>
      <w:r w:rsidRPr="001E257F">
        <w:rPr>
          <w:rFonts w:cs="Open Sans"/>
          <w:b/>
          <w:bCs/>
        </w:rPr>
        <w:t xml:space="preserve">people with variations in sex characteristics and, where they are children, their </w:t>
      </w:r>
      <w:r w:rsidR="001C029E">
        <w:rPr>
          <w:rFonts w:cs="Open Sans"/>
          <w:b/>
          <w:bCs/>
        </w:rPr>
        <w:t xml:space="preserve">parents and other </w:t>
      </w:r>
      <w:r w:rsidRPr="001E257F">
        <w:rPr>
          <w:rFonts w:cs="Open Sans"/>
          <w:b/>
          <w:bCs/>
        </w:rPr>
        <w:t>famil</w:t>
      </w:r>
      <w:r w:rsidR="001C029E">
        <w:rPr>
          <w:rFonts w:cs="Open Sans"/>
          <w:b/>
          <w:bCs/>
        </w:rPr>
        <w:t>y members</w:t>
      </w:r>
      <w:r w:rsidRPr="001E257F">
        <w:rPr>
          <w:rFonts w:cs="Open Sans"/>
          <w:b/>
          <w:bCs/>
        </w:rPr>
        <w:t xml:space="preserve">, be provided with adequate time to make treatment decisions, with access to </w:t>
      </w:r>
      <w:r w:rsidRPr="001E257F">
        <w:rPr>
          <w:rFonts w:cs="Open Sans"/>
          <w:b/>
          <w:bCs/>
        </w:rPr>
        <w:lastRenderedPageBreak/>
        <w:t>necessary support, to ensure they do not feel undue pressure to consent.</w:t>
      </w:r>
    </w:p>
    <w:p w:rsidRPr="005E65FB" w:rsidR="005C4CC3" w:rsidP="005C4CC3" w:rsidRDefault="005C4CC3" w14:paraId="201CDC21" w14:textId="77777777">
      <w:pPr>
        <w:rPr>
          <w:rFonts w:cs="Open Sans"/>
        </w:rPr>
      </w:pPr>
      <w:r w:rsidRPr="142DBD8A">
        <w:rPr>
          <w:rFonts w:cs="Open Sans"/>
        </w:rPr>
        <w:t xml:space="preserve">Medical decision making in respect of people born with variations in sex characteristics can be particularly complex. Medical practitioners referred to the need for decision making to be informed by specialist expertise from a number of disciplines in the context of multi-disciplinary teams. </w:t>
      </w:r>
    </w:p>
    <w:p w:rsidR="005C4CC3" w:rsidP="005C4CC3" w:rsidRDefault="005C4CC3" w14:paraId="0E35907E" w14:textId="77777777">
      <w:pPr>
        <w:rPr>
          <w:rFonts w:cs="Open Sans"/>
        </w:rPr>
      </w:pPr>
      <w:r w:rsidRPr="142DBD8A">
        <w:rPr>
          <w:rFonts w:cs="Open Sans"/>
        </w:rPr>
        <w:t xml:space="preserve">Medical knowledge is both incomplete and evolving in significant ways with respect to many variations in sex characteristics. Doctors agreed that data about long-term outcomes is not adequate to inform accurate assessments of the risks to health associated with some variations, and to understand whole of life consequences of some interventions. This evolving state of knowledge increases the risk that new research will not be immediately communicated to all treating professionals, or included in materials provided to people born with variations in sex characteristics or their legal guardians. </w:t>
      </w:r>
    </w:p>
    <w:p w:rsidR="005C4CC3" w:rsidP="005C4CC3" w:rsidRDefault="005C4CC3" w14:paraId="37F4F596" w14:textId="77777777">
      <w:pPr>
        <w:rPr>
          <w:rFonts w:cs="Open Sans"/>
        </w:rPr>
      </w:pPr>
      <w:r w:rsidRPr="142DBD8A">
        <w:rPr>
          <w:rFonts w:cs="Open Sans"/>
        </w:rPr>
        <w:t xml:space="preserve">The Commission considers that there is credible evidence that best practice in obtaining informed consent has not always been adhered to in medical interventions directed toward variations in sex characteristics. This is so in a context in which there is no specific standard outlining best practice for providing information and obtaining consent. </w:t>
      </w:r>
    </w:p>
    <w:p w:rsidR="005C4CC3" w:rsidP="005C4CC3" w:rsidRDefault="005C4CC3" w14:paraId="4B7E3DBA" w14:textId="63168F6C">
      <w:pPr>
        <w:rPr>
          <w:rFonts w:cs="Open Sans"/>
        </w:rPr>
      </w:pPr>
      <w:r w:rsidRPr="0CF636CB">
        <w:rPr>
          <w:rFonts w:cs="Open Sans"/>
        </w:rPr>
        <w:t xml:space="preserve">The Commission recommends that comprehensive standards regulating the provision of medical advice and the obtaining of consent in cases concerning variations in sex characteristics should be developed, as part of the new </w:t>
      </w:r>
      <w:r w:rsidRPr="0CF636CB">
        <w:rPr>
          <w:rFonts w:cs="Open Sans"/>
          <w:i/>
          <w:iCs/>
        </w:rPr>
        <w:t>National Guidelines on medical interventions for people born with variations of sex characteristics</w:t>
      </w:r>
      <w:r>
        <w:rPr>
          <w:rFonts w:cs="Open Sans"/>
          <w:i/>
          <w:iCs/>
        </w:rPr>
        <w:t xml:space="preserve">, </w:t>
      </w:r>
      <w:r>
        <w:rPr>
          <w:rFonts w:cs="Open Sans"/>
        </w:rPr>
        <w:t>recommended in Chapter 6</w:t>
      </w:r>
      <w:r w:rsidRPr="0CF636CB">
        <w:rPr>
          <w:rFonts w:cs="Open Sans"/>
        </w:rPr>
        <w:t>. These should require the documentation of informed consent processes by treating medical teams. Documentation of these matters would help ensure that best practices are followed, and would improve the records available in later life to people who are subject to medical interventions in childhood.</w:t>
      </w:r>
    </w:p>
    <w:p w:rsidR="004D61D2" w:rsidP="00EA6D35" w:rsidRDefault="00EA6D35" w14:paraId="738912B3" w14:textId="0294D162">
      <w:pPr>
        <w:pStyle w:val="AHRCHeading1"/>
      </w:pPr>
      <w:bookmarkStart w:name="_Toc85541426" w:id="282"/>
      <w:r>
        <w:lastRenderedPageBreak/>
        <w:t xml:space="preserve">Medical </w:t>
      </w:r>
      <w:r w:rsidR="00555823">
        <w:t>necessity of interventions</w:t>
      </w:r>
      <w:bookmarkEnd w:id="282"/>
    </w:p>
    <w:p w:rsidRPr="00746C01" w:rsidR="004D61D2" w:rsidP="002C6051" w:rsidRDefault="004D61D2" w14:paraId="28789D49" w14:textId="0D24A513">
      <w:pPr>
        <w:pStyle w:val="AHRCHeading2"/>
      </w:pPr>
      <w:bookmarkStart w:name="_Toc79596600" w:id="283"/>
      <w:bookmarkStart w:name="_Toc85541427" w:id="284"/>
      <w:r w:rsidRPr="00746C01">
        <w:t>Justifying medical intervention</w:t>
      </w:r>
      <w:bookmarkEnd w:id="283"/>
      <w:bookmarkEnd w:id="284"/>
    </w:p>
    <w:p w:rsidR="004D61D2" w:rsidP="004D61D2" w:rsidRDefault="004D61D2" w14:paraId="3636B085" w14:textId="77777777">
      <w:pPr>
        <w:rPr>
          <w:rFonts w:cs="Open Sans"/>
        </w:rPr>
      </w:pPr>
      <w:r w:rsidRPr="2816C17C">
        <w:rPr>
          <w:rFonts w:cs="Open Sans"/>
        </w:rPr>
        <w:t>A</w:t>
      </w:r>
      <w:r>
        <w:rPr>
          <w:rFonts w:cs="Open Sans"/>
        </w:rPr>
        <w:t>s a general rule, a</w:t>
      </w:r>
      <w:r w:rsidRPr="2816C17C">
        <w:rPr>
          <w:rFonts w:cs="Open Sans"/>
        </w:rPr>
        <w:t xml:space="preserve">ll people have the right to </w:t>
      </w:r>
      <w:r>
        <w:rPr>
          <w:rFonts w:cs="Open Sans"/>
        </w:rPr>
        <w:t xml:space="preserve">either </w:t>
      </w:r>
      <w:r w:rsidRPr="2816C17C">
        <w:rPr>
          <w:rFonts w:cs="Open Sans"/>
        </w:rPr>
        <w:t>provide their free and fully</w:t>
      </w:r>
      <w:r>
        <w:rPr>
          <w:rFonts w:cs="Open Sans"/>
        </w:rPr>
        <w:t xml:space="preserve"> informed</w:t>
      </w:r>
      <w:r w:rsidRPr="2816C17C">
        <w:rPr>
          <w:rFonts w:cs="Open Sans"/>
        </w:rPr>
        <w:t xml:space="preserve"> consent</w:t>
      </w:r>
      <w:r>
        <w:rPr>
          <w:rFonts w:cs="Open Sans"/>
        </w:rPr>
        <w:t>, or to refuse their consent,</w:t>
      </w:r>
      <w:r w:rsidRPr="2816C17C">
        <w:rPr>
          <w:rFonts w:cs="Open Sans"/>
        </w:rPr>
        <w:t xml:space="preserve"> to any medical intervention modifying their sex characteristics.</w:t>
      </w:r>
    </w:p>
    <w:p w:rsidR="004D61D2" w:rsidP="004D61D2" w:rsidRDefault="004D61D2" w14:paraId="6B1E9E3A" w14:textId="77777777">
      <w:pPr>
        <w:rPr>
          <w:rFonts w:cs="Open Sans"/>
        </w:rPr>
      </w:pPr>
      <w:r w:rsidRPr="00A03EF3">
        <w:rPr>
          <w:rFonts w:cs="Open Sans"/>
        </w:rPr>
        <w:t>International human rights law recognises</w:t>
      </w:r>
      <w:r w:rsidRPr="2816C17C">
        <w:rPr>
          <w:rFonts w:cs="Open Sans"/>
        </w:rPr>
        <w:t xml:space="preserve"> </w:t>
      </w:r>
      <w:r>
        <w:rPr>
          <w:rFonts w:cs="Open Sans"/>
        </w:rPr>
        <w:t>a</w:t>
      </w:r>
      <w:r w:rsidRPr="2816C17C">
        <w:rPr>
          <w:rFonts w:cs="Open Sans"/>
        </w:rPr>
        <w:t xml:space="preserve"> limited and narrowly</w:t>
      </w:r>
      <w:r>
        <w:rPr>
          <w:rFonts w:cs="Open Sans"/>
        </w:rPr>
        <w:t xml:space="preserve"> defined</w:t>
      </w:r>
      <w:r w:rsidRPr="2816C17C">
        <w:rPr>
          <w:rFonts w:cs="Open Sans"/>
        </w:rPr>
        <w:t xml:space="preserve"> </w:t>
      </w:r>
      <w:r>
        <w:rPr>
          <w:rFonts w:cs="Open Sans"/>
        </w:rPr>
        <w:t xml:space="preserve">exception to this general rule, </w:t>
      </w:r>
      <w:r w:rsidRPr="2816C17C">
        <w:rPr>
          <w:rFonts w:cs="Open Sans"/>
        </w:rPr>
        <w:t>where it is permissible to perform medical interventions without the consent of the affected individual</w:t>
      </w:r>
      <w:r>
        <w:rPr>
          <w:rFonts w:cs="Open Sans"/>
        </w:rPr>
        <w:t xml:space="preserve">. </w:t>
      </w:r>
    </w:p>
    <w:p w:rsidR="004D61D2" w:rsidP="004D61D2" w:rsidRDefault="004D61D2" w14:paraId="10A914F4" w14:textId="3F338315">
      <w:pPr>
        <w:rPr>
          <w:rFonts w:cs="Open Sans"/>
        </w:rPr>
      </w:pPr>
      <w:r>
        <w:rPr>
          <w:rFonts w:cs="Open Sans"/>
        </w:rPr>
        <w:t xml:space="preserve">This exception relates to </w:t>
      </w:r>
      <w:r w:rsidRPr="00467F75">
        <w:rPr>
          <w:rFonts w:cs="Open Sans"/>
          <w:i/>
        </w:rPr>
        <w:t xml:space="preserve">medical </w:t>
      </w:r>
      <w:r w:rsidRPr="00B76878">
        <w:rPr>
          <w:rFonts w:cs="Open Sans"/>
          <w:i/>
        </w:rPr>
        <w:t xml:space="preserve">necessity </w:t>
      </w:r>
      <w:r w:rsidRPr="00B76878">
        <w:rPr>
          <w:rFonts w:cs="Open Sans"/>
        </w:rPr>
        <w:t>– as</w:t>
      </w:r>
      <w:r>
        <w:rPr>
          <w:rFonts w:cs="Open Sans"/>
        </w:rPr>
        <w:t xml:space="preserve"> expressed in the Medical </w:t>
      </w:r>
      <w:r w:rsidR="00184271">
        <w:rPr>
          <w:rFonts w:cs="Open Sans"/>
        </w:rPr>
        <w:t>n</w:t>
      </w:r>
      <w:r>
        <w:rPr>
          <w:rFonts w:cs="Open Sans"/>
        </w:rPr>
        <w:t xml:space="preserve">ecessity </w:t>
      </w:r>
      <w:r w:rsidR="00184271">
        <w:rPr>
          <w:rFonts w:cs="Open Sans"/>
        </w:rPr>
        <w:t>p</w:t>
      </w:r>
      <w:r>
        <w:rPr>
          <w:rFonts w:cs="Open Sans"/>
        </w:rPr>
        <w:t xml:space="preserve">rinciple. </w:t>
      </w:r>
      <w:r>
        <w:rPr>
          <w:rFonts w:cs="Open Sans"/>
          <w:iCs/>
        </w:rPr>
        <w:t>I</w:t>
      </w:r>
      <w:r>
        <w:rPr>
          <w:rFonts w:cs="Open Sans"/>
        </w:rPr>
        <w:t>t is permissible to carry out a medical intervention on a person without their personal consent</w:t>
      </w:r>
      <w:r w:rsidRPr="2816C17C">
        <w:rPr>
          <w:rFonts w:cs="Open Sans"/>
        </w:rPr>
        <w:t xml:space="preserve"> </w:t>
      </w:r>
      <w:r>
        <w:rPr>
          <w:rFonts w:cs="Open Sans"/>
        </w:rPr>
        <w:t xml:space="preserve">only where the intervention is required urgently </w:t>
      </w:r>
      <w:r w:rsidRPr="2816C17C">
        <w:rPr>
          <w:rFonts w:cs="Open Sans"/>
        </w:rPr>
        <w:t xml:space="preserve">to avoid serious harm to the person </w:t>
      </w:r>
      <w:r>
        <w:rPr>
          <w:rFonts w:cs="Open Sans"/>
        </w:rPr>
        <w:t>affected</w:t>
      </w:r>
      <w:r w:rsidRPr="2816C17C">
        <w:rPr>
          <w:rFonts w:cs="Open Sans"/>
        </w:rPr>
        <w:t xml:space="preserve"> (the ‘medical necessity’ principle).</w:t>
      </w:r>
      <w:r>
        <w:rPr>
          <w:rFonts w:cs="Open Sans"/>
        </w:rPr>
        <w:t xml:space="preserve"> In this context, an intervention is ‘required urgently’ if it cannot be deferred without a significant risk of serious harm. </w:t>
      </w:r>
    </w:p>
    <w:p w:rsidR="004D61D2" w:rsidP="004D61D2" w:rsidRDefault="004D61D2" w14:paraId="41958E1C" w14:textId="1934E88D">
      <w:pPr>
        <w:rPr>
          <w:rFonts w:eastAsia="Times New Roman" w:cs="Open Sans"/>
        </w:rPr>
      </w:pPr>
      <w:r w:rsidRPr="664CBF88">
        <w:rPr>
          <w:rFonts w:eastAsia="Times New Roman" w:cs="Open Sans"/>
        </w:rPr>
        <w:t>The Commission considers that legal principles</w:t>
      </w:r>
      <w:r>
        <w:rPr>
          <w:rFonts w:eastAsia="Times New Roman" w:cs="Open Sans"/>
        </w:rPr>
        <w:t>, including those derived from and reflect international human rights law, as reflected in Chapter 2,</w:t>
      </w:r>
      <w:r w:rsidRPr="664CBF88">
        <w:rPr>
          <w:rFonts w:eastAsia="Times New Roman" w:cs="Open Sans"/>
        </w:rPr>
        <w:t xml:space="preserve"> mean that medical interventions on children with </w:t>
      </w:r>
      <w:r w:rsidRPr="664CBF88">
        <w:rPr>
          <w:rFonts w:cs="Open Sans"/>
        </w:rPr>
        <w:t>variations in sex characteristics</w:t>
      </w:r>
      <w:r>
        <w:rPr>
          <w:rFonts w:cs="Open Sans"/>
        </w:rPr>
        <w:t>, where such interventions</w:t>
      </w:r>
      <w:r w:rsidRPr="664CBF88">
        <w:rPr>
          <w:rFonts w:cs="Open Sans"/>
        </w:rPr>
        <w:t xml:space="preserve"> </w:t>
      </w:r>
      <w:r w:rsidR="00B57B75">
        <w:rPr>
          <w:rFonts w:eastAsia="Times New Roman" w:cs="Open Sans"/>
        </w:rPr>
        <w:t>modify</w:t>
      </w:r>
      <w:r w:rsidRPr="664CBF88">
        <w:rPr>
          <w:rFonts w:eastAsia="Times New Roman" w:cs="Open Sans"/>
        </w:rPr>
        <w:t xml:space="preserve"> their sex characteristics</w:t>
      </w:r>
      <w:r>
        <w:rPr>
          <w:rFonts w:eastAsia="Times New Roman" w:cs="Open Sans"/>
        </w:rPr>
        <w:t>,</w:t>
      </w:r>
      <w:r w:rsidRPr="664CBF88">
        <w:rPr>
          <w:rFonts w:eastAsia="Times New Roman" w:cs="Open Sans"/>
        </w:rPr>
        <w:t xml:space="preserve"> </w:t>
      </w:r>
      <w:r>
        <w:rPr>
          <w:rFonts w:eastAsia="Times New Roman" w:cs="Open Sans"/>
        </w:rPr>
        <w:t>should</w:t>
      </w:r>
      <w:r w:rsidRPr="664CBF88">
        <w:rPr>
          <w:rFonts w:eastAsia="Times New Roman" w:cs="Open Sans"/>
        </w:rPr>
        <w:t xml:space="preserve"> be permissible </w:t>
      </w:r>
      <w:r w:rsidRPr="2816C17C">
        <w:rPr>
          <w:rFonts w:eastAsia="Times New Roman" w:cs="Open Sans"/>
        </w:rPr>
        <w:t xml:space="preserve">only </w:t>
      </w:r>
      <w:r>
        <w:rPr>
          <w:rFonts w:eastAsia="Times New Roman" w:cs="Open Sans"/>
        </w:rPr>
        <w:t>if all of the following factors are present</w:t>
      </w:r>
      <w:r w:rsidRPr="2816C17C">
        <w:rPr>
          <w:rFonts w:eastAsia="Times New Roman" w:cs="Open Sans"/>
        </w:rPr>
        <w:t>:</w:t>
      </w:r>
    </w:p>
    <w:p w:rsidRPr="0082645E" w:rsidR="004D61D2" w:rsidP="002F7D27" w:rsidRDefault="004D61D2" w14:paraId="2179AE3A" w14:textId="77777777">
      <w:pPr>
        <w:pStyle w:val="ListParagraph"/>
        <w:numPr>
          <w:ilvl w:val="0"/>
          <w:numId w:val="46"/>
        </w:numPr>
        <w:spacing w:before="0" w:after="160" w:line="259" w:lineRule="auto"/>
        <w:ind w:left="714" w:hanging="357"/>
        <w:rPr>
          <w:rFonts w:cs="Open Sans"/>
        </w:rPr>
      </w:pPr>
      <w:r w:rsidRPr="0082645E">
        <w:rPr>
          <w:rFonts w:cs="Open Sans"/>
        </w:rPr>
        <w:t xml:space="preserve">the medical intervention is </w:t>
      </w:r>
      <w:r>
        <w:rPr>
          <w:rFonts w:cs="Open Sans"/>
        </w:rPr>
        <w:t xml:space="preserve">required </w:t>
      </w:r>
      <w:r w:rsidRPr="0082645E">
        <w:rPr>
          <w:rFonts w:cs="Open Sans"/>
        </w:rPr>
        <w:t xml:space="preserve">urgently to </w:t>
      </w:r>
      <w:r>
        <w:rPr>
          <w:rFonts w:cs="Open Sans"/>
        </w:rPr>
        <w:t xml:space="preserve">avoid </w:t>
      </w:r>
      <w:r w:rsidRPr="0082645E">
        <w:rPr>
          <w:rFonts w:cs="Open Sans"/>
        </w:rPr>
        <w:t>serious harm</w:t>
      </w:r>
    </w:p>
    <w:p w:rsidRPr="0082645E" w:rsidR="004D61D2" w:rsidP="002F7D27" w:rsidRDefault="004D61D2" w14:paraId="541DA9AE" w14:textId="77777777">
      <w:pPr>
        <w:pStyle w:val="ListParagraph"/>
        <w:numPr>
          <w:ilvl w:val="0"/>
          <w:numId w:val="46"/>
        </w:numPr>
        <w:spacing w:before="0" w:after="160" w:line="259" w:lineRule="auto"/>
        <w:ind w:left="714" w:hanging="357"/>
        <w:rPr>
          <w:rFonts w:cs="Open Sans"/>
        </w:rPr>
      </w:pPr>
      <w:r w:rsidRPr="0082645E">
        <w:rPr>
          <w:rFonts w:cs="Open Sans"/>
        </w:rPr>
        <w:t>the risk of harm cannot be mitigated in another less intrusive way, and intervention cannot be further delayed</w:t>
      </w:r>
    </w:p>
    <w:p w:rsidRPr="0082645E" w:rsidR="004D61D2" w:rsidP="002F7D27" w:rsidRDefault="004D61D2" w14:paraId="11036469" w14:textId="77777777">
      <w:pPr>
        <w:pStyle w:val="ListParagraph"/>
        <w:numPr>
          <w:ilvl w:val="0"/>
          <w:numId w:val="46"/>
        </w:numPr>
        <w:spacing w:before="0" w:after="160" w:line="259" w:lineRule="auto"/>
        <w:ind w:left="714" w:hanging="357"/>
        <w:rPr>
          <w:rFonts w:cs="Open Sans"/>
        </w:rPr>
      </w:pPr>
      <w:r w:rsidRPr="0082645E">
        <w:rPr>
          <w:rFonts w:cs="Open Sans"/>
        </w:rPr>
        <w:t>the risk of harm outweighs the significant limitation on human rights that is occasioned by medical intervention without personal consent.</w:t>
      </w:r>
    </w:p>
    <w:p w:rsidR="004D61D2" w:rsidP="004D61D2" w:rsidRDefault="004D61D2" w14:paraId="4A2FCEB6" w14:textId="178AC30B">
      <w:pPr>
        <w:rPr>
          <w:rFonts w:cs="Open Sans"/>
        </w:rPr>
      </w:pPr>
      <w:r>
        <w:rPr>
          <w:rFonts w:cs="Open Sans"/>
        </w:rPr>
        <w:t>This chapter applies this legal principle of medical necessity to the situation of medical interventions in respect of people born with variations in sex characteristics. It explores the elements of the principle by considering</w:t>
      </w:r>
    </w:p>
    <w:p w:rsidR="004D61D2" w:rsidP="002F7D27" w:rsidRDefault="004D61D2" w14:paraId="2719E94C" w14:textId="77777777">
      <w:pPr>
        <w:pStyle w:val="ListParagraph"/>
        <w:numPr>
          <w:ilvl w:val="0"/>
          <w:numId w:val="46"/>
        </w:numPr>
        <w:spacing w:before="0" w:after="160" w:line="259" w:lineRule="auto"/>
        <w:contextualSpacing/>
        <w:rPr>
          <w:rFonts w:cs="Open Sans"/>
        </w:rPr>
      </w:pPr>
      <w:r>
        <w:rPr>
          <w:rFonts w:cs="Open Sans"/>
        </w:rPr>
        <w:lastRenderedPageBreak/>
        <w:t>particular situations where urgent treatment is required to address an unacceptable risk of serious harm</w:t>
      </w:r>
      <w:r w:rsidRPr="00BD7AF0">
        <w:rPr>
          <w:rFonts w:cs="Open Sans"/>
        </w:rPr>
        <w:t xml:space="preserve"> </w:t>
      </w:r>
    </w:p>
    <w:p w:rsidR="004D61D2" w:rsidP="002F7D27" w:rsidRDefault="004D61D2" w14:paraId="2817BF89" w14:textId="77777777">
      <w:pPr>
        <w:pStyle w:val="ListParagraph"/>
        <w:numPr>
          <w:ilvl w:val="0"/>
          <w:numId w:val="46"/>
        </w:numPr>
        <w:spacing w:before="0" w:after="160" w:line="259" w:lineRule="auto"/>
        <w:contextualSpacing/>
        <w:rPr>
          <w:rFonts w:cs="Open Sans"/>
        </w:rPr>
      </w:pPr>
      <w:r>
        <w:rPr>
          <w:rFonts w:cs="Open Sans"/>
        </w:rPr>
        <w:t>other claimed needs to intervene to protect physical health</w:t>
      </w:r>
    </w:p>
    <w:p w:rsidR="004D61D2" w:rsidP="002F7D27" w:rsidRDefault="004D61D2" w14:paraId="321BA3B7" w14:textId="77777777">
      <w:pPr>
        <w:pStyle w:val="ListParagraph"/>
        <w:numPr>
          <w:ilvl w:val="0"/>
          <w:numId w:val="46"/>
        </w:numPr>
        <w:spacing w:before="0" w:after="160" w:line="259" w:lineRule="auto"/>
        <w:contextualSpacing/>
        <w:rPr>
          <w:rFonts w:cs="Open Sans"/>
        </w:rPr>
      </w:pPr>
      <w:r>
        <w:rPr>
          <w:rFonts w:cs="Open Sans"/>
        </w:rPr>
        <w:t>the situation where intervention is proposed to address</w:t>
      </w:r>
      <w:r w:rsidDel="008F2729">
        <w:rPr>
          <w:rFonts w:cs="Open Sans"/>
        </w:rPr>
        <w:t xml:space="preserve"> </w:t>
      </w:r>
      <w:r>
        <w:rPr>
          <w:rFonts w:cs="Open Sans"/>
        </w:rPr>
        <w:t>a risk of cancer</w:t>
      </w:r>
    </w:p>
    <w:p w:rsidR="004D61D2" w:rsidP="002F7D27" w:rsidRDefault="004D61D2" w14:paraId="69647F1E" w14:textId="77777777">
      <w:pPr>
        <w:pStyle w:val="ListParagraph"/>
        <w:numPr>
          <w:ilvl w:val="0"/>
          <w:numId w:val="46"/>
        </w:numPr>
        <w:spacing w:before="0" w:after="160" w:line="259" w:lineRule="auto"/>
        <w:contextualSpacing/>
        <w:rPr>
          <w:rFonts w:cs="Open Sans"/>
        </w:rPr>
      </w:pPr>
      <w:r w:rsidRPr="00FD6698">
        <w:rPr>
          <w:rFonts w:cs="Open Sans"/>
        </w:rPr>
        <w:t xml:space="preserve">psychosocial </w:t>
      </w:r>
      <w:r>
        <w:rPr>
          <w:rFonts w:cs="Open Sans"/>
        </w:rPr>
        <w:t>rationales for intervention, including to ‘normalise’ genitalia.</w:t>
      </w:r>
    </w:p>
    <w:p w:rsidRPr="00155A83" w:rsidR="004D61D2" w:rsidP="004D61D2" w:rsidRDefault="004D61D2" w14:paraId="4F6D815B" w14:textId="3A015E67">
      <w:r w:rsidRPr="005D4347">
        <w:rPr>
          <w:rFonts w:cs="Open Sans"/>
        </w:rPr>
        <w:t xml:space="preserve">The Commission concludes that, while some of these rationales may have been relied on in the past to justify medical interventions, not all are consistent with the </w:t>
      </w:r>
      <w:r>
        <w:rPr>
          <w:rFonts w:cs="Open Sans"/>
        </w:rPr>
        <w:t>M</w:t>
      </w:r>
      <w:r w:rsidRPr="005D4347">
        <w:rPr>
          <w:rFonts w:cs="Open Sans"/>
        </w:rPr>
        <w:t xml:space="preserve">edical </w:t>
      </w:r>
      <w:r w:rsidR="00755949">
        <w:rPr>
          <w:rFonts w:cs="Open Sans"/>
        </w:rPr>
        <w:t>n</w:t>
      </w:r>
      <w:r w:rsidRPr="005D4347">
        <w:rPr>
          <w:rFonts w:cs="Open Sans"/>
        </w:rPr>
        <w:t xml:space="preserve">ecessity </w:t>
      </w:r>
      <w:r w:rsidR="00755949">
        <w:rPr>
          <w:rFonts w:cs="Open Sans"/>
        </w:rPr>
        <w:t>p</w:t>
      </w:r>
      <w:r w:rsidRPr="005D4347">
        <w:rPr>
          <w:rFonts w:cs="Open Sans"/>
        </w:rPr>
        <w:t xml:space="preserve">rinciple. In later chapters, the Commission makes recommendations for new guidance on how to determine whether a medical intervention </w:t>
      </w:r>
      <w:r w:rsidR="00440DFD">
        <w:rPr>
          <w:rFonts w:cs="Open Sans"/>
        </w:rPr>
        <w:t>modifying</w:t>
      </w:r>
      <w:r w:rsidRPr="005D4347">
        <w:rPr>
          <w:rFonts w:cs="Open Sans"/>
        </w:rPr>
        <w:t xml:space="preserve"> sex characteristics is a medical necessity and can be carried out without personal consent, if authorised by an independent panel (see Recommendation </w:t>
      </w:r>
      <w:r>
        <w:rPr>
          <w:rFonts w:cs="Open Sans"/>
        </w:rPr>
        <w:t>8</w:t>
      </w:r>
      <w:r w:rsidRPr="005D4347">
        <w:rPr>
          <w:rFonts w:cs="Open Sans"/>
        </w:rPr>
        <w:t>).</w:t>
      </w:r>
      <w:r w:rsidRPr="004B492A">
        <w:rPr>
          <w:rFonts w:cs="Open Sans"/>
        </w:rPr>
        <w:t xml:space="preserve"> </w:t>
      </w:r>
    </w:p>
    <w:p w:rsidRPr="002C6051" w:rsidR="004D61D2" w:rsidP="002C6051" w:rsidRDefault="004D61D2" w14:paraId="370869A2" w14:textId="264C1536">
      <w:pPr>
        <w:pStyle w:val="AHRCHeading2"/>
      </w:pPr>
      <w:bookmarkStart w:name="_Toc79596601" w:id="285"/>
      <w:bookmarkStart w:name="_Toc85541428" w:id="286"/>
      <w:r w:rsidRPr="002C6051">
        <w:t>Consent and medical necessity</w:t>
      </w:r>
      <w:bookmarkEnd w:id="285"/>
      <w:bookmarkEnd w:id="286"/>
    </w:p>
    <w:p w:rsidR="004D61D2" w:rsidP="004D61D2" w:rsidRDefault="004D61D2" w14:paraId="58C94311" w14:textId="2ABE7B94">
      <w:pPr>
        <w:rPr>
          <w:rFonts w:cs="Open Sans"/>
        </w:rPr>
      </w:pPr>
      <w:r>
        <w:rPr>
          <w:rFonts w:cs="Open Sans"/>
        </w:rPr>
        <w:t>T</w:t>
      </w:r>
      <w:r w:rsidRPr="664CBF88">
        <w:rPr>
          <w:rFonts w:cs="Open Sans"/>
        </w:rPr>
        <w:t>he requirement for consent to medical interventions at international law derives from the right to bodily integrity, which is an aspect of the right to security of the person</w:t>
      </w:r>
      <w:r>
        <w:rPr>
          <w:rFonts w:cs="Open Sans"/>
        </w:rPr>
        <w:t xml:space="preserve"> – </w:t>
      </w:r>
      <w:r w:rsidRPr="007A1818">
        <w:rPr>
          <w:rFonts w:cs="Open Sans"/>
        </w:rPr>
        <w:t xml:space="preserve">expressed in </w:t>
      </w:r>
      <w:r>
        <w:rPr>
          <w:rFonts w:cs="Open Sans"/>
        </w:rPr>
        <w:t xml:space="preserve">the Bodily </w:t>
      </w:r>
      <w:r w:rsidR="00CB277A">
        <w:rPr>
          <w:rFonts w:cs="Open Sans"/>
        </w:rPr>
        <w:t>i</w:t>
      </w:r>
      <w:r>
        <w:rPr>
          <w:rFonts w:cs="Open Sans"/>
        </w:rPr>
        <w:t xml:space="preserve">ntegrity </w:t>
      </w:r>
      <w:r w:rsidR="00CB277A">
        <w:rPr>
          <w:rFonts w:cs="Open Sans"/>
        </w:rPr>
        <w:t>p</w:t>
      </w:r>
      <w:r>
        <w:rPr>
          <w:rFonts w:cs="Open Sans"/>
        </w:rPr>
        <w:t>rinciple set out in Chapter 2.</w:t>
      </w:r>
      <w:r w:rsidRPr="0117CC5D">
        <w:rPr>
          <w:rStyle w:val="EndnoteReference"/>
          <w:rFonts w:cs="Open Sans"/>
        </w:rPr>
        <w:endnoteReference w:id="262"/>
      </w:r>
      <w:r w:rsidRPr="664CBF88">
        <w:rPr>
          <w:rFonts w:cs="Open Sans"/>
        </w:rPr>
        <w:t xml:space="preserve"> More recently, it has been reaffirmed in the World Health Organization’s </w:t>
      </w:r>
      <w:r w:rsidRPr="664CBF88">
        <w:rPr>
          <w:rFonts w:cs="Open Sans"/>
          <w:i/>
          <w:iCs/>
        </w:rPr>
        <w:t>Amsterdam Declaration on Patients’ Rights</w:t>
      </w:r>
      <w:r w:rsidRPr="664CBF88">
        <w:rPr>
          <w:rFonts w:cs="Open Sans"/>
        </w:rPr>
        <w:t>, which requires informed consent as a prerequisite for any medical intervention and guarantees the right to refuse or halt medical interventions.</w:t>
      </w:r>
      <w:r w:rsidRPr="0117CC5D">
        <w:rPr>
          <w:rStyle w:val="EndnoteReference"/>
          <w:rFonts w:cs="Open Sans"/>
        </w:rPr>
        <w:endnoteReference w:id="263"/>
      </w:r>
    </w:p>
    <w:p w:rsidR="004D61D2" w:rsidP="004D61D2" w:rsidRDefault="004D61D2" w14:paraId="3C1ECD80" w14:textId="77777777">
      <w:pPr>
        <w:rPr>
          <w:rFonts w:cs="Open Sans"/>
        </w:rPr>
      </w:pPr>
      <w:r w:rsidRPr="664CBF88">
        <w:rPr>
          <w:rFonts w:cs="Open Sans"/>
        </w:rPr>
        <w:t>International law also recognises the autonomy and agency of children to influence decisions that will have an impact on them</w:t>
      </w:r>
      <w:r>
        <w:rPr>
          <w:rFonts w:cs="Open Sans"/>
        </w:rPr>
        <w:t xml:space="preserve"> – </w:t>
      </w:r>
      <w:r w:rsidRPr="007F778D">
        <w:rPr>
          <w:rFonts w:cs="Open Sans"/>
        </w:rPr>
        <w:t>expressed in the Children’s Agency Principle. Children are rights bearers</w:t>
      </w:r>
      <w:r w:rsidRPr="664CBF88">
        <w:rPr>
          <w:rFonts w:cs="Open Sans"/>
        </w:rPr>
        <w:t xml:space="preserve"> and not merely objects of protection.</w:t>
      </w:r>
      <w:r w:rsidRPr="0117CC5D">
        <w:rPr>
          <w:rStyle w:val="EndnoteReference"/>
          <w:rFonts w:cs="Open Sans"/>
        </w:rPr>
        <w:endnoteReference w:id="264"/>
      </w:r>
      <w:r w:rsidRPr="664CBF88">
        <w:rPr>
          <w:rFonts w:cs="Open Sans"/>
        </w:rPr>
        <w:t xml:space="preserve"> </w:t>
      </w:r>
      <w:r>
        <w:rPr>
          <w:rFonts w:cs="Open Sans"/>
        </w:rPr>
        <w:t>D</w:t>
      </w:r>
      <w:r w:rsidRPr="5F726F67">
        <w:rPr>
          <w:rFonts w:cs="Open Sans"/>
        </w:rPr>
        <w:t>ecisions</w:t>
      </w:r>
      <w:r w:rsidRPr="664CBF88">
        <w:rPr>
          <w:rFonts w:cs="Open Sans"/>
        </w:rPr>
        <w:t xml:space="preserve"> </w:t>
      </w:r>
      <w:r w:rsidRPr="664CBF88">
        <w:rPr>
          <w:rFonts w:cs="Open Sans"/>
          <w:i/>
          <w:iCs/>
        </w:rPr>
        <w:t>about</w:t>
      </w:r>
      <w:r w:rsidRPr="664CBF88">
        <w:rPr>
          <w:rFonts w:cs="Open Sans"/>
        </w:rPr>
        <w:t xml:space="preserve"> children </w:t>
      </w:r>
      <w:r>
        <w:rPr>
          <w:rFonts w:cs="Open Sans"/>
        </w:rPr>
        <w:t xml:space="preserve">must </w:t>
      </w:r>
      <w:r w:rsidRPr="664CBF88">
        <w:rPr>
          <w:rFonts w:cs="Open Sans"/>
        </w:rPr>
        <w:t>have their best interests as a primary consideration,</w:t>
      </w:r>
      <w:r w:rsidRPr="0117CC5D">
        <w:rPr>
          <w:rStyle w:val="EndnoteReference"/>
          <w:rFonts w:cs="Open Sans"/>
        </w:rPr>
        <w:endnoteReference w:id="265"/>
      </w:r>
      <w:r w:rsidRPr="664CBF88">
        <w:rPr>
          <w:rFonts w:cs="Open Sans"/>
        </w:rPr>
        <w:t xml:space="preserve"> </w:t>
      </w:r>
      <w:r>
        <w:rPr>
          <w:rFonts w:cs="Open Sans"/>
        </w:rPr>
        <w:t xml:space="preserve">and in addition </w:t>
      </w:r>
      <w:r w:rsidRPr="664CBF88">
        <w:rPr>
          <w:rFonts w:cs="Open Sans"/>
        </w:rPr>
        <w:t>children have a right to express their own views about decisions that affect them and their views must be given due weight in accordance with their age and maturity.</w:t>
      </w:r>
      <w:r w:rsidRPr="0117CC5D">
        <w:rPr>
          <w:rStyle w:val="EndnoteReference"/>
          <w:rFonts w:cs="Open Sans"/>
          <w:i/>
        </w:rPr>
        <w:endnoteReference w:id="266"/>
      </w:r>
    </w:p>
    <w:p w:rsidR="004D61D2" w:rsidP="004D61D2" w:rsidRDefault="004D61D2" w14:paraId="04BE77AD" w14:textId="77777777">
      <w:pPr>
        <w:rPr>
          <w:rFonts w:cs="Open Sans"/>
        </w:rPr>
      </w:pPr>
      <w:r>
        <w:rPr>
          <w:rFonts w:cs="Open Sans"/>
        </w:rPr>
        <w:t>As</w:t>
      </w:r>
      <w:r w:rsidRPr="664CBF88">
        <w:rPr>
          <w:rFonts w:cs="Open Sans"/>
        </w:rPr>
        <w:t xml:space="preserve"> discussed in Chapter 4, there is a recognition in Australian law that children’s ability to understand medical procedures, and consent to them, generally increases with age.</w:t>
      </w:r>
      <w:r w:rsidRPr="0117CC5D">
        <w:rPr>
          <w:rStyle w:val="EndnoteReference"/>
          <w:rFonts w:cs="Open Sans"/>
        </w:rPr>
        <w:endnoteReference w:id="267"/>
      </w:r>
      <w:r w:rsidRPr="664CBF88">
        <w:rPr>
          <w:rFonts w:cs="Open Sans"/>
        </w:rPr>
        <w:t xml:space="preserve"> </w:t>
      </w:r>
    </w:p>
    <w:p w:rsidR="004D61D2" w:rsidP="004D61D2" w:rsidRDefault="004D61D2" w14:paraId="1A01E8F7" w14:textId="77777777">
      <w:pPr>
        <w:rPr>
          <w:rFonts w:cs="Open Sans"/>
        </w:rPr>
      </w:pPr>
      <w:r w:rsidRPr="664CBF88">
        <w:rPr>
          <w:rFonts w:cs="Open Sans"/>
        </w:rPr>
        <w:t>What this means in combination is that if a child is legally unable to give fully</w:t>
      </w:r>
      <w:r>
        <w:rPr>
          <w:rFonts w:cs="Open Sans"/>
        </w:rPr>
        <w:t xml:space="preserve"> </w:t>
      </w:r>
      <w:r w:rsidRPr="664CBF88">
        <w:rPr>
          <w:rFonts w:cs="Open Sans"/>
        </w:rPr>
        <w:t xml:space="preserve">informed consent to a proposed medical intervention now, and the intervention </w:t>
      </w:r>
      <w:r w:rsidRPr="664CBF88">
        <w:rPr>
          <w:rFonts w:cs="Open Sans"/>
        </w:rPr>
        <w:lastRenderedPageBreak/>
        <w:t>can be safely deferred, the child’s ability to make a fully</w:t>
      </w:r>
      <w:r>
        <w:rPr>
          <w:rFonts w:cs="Open Sans"/>
        </w:rPr>
        <w:t xml:space="preserve"> </w:t>
      </w:r>
      <w:r w:rsidRPr="664CBF88">
        <w:rPr>
          <w:rFonts w:cs="Open Sans"/>
        </w:rPr>
        <w:t>informed decision about what happens to their own body will be enhanced.</w:t>
      </w:r>
    </w:p>
    <w:p w:rsidR="004D61D2" w:rsidP="004D61D2" w:rsidRDefault="004D61D2" w14:paraId="5652F949" w14:textId="77777777">
      <w:pPr>
        <w:rPr>
          <w:rFonts w:cs="Open Sans"/>
        </w:rPr>
      </w:pPr>
      <w:r>
        <w:rPr>
          <w:rFonts w:cs="Open Sans"/>
        </w:rPr>
        <w:t>Children also have the right to enjoy the highest-attainable standard of health.</w:t>
      </w:r>
      <w:r w:rsidRPr="0117CC5D">
        <w:rPr>
          <w:rStyle w:val="EndnoteReference"/>
          <w:rFonts w:cs="Open Sans"/>
        </w:rPr>
        <w:endnoteReference w:id="268"/>
      </w:r>
      <w:r w:rsidRPr="005A7B07">
        <w:rPr>
          <w:rFonts w:cs="Open Sans"/>
          <w:sz w:val="20"/>
          <w:szCs w:val="20"/>
        </w:rPr>
        <w:t xml:space="preserve"> </w:t>
      </w:r>
      <w:r>
        <w:rPr>
          <w:rFonts w:cs="Open Sans"/>
        </w:rPr>
        <w:t>In order to secure this right, there may be situations where it is necessary for a medical intervention to be carried out urgently without the fully informed personal consent of the child. Because an intervention of this kind impinges on the affected child’s rights to autonomy and agency, the two sets of rights need to be accommodated. The usual way that international human rights deals with a situation like this is by weighing the respective rights in a proportionality analysis.</w:t>
      </w:r>
      <w:r w:rsidRPr="0117CC5D">
        <w:rPr>
          <w:rStyle w:val="EndnoteReference"/>
          <w:rFonts w:cs="Open Sans"/>
        </w:rPr>
        <w:endnoteReference w:id="269"/>
      </w:r>
      <w:r>
        <w:rPr>
          <w:rFonts w:cs="Open Sans"/>
        </w:rPr>
        <w:t xml:space="preserve"> </w:t>
      </w:r>
    </w:p>
    <w:p w:rsidR="004D61D2" w:rsidP="004D61D2" w:rsidRDefault="004D61D2" w14:paraId="48325024" w14:textId="77777777">
      <w:pPr>
        <w:rPr>
          <w:rFonts w:cs="Open Sans"/>
        </w:rPr>
      </w:pPr>
      <w:r>
        <w:rPr>
          <w:rFonts w:cs="Open Sans"/>
        </w:rPr>
        <w:t xml:space="preserve">The rationale for interfering with the child’s autonomy and agency is that it is necessary to protect the child’s health. In this chapter, the Commission refers to that rationale as one of ‘medical necessity’. It is an exception that allows </w:t>
      </w:r>
      <w:r w:rsidRPr="00EE556C">
        <w:rPr>
          <w:rFonts w:cs="Open Sans"/>
          <w:i/>
          <w:iCs/>
        </w:rPr>
        <w:t>some</w:t>
      </w:r>
      <w:r>
        <w:rPr>
          <w:rFonts w:cs="Open Sans"/>
        </w:rPr>
        <w:t xml:space="preserve"> limitation to the right to bodily integrity. As an exception, it must be narrowly construed so that medical interventions – and particularly intrusive interventions like surgery – do not take place where they are not necessary or when they could be deferred to allow fully-infor</w:t>
      </w:r>
      <w:r w:rsidRPr="00962073">
        <w:rPr>
          <w:rFonts w:cs="Open Sans"/>
        </w:rPr>
        <w:t>med decision making by the child – as reflected in the Precautionary principle.</w:t>
      </w:r>
    </w:p>
    <w:p w:rsidR="004D61D2" w:rsidP="004D61D2" w:rsidRDefault="004D61D2" w14:paraId="4D396120" w14:textId="77777777">
      <w:pPr>
        <w:rPr>
          <w:rFonts w:cs="Open Sans"/>
        </w:rPr>
      </w:pPr>
      <w:r w:rsidRPr="664CBF88">
        <w:rPr>
          <w:rFonts w:cs="Open Sans"/>
        </w:rPr>
        <w:t xml:space="preserve">The parameters of the exception to personal consent have both a </w:t>
      </w:r>
      <w:r w:rsidRPr="000A71EE">
        <w:rPr>
          <w:rFonts w:cs="Open Sans"/>
          <w:i/>
          <w:iCs/>
        </w:rPr>
        <w:t>temporal</w:t>
      </w:r>
      <w:r w:rsidRPr="664CBF88">
        <w:rPr>
          <w:rFonts w:cs="Open Sans"/>
        </w:rPr>
        <w:t xml:space="preserve"> element (the intervention must be urgent, </w:t>
      </w:r>
      <w:r>
        <w:rPr>
          <w:rFonts w:cs="Open Sans"/>
        </w:rPr>
        <w:t>that is,</w:t>
      </w:r>
      <w:r w:rsidRPr="664CBF88">
        <w:rPr>
          <w:rFonts w:cs="Open Sans"/>
        </w:rPr>
        <w:t xml:space="preserve"> unable to be deferred) and a </w:t>
      </w:r>
      <w:r w:rsidRPr="000A71EE">
        <w:rPr>
          <w:rFonts w:cs="Open Sans"/>
          <w:i/>
          <w:iCs/>
        </w:rPr>
        <w:t>materiality</w:t>
      </w:r>
      <w:r w:rsidRPr="664CBF88">
        <w:rPr>
          <w:rFonts w:cs="Open Sans"/>
        </w:rPr>
        <w:t xml:space="preserve"> element (the intervention must be necessary to address a serious medical issue, with no less restrictive alternatives available). The </w:t>
      </w:r>
      <w:r w:rsidRPr="664CBF88">
        <w:rPr>
          <w:rFonts w:cs="Open Sans"/>
          <w:i/>
          <w:iCs/>
        </w:rPr>
        <w:t>Amsterdam Declaration on Patients’ Rights</w:t>
      </w:r>
      <w:r w:rsidRPr="664CBF88">
        <w:rPr>
          <w:rFonts w:cs="Open Sans"/>
        </w:rPr>
        <w:t xml:space="preserve"> provides for an exception to personal consent where intervention is ‘urgently needed’.</w:t>
      </w:r>
      <w:r w:rsidRPr="003C1A57">
        <w:rPr>
          <w:rStyle w:val="EndnoteReference"/>
          <w:rFonts w:cs="Open Sans"/>
        </w:rPr>
        <w:endnoteReference w:id="270"/>
      </w:r>
      <w:r w:rsidRPr="003C1A57">
        <w:rPr>
          <w:rFonts w:cs="Open Sans"/>
        </w:rPr>
        <w:t xml:space="preserve"> </w:t>
      </w:r>
      <w:r w:rsidRPr="664CBF88">
        <w:rPr>
          <w:rFonts w:cs="Open Sans"/>
        </w:rPr>
        <w:t xml:space="preserve">The </w:t>
      </w:r>
      <w:r w:rsidRPr="664CBF88">
        <w:rPr>
          <w:rFonts w:cs="Open Sans"/>
          <w:i/>
          <w:iCs/>
        </w:rPr>
        <w:t>Yogyakarta Principles Plus 10</w:t>
      </w:r>
      <w:r>
        <w:rPr>
          <w:rFonts w:cs="Open Sans"/>
        </w:rPr>
        <w:t xml:space="preserve"> </w:t>
      </w:r>
      <w:r w:rsidRPr="664CBF88">
        <w:rPr>
          <w:rFonts w:cs="Open Sans"/>
        </w:rPr>
        <w:t>give specific consideration to this issue in the context of medical treatment for people born with variations in sex characteristics. They provide that medical interventions modify</w:t>
      </w:r>
      <w:r>
        <w:rPr>
          <w:rFonts w:cs="Open Sans"/>
        </w:rPr>
        <w:t>ing</w:t>
      </w:r>
      <w:r w:rsidRPr="664CBF88">
        <w:rPr>
          <w:rFonts w:cs="Open Sans"/>
        </w:rPr>
        <w:t xml:space="preserve"> sex characteristics should not be performed without free, prior and informed consent, ‘unless necessary to avoid serious, urgent and irreparable harm’.</w:t>
      </w:r>
      <w:r w:rsidRPr="0117CC5D">
        <w:rPr>
          <w:rStyle w:val="EndnoteReference"/>
          <w:rFonts w:cs="Open Sans"/>
        </w:rPr>
        <w:endnoteReference w:id="271"/>
      </w:r>
    </w:p>
    <w:p w:rsidR="004D61D2" w:rsidP="004D61D2" w:rsidRDefault="004D61D2" w14:paraId="2D4FDF9E" w14:textId="77777777">
      <w:pPr>
        <w:rPr>
          <w:rFonts w:cs="Open Sans"/>
        </w:rPr>
      </w:pPr>
      <w:r w:rsidRPr="664CBF88">
        <w:rPr>
          <w:rFonts w:cs="Open Sans"/>
        </w:rPr>
        <w:lastRenderedPageBreak/>
        <w:t>The former Special Rapporteur on the right to health, Mr Anand Grover, recognised a</w:t>
      </w:r>
      <w:r>
        <w:rPr>
          <w:rFonts w:cs="Open Sans"/>
        </w:rPr>
        <w:t xml:space="preserve"> similar </w:t>
      </w:r>
      <w:r w:rsidRPr="664CBF88">
        <w:rPr>
          <w:rFonts w:cs="Open Sans"/>
        </w:rPr>
        <w:t>exception to the need for personal consent. In relation to medical interventions on children, he said:</w:t>
      </w:r>
    </w:p>
    <w:p w:rsidRPr="00B13257" w:rsidR="004D61D2" w:rsidP="004D61D2" w:rsidRDefault="004D61D2" w14:paraId="6C4285D0" w14:textId="77777777">
      <w:pPr>
        <w:ind w:left="720"/>
        <w:rPr>
          <w:rFonts w:cs="Open Sans"/>
        </w:rPr>
      </w:pPr>
      <w:r w:rsidRPr="00B13257">
        <w:rPr>
          <w:rFonts w:cs="Open Sans"/>
        </w:rPr>
        <w:t>Health-care providers should strive to postpone non-emergency invasive and irreversible interventions until the child is sufficiently mature to provide informed consent.</w:t>
      </w:r>
      <w:r w:rsidRPr="0117CC5D">
        <w:rPr>
          <w:rStyle w:val="EndnoteReference"/>
          <w:rFonts w:cs="Open Sans"/>
        </w:rPr>
        <w:endnoteReference w:id="272"/>
      </w:r>
    </w:p>
    <w:p w:rsidR="004D61D2" w:rsidP="004D61D2" w:rsidRDefault="004D61D2" w14:paraId="4F147F76" w14:textId="77777777">
      <w:pPr>
        <w:rPr>
          <w:rFonts w:cs="Open Sans"/>
        </w:rPr>
      </w:pPr>
      <w:r>
        <w:rPr>
          <w:rFonts w:cs="Open Sans"/>
        </w:rPr>
        <w:t>He noted that proposed interventions on children with variations in sex characteristics need to be particularly scrutinised.</w:t>
      </w:r>
      <w:r w:rsidRPr="0117CC5D">
        <w:rPr>
          <w:rStyle w:val="EndnoteReference"/>
          <w:rFonts w:cs="Open Sans"/>
        </w:rPr>
        <w:endnoteReference w:id="273"/>
      </w:r>
    </w:p>
    <w:p w:rsidRPr="00545373" w:rsidR="004D61D2" w:rsidP="00523ECE" w:rsidRDefault="004D61D2" w14:paraId="606AB84B" w14:textId="67C5FF71">
      <w:pPr>
        <w:pStyle w:val="AHRCHeading2"/>
      </w:pPr>
      <w:bookmarkStart w:name="_Toc79596602" w:id="287"/>
      <w:bookmarkStart w:name="_Toc85541429" w:id="288"/>
      <w:r w:rsidRPr="00545373">
        <w:t>Rationales and circumstances claimed to justify medical interventions</w:t>
      </w:r>
      <w:bookmarkEnd w:id="287"/>
      <w:bookmarkEnd w:id="288"/>
      <w:r w:rsidRPr="00545373">
        <w:t xml:space="preserve"> </w:t>
      </w:r>
    </w:p>
    <w:p w:rsidR="004D61D2" w:rsidP="004D61D2" w:rsidRDefault="004D61D2" w14:paraId="792CFAB2" w14:textId="77777777">
      <w:pPr>
        <w:rPr>
          <w:rFonts w:cs="Open Sans"/>
        </w:rPr>
      </w:pPr>
      <w:r>
        <w:rPr>
          <w:rFonts w:cs="Open Sans"/>
        </w:rPr>
        <w:t>U</w:t>
      </w:r>
      <w:r w:rsidRPr="00914B9B">
        <w:rPr>
          <w:rFonts w:cs="Open Sans"/>
        </w:rPr>
        <w:t>nder international human rights law</w:t>
      </w:r>
      <w:r>
        <w:rPr>
          <w:rFonts w:cs="Open Sans"/>
        </w:rPr>
        <w:t xml:space="preserve">, medical necessity is the only scenario in which a medical intervention on </w:t>
      </w:r>
      <w:r w:rsidRPr="00A87398">
        <w:rPr>
          <w:rFonts w:cs="Open Sans"/>
        </w:rPr>
        <w:t>people with variations in sex characteristics may occur without their personal consent – as expressed in the Medical necessity principle. However, not all stakeholders explicitly endorsed the standard of medical necessity and, where stakeholders used the term, it was given a range of meanings.</w:t>
      </w:r>
    </w:p>
    <w:p w:rsidR="004D61D2" w:rsidP="004D61D2" w:rsidRDefault="004D61D2" w14:paraId="4D9A7C9E" w14:textId="77777777">
      <w:pPr>
        <w:rPr>
          <w:rFonts w:cs="Open Sans"/>
        </w:rPr>
      </w:pPr>
      <w:r>
        <w:rPr>
          <w:rFonts w:cs="Open Sans"/>
        </w:rPr>
        <w:t xml:space="preserve">Whether a particular intervention complies with this </w:t>
      </w:r>
      <w:r w:rsidRPr="00572B5B">
        <w:rPr>
          <w:rFonts w:cs="Open Sans"/>
        </w:rPr>
        <w:t>legal principle</w:t>
      </w:r>
      <w:r>
        <w:rPr>
          <w:rFonts w:cs="Open Sans"/>
        </w:rPr>
        <w:t xml:space="preserve"> can be complex</w:t>
      </w:r>
      <w:r w:rsidRPr="7623DED8">
        <w:rPr>
          <w:rFonts w:cs="Open Sans"/>
        </w:rPr>
        <w:t>.</w:t>
      </w:r>
      <w:r>
        <w:rPr>
          <w:rFonts w:cs="Open Sans"/>
        </w:rPr>
        <w:t xml:space="preserve"> </w:t>
      </w:r>
      <w:r w:rsidRPr="7623DED8">
        <w:rPr>
          <w:rFonts w:cs="Open Sans"/>
        </w:rPr>
        <w:t>Often,</w:t>
      </w:r>
      <w:r>
        <w:rPr>
          <w:rFonts w:cs="Open Sans"/>
        </w:rPr>
        <w:t xml:space="preserve"> multiple factors must be taken into account.</w:t>
      </w:r>
      <w:r w:rsidRPr="0117CC5D">
        <w:rPr>
          <w:rStyle w:val="EndnoteReference"/>
          <w:rFonts w:cs="Open Sans"/>
        </w:rPr>
        <w:endnoteReference w:id="274"/>
      </w:r>
    </w:p>
    <w:p w:rsidR="004D61D2" w:rsidP="004D61D2" w:rsidRDefault="004D61D2" w14:paraId="3AABA047" w14:textId="77777777">
      <w:pPr>
        <w:rPr>
          <w:rFonts w:cs="Open Sans"/>
        </w:rPr>
      </w:pPr>
      <w:r w:rsidRPr="2816C17C">
        <w:rPr>
          <w:rFonts w:cs="Open Sans"/>
        </w:rPr>
        <w:t xml:space="preserve">Stakeholders </w:t>
      </w:r>
      <w:r>
        <w:rPr>
          <w:rFonts w:cs="Open Sans"/>
        </w:rPr>
        <w:t xml:space="preserve">reported </w:t>
      </w:r>
      <w:r w:rsidRPr="2816C17C">
        <w:rPr>
          <w:rFonts w:cs="Open Sans"/>
        </w:rPr>
        <w:t xml:space="preserve">a </w:t>
      </w:r>
      <w:r>
        <w:rPr>
          <w:rFonts w:cs="Open Sans"/>
        </w:rPr>
        <w:t xml:space="preserve">broad </w:t>
      </w:r>
      <w:r w:rsidRPr="2816C17C">
        <w:rPr>
          <w:rFonts w:cs="Open Sans"/>
        </w:rPr>
        <w:t xml:space="preserve">range of </w:t>
      </w:r>
      <w:r>
        <w:rPr>
          <w:rFonts w:cs="Open Sans"/>
        </w:rPr>
        <w:t xml:space="preserve">experiences regarding the </w:t>
      </w:r>
      <w:r w:rsidRPr="2816C17C">
        <w:rPr>
          <w:rFonts w:cs="Open Sans"/>
        </w:rPr>
        <w:t>circumstances in which medical interventions have been conducted without personal consent</w:t>
      </w:r>
      <w:r>
        <w:rPr>
          <w:rFonts w:cs="Open Sans"/>
        </w:rPr>
        <w:t>,</w:t>
      </w:r>
      <w:r w:rsidRPr="2816C17C">
        <w:rPr>
          <w:rFonts w:cs="Open Sans"/>
        </w:rPr>
        <w:t xml:space="preserve"> both historically and in current clinical practice. Stakeholders also expressed divergent views on when </w:t>
      </w:r>
      <w:r>
        <w:rPr>
          <w:rFonts w:cs="Open Sans"/>
        </w:rPr>
        <w:t xml:space="preserve">such </w:t>
      </w:r>
      <w:r w:rsidRPr="2816C17C">
        <w:rPr>
          <w:rFonts w:cs="Open Sans"/>
        </w:rPr>
        <w:t>interventions should be permitted.</w:t>
      </w:r>
      <w:r w:rsidRPr="0117CC5D">
        <w:rPr>
          <w:rStyle w:val="EndnoteReference"/>
          <w:rFonts w:cs="Open Sans"/>
        </w:rPr>
        <w:endnoteReference w:id="275"/>
      </w:r>
    </w:p>
    <w:p w:rsidRPr="00DE7AA8" w:rsidR="004D61D2" w:rsidP="004D61D2" w:rsidRDefault="004D61D2" w14:paraId="65308654" w14:textId="77777777">
      <w:pPr>
        <w:rPr>
          <w:rFonts w:cs="Open Sans"/>
        </w:rPr>
      </w:pPr>
      <w:r w:rsidRPr="2816C17C">
        <w:rPr>
          <w:rFonts w:cs="Open Sans"/>
        </w:rPr>
        <w:t xml:space="preserve">Some </w:t>
      </w:r>
      <w:r>
        <w:rPr>
          <w:rFonts w:cs="Open Sans"/>
        </w:rPr>
        <w:t>people</w:t>
      </w:r>
      <w:r w:rsidRPr="2816C17C">
        <w:rPr>
          <w:rFonts w:cs="Open Sans"/>
        </w:rPr>
        <w:t xml:space="preserve"> born with variations in sex characteristics and some civil society organisations stated that, in their experience, permissible and impermissible considerations are currently considered together in deciding whether an intervention should be </w:t>
      </w:r>
      <w:r w:rsidRPr="00DE7AA8">
        <w:rPr>
          <w:rFonts w:cs="Open Sans"/>
        </w:rPr>
        <w:t>conducted.</w:t>
      </w:r>
      <w:r w:rsidRPr="0117CC5D">
        <w:rPr>
          <w:rStyle w:val="EndnoteReference"/>
          <w:rFonts w:cs="Open Sans"/>
        </w:rPr>
        <w:endnoteReference w:id="276"/>
      </w:r>
      <w:r w:rsidRPr="00327042">
        <w:rPr>
          <w:rFonts w:cs="Open Sans"/>
          <w:sz w:val="20"/>
          <w:szCs w:val="20"/>
        </w:rPr>
        <w:t xml:space="preserve"> </w:t>
      </w:r>
    </w:p>
    <w:p w:rsidRPr="00327042" w:rsidR="004D61D2" w:rsidP="004D61D2" w:rsidRDefault="004D61D2" w14:paraId="119E29BF" w14:textId="77777777">
      <w:pPr>
        <w:pStyle w:val="Heading3"/>
        <w:rPr>
          <w:rFonts w:cs="Open Sans" w:asciiTheme="minorHAnsi" w:hAnsiTheme="minorHAnsi" w:eastAsiaTheme="minorEastAsia"/>
          <w:sz w:val="28"/>
          <w:szCs w:val="28"/>
          <w:lang w:eastAsia="en-US"/>
        </w:rPr>
      </w:pPr>
      <w:bookmarkStart w:name="_Toc79596603" w:id="291"/>
      <w:bookmarkStart w:name="_Toc85541430" w:id="292"/>
      <w:r>
        <w:t>S</w:t>
      </w:r>
      <w:r w:rsidRPr="00DE7AA8">
        <w:t>ituations where ur</w:t>
      </w:r>
      <w:r>
        <w:t>gent treatment is required</w:t>
      </w:r>
      <w:bookmarkEnd w:id="291"/>
      <w:bookmarkEnd w:id="292"/>
    </w:p>
    <w:p w:rsidRPr="00C51D78" w:rsidR="004D61D2" w:rsidP="004D61D2" w:rsidRDefault="004D61D2" w14:paraId="7BB44712" w14:textId="77777777">
      <w:bookmarkStart w:name="_Hlk76380878" w:id="293"/>
      <w:r w:rsidRPr="2816C17C">
        <w:rPr>
          <w:rFonts w:cs="Open Sans"/>
        </w:rPr>
        <w:t xml:space="preserve">A small number of variations in sex characteristics are associated with life-threatening risk if not treated promptly. </w:t>
      </w:r>
      <w:bookmarkEnd w:id="293"/>
    </w:p>
    <w:p w:rsidR="004D61D2" w:rsidP="004D61D2" w:rsidRDefault="004D61D2" w14:paraId="4E1770B4" w14:textId="77777777">
      <w:pPr>
        <w:tabs>
          <w:tab w:val="left" w:pos="5670"/>
        </w:tabs>
        <w:rPr>
          <w:rFonts w:cs="Open Sans"/>
        </w:rPr>
      </w:pPr>
      <w:r>
        <w:rPr>
          <w:rFonts w:cs="Open Sans"/>
        </w:rPr>
        <w:lastRenderedPageBreak/>
        <w:t>All stakeholders</w:t>
      </w:r>
      <w:r w:rsidRPr="2816C17C" w:rsidDel="00995057">
        <w:rPr>
          <w:rFonts w:cs="Open Sans"/>
        </w:rPr>
        <w:t xml:space="preserve"> </w:t>
      </w:r>
      <w:r w:rsidRPr="00832D3B">
        <w:rPr>
          <w:rFonts w:cs="Open Sans"/>
        </w:rPr>
        <w:t xml:space="preserve">agreed that immediate intervention is </w:t>
      </w:r>
      <w:r>
        <w:rPr>
          <w:rFonts w:cs="Open Sans"/>
        </w:rPr>
        <w:t>permissible in situations where</w:t>
      </w:r>
      <w:r w:rsidRPr="2816C17C">
        <w:rPr>
          <w:rFonts w:cs="Open Sans"/>
        </w:rPr>
        <w:t xml:space="preserve"> </w:t>
      </w:r>
      <w:r>
        <w:rPr>
          <w:rFonts w:cs="Open Sans"/>
        </w:rPr>
        <w:t>treatment is medically necessary and especially urgent</w:t>
      </w:r>
      <w:r w:rsidRPr="00832D3B">
        <w:rPr>
          <w:rFonts w:cs="Open Sans"/>
        </w:rPr>
        <w:t>.</w:t>
      </w:r>
      <w:r w:rsidRPr="0117CC5D">
        <w:rPr>
          <w:rStyle w:val="EndnoteReference"/>
          <w:rFonts w:cs="Open Sans"/>
        </w:rPr>
        <w:endnoteReference w:id="277"/>
      </w:r>
      <w:r w:rsidRPr="00542823">
        <w:rPr>
          <w:rFonts w:cs="Open Sans"/>
          <w:sz w:val="20"/>
          <w:szCs w:val="20"/>
        </w:rPr>
        <w:t xml:space="preserve"> </w:t>
      </w:r>
    </w:p>
    <w:p w:rsidR="004D61D2" w:rsidP="004D61D2" w:rsidRDefault="004D61D2" w14:paraId="744B8A45" w14:textId="77777777">
      <w:pPr>
        <w:rPr>
          <w:rFonts w:cs="Open Sans"/>
        </w:rPr>
      </w:pPr>
      <w:r w:rsidRPr="664CBF88">
        <w:rPr>
          <w:rFonts w:cs="Open Sans"/>
        </w:rPr>
        <w:t xml:space="preserve">One example of a variation associated with a serious risk to health or even a threat to life is congenital adrenal hyperplasia (CAH). There are several types of CAH, of which the most serious is ’salt-wasting’ CAH, in which </w:t>
      </w:r>
    </w:p>
    <w:p w:rsidRPr="002B773A" w:rsidR="004D61D2" w:rsidP="004D61D2" w:rsidRDefault="004D61D2" w14:paraId="110473F4" w14:textId="77777777">
      <w:pPr>
        <w:ind w:left="720"/>
        <w:rPr>
          <w:rFonts w:cs="Open Sans"/>
          <w:sz w:val="22"/>
          <w:szCs w:val="22"/>
        </w:rPr>
      </w:pPr>
      <w:r w:rsidRPr="002B773A">
        <w:rPr>
          <w:rFonts w:cs="Open Sans"/>
          <w:sz w:val="22"/>
          <w:szCs w:val="22"/>
        </w:rPr>
        <w:t>the adrenal glands make too little of the hormone aldosterone, causing the body to be unable to retain enough sodium (salt). … If undiagnosed, symptoms of classic salt-wasting CAH appear within days or weeks of birth and, in some cases, death occurs.</w:t>
      </w:r>
      <w:r w:rsidRPr="002B773A">
        <w:rPr>
          <w:rStyle w:val="EndnoteReference"/>
          <w:rFonts w:cs="Open Sans"/>
          <w:sz w:val="22"/>
          <w:szCs w:val="22"/>
        </w:rPr>
        <w:endnoteReference w:id="278"/>
      </w:r>
      <w:r w:rsidRPr="002B773A">
        <w:rPr>
          <w:rFonts w:cs="Open Sans"/>
          <w:sz w:val="22"/>
          <w:szCs w:val="22"/>
        </w:rPr>
        <w:t xml:space="preserve"> </w:t>
      </w:r>
    </w:p>
    <w:p w:rsidR="004D61D2" w:rsidP="004D61D2" w:rsidRDefault="004D61D2" w14:paraId="72E106EB" w14:textId="77777777">
      <w:pPr>
        <w:rPr>
          <w:rFonts w:cs="Open Sans"/>
        </w:rPr>
      </w:pPr>
      <w:r w:rsidRPr="00D534FA">
        <w:rPr>
          <w:rFonts w:cs="Open Sans"/>
        </w:rPr>
        <w:t>Clinician</w:t>
      </w:r>
      <w:r>
        <w:rPr>
          <w:rFonts w:cs="Open Sans"/>
        </w:rPr>
        <w:t>s</w:t>
      </w:r>
      <w:r w:rsidRPr="00D534FA">
        <w:rPr>
          <w:rFonts w:cs="Open Sans"/>
        </w:rPr>
        <w:t xml:space="preserve"> stated that </w:t>
      </w:r>
      <w:r>
        <w:rPr>
          <w:rFonts w:cs="Open Sans"/>
        </w:rPr>
        <w:t xml:space="preserve">a diagnosis of salt-wasting CAH </w:t>
      </w:r>
      <w:r w:rsidRPr="00D534FA">
        <w:rPr>
          <w:rFonts w:cs="Open Sans"/>
        </w:rPr>
        <w:t>requires the immediate provision of glucocorticoids (a type of hormone).</w:t>
      </w:r>
      <w:r w:rsidRPr="0117CC5D">
        <w:rPr>
          <w:rStyle w:val="EndnoteReference"/>
          <w:rFonts w:cs="Open Sans"/>
        </w:rPr>
        <w:endnoteReference w:id="279"/>
      </w:r>
      <w:r w:rsidRPr="00D534FA">
        <w:rPr>
          <w:rFonts w:cs="Open Sans"/>
        </w:rPr>
        <w:t xml:space="preserve"> </w:t>
      </w:r>
      <w:r>
        <w:rPr>
          <w:rFonts w:cs="Open Sans"/>
        </w:rPr>
        <w:t>Clinical stakeholders made clear that this treatment is routinely administered where salt-wasting CAH is diagnosed.</w:t>
      </w:r>
      <w:r w:rsidRPr="0117CC5D">
        <w:rPr>
          <w:rStyle w:val="EndnoteReference"/>
          <w:rFonts w:cs="Open Sans"/>
        </w:rPr>
        <w:endnoteReference w:id="280"/>
      </w:r>
      <w:r w:rsidRPr="00CF3F04">
        <w:rPr>
          <w:rFonts w:cs="Open Sans"/>
          <w:sz w:val="20"/>
          <w:szCs w:val="20"/>
        </w:rPr>
        <w:t xml:space="preserve"> </w:t>
      </w:r>
      <w:r>
        <w:rPr>
          <w:rFonts w:cs="Open Sans"/>
        </w:rPr>
        <w:t xml:space="preserve"> </w:t>
      </w:r>
    </w:p>
    <w:p w:rsidRPr="00576FAA" w:rsidR="004D61D2" w:rsidP="004D61D2" w:rsidRDefault="004D61D2" w14:paraId="3DD356D0" w14:textId="77777777">
      <w:r>
        <w:rPr>
          <w:rFonts w:cs="Open Sans"/>
        </w:rPr>
        <w:t xml:space="preserve">As discussed later in this chapter, some stakeholders also cited variations associated with an increased risk of cancer as justifying prompt treatment to protect life. These were the only specific variations explicitly cited by stakeholders as involving a threat to life. </w:t>
      </w:r>
    </w:p>
    <w:p w:rsidR="004D61D2" w:rsidP="004D61D2" w:rsidRDefault="004D61D2" w14:paraId="6FB643B3" w14:textId="77777777">
      <w:pPr>
        <w:rPr>
          <w:rFonts w:cs="Open Sans"/>
        </w:rPr>
      </w:pPr>
      <w:r w:rsidRPr="2816C17C">
        <w:rPr>
          <w:rFonts w:cs="Open Sans"/>
        </w:rPr>
        <w:t xml:space="preserve">Situations of medical emergency clearly fall within the concept of medical necessity </w:t>
      </w:r>
      <w:r>
        <w:rPr>
          <w:rFonts w:cs="Open Sans"/>
        </w:rPr>
        <w:t>described above</w:t>
      </w:r>
      <w:r w:rsidRPr="2816C17C">
        <w:rPr>
          <w:rFonts w:cs="Open Sans"/>
        </w:rPr>
        <w:t>.</w:t>
      </w:r>
      <w:r>
        <w:rPr>
          <w:rFonts w:cs="Open Sans"/>
        </w:rPr>
        <w:t xml:space="preserve"> Where a person’s life is in imminent danger, their right to life and to health must be prioritised over their right to make decisions about their bodily integrity. </w:t>
      </w:r>
    </w:p>
    <w:p w:rsidR="004D61D2" w:rsidP="004D61D2" w:rsidRDefault="004D61D2" w14:paraId="3E501793" w14:textId="77777777">
      <w:pPr>
        <w:rPr>
          <w:rFonts w:cs="Open Sans"/>
        </w:rPr>
      </w:pPr>
      <w:r>
        <w:rPr>
          <w:rFonts w:cs="Open Sans"/>
        </w:rPr>
        <w:t>A</w:t>
      </w:r>
      <w:r w:rsidRPr="2816C17C">
        <w:rPr>
          <w:rFonts w:cs="Open Sans"/>
        </w:rPr>
        <w:t xml:space="preserve"> critical consideration in determining when to proceed without </w:t>
      </w:r>
      <w:r>
        <w:rPr>
          <w:rFonts w:cs="Open Sans"/>
        </w:rPr>
        <w:t>personal consent</w:t>
      </w:r>
      <w:r w:rsidRPr="2816C17C">
        <w:rPr>
          <w:rFonts w:cs="Open Sans"/>
        </w:rPr>
        <w:t xml:space="preserve"> is the </w:t>
      </w:r>
      <w:r>
        <w:rPr>
          <w:rFonts w:cs="Open Sans"/>
        </w:rPr>
        <w:t>timing</w:t>
      </w:r>
      <w:r w:rsidRPr="2816C17C">
        <w:rPr>
          <w:rFonts w:cs="Open Sans"/>
        </w:rPr>
        <w:t xml:space="preserve"> of the decision required. If a variation in sex characteristics is associated with a risk to life </w:t>
      </w:r>
      <w:r>
        <w:rPr>
          <w:rFonts w:cs="Open Sans"/>
        </w:rPr>
        <w:t xml:space="preserve">or significant physical health </w:t>
      </w:r>
      <w:r w:rsidRPr="2816C17C">
        <w:rPr>
          <w:rFonts w:cs="Open Sans"/>
        </w:rPr>
        <w:t>that is unlikely to manifest until a long time after it is identified by doctors, it may not be necessary to intervene immediately</w:t>
      </w:r>
      <w:r>
        <w:rPr>
          <w:rFonts w:cs="Open Sans"/>
        </w:rPr>
        <w:t>—</w:t>
      </w:r>
      <w:r w:rsidRPr="00B62264">
        <w:rPr>
          <w:rFonts w:cs="Open Sans"/>
        </w:rPr>
        <w:t>and consistently with the Precautionary principle.</w:t>
      </w:r>
      <w:r w:rsidRPr="2816C17C">
        <w:rPr>
          <w:rFonts w:cs="Open Sans"/>
        </w:rPr>
        <w:t xml:space="preserve"> </w:t>
      </w:r>
    </w:p>
    <w:p w:rsidR="004D61D2" w:rsidP="004D61D2" w:rsidRDefault="004D61D2" w14:paraId="21A52B76" w14:textId="77777777">
      <w:pPr>
        <w:rPr>
          <w:rFonts w:cs="Open Sans"/>
        </w:rPr>
      </w:pPr>
      <w:r>
        <w:rPr>
          <w:rFonts w:cs="Open Sans"/>
        </w:rPr>
        <w:t xml:space="preserve">In that scenario, the decision to intervene may be able to be deferred until the risk becomes more proximate. If that can be done safely, it would increase the </w:t>
      </w:r>
      <w:r>
        <w:rPr>
          <w:rFonts w:cs="Open Sans"/>
        </w:rPr>
        <w:lastRenderedPageBreak/>
        <w:t xml:space="preserve">likelihood that the affected person will be able to participate meaningfully in decision making. </w:t>
      </w:r>
    </w:p>
    <w:p w:rsidRPr="00832D3B" w:rsidR="004D61D2" w:rsidP="004D61D2" w:rsidRDefault="004D61D2" w14:paraId="5881052A" w14:textId="77777777">
      <w:pPr>
        <w:pStyle w:val="Heading3"/>
      </w:pPr>
      <w:bookmarkStart w:name="_Toc79596604" w:id="294"/>
      <w:bookmarkStart w:name="_Toc85541431" w:id="295"/>
      <w:r>
        <w:t>Protecting physical health</w:t>
      </w:r>
      <w:bookmarkEnd w:id="294"/>
      <w:bookmarkEnd w:id="295"/>
      <w:r>
        <w:t xml:space="preserve"> </w:t>
      </w:r>
    </w:p>
    <w:p w:rsidRPr="007D087B" w:rsidR="004D61D2" w:rsidP="004D61D2" w:rsidRDefault="004D61D2" w14:paraId="68AFF80B" w14:textId="77777777">
      <w:r>
        <w:rPr>
          <w:rFonts w:cs="Open Sans"/>
        </w:rPr>
        <w:t>Some</w:t>
      </w:r>
      <w:r w:rsidRPr="003452D5">
        <w:rPr>
          <w:rFonts w:cs="Open Sans"/>
        </w:rPr>
        <w:t xml:space="preserve"> variations in sex characteristics are associated </w:t>
      </w:r>
      <w:r>
        <w:rPr>
          <w:rFonts w:cs="Open Sans"/>
        </w:rPr>
        <w:t xml:space="preserve">with serious risk to physical health. </w:t>
      </w:r>
      <w:r w:rsidRPr="007826D2">
        <w:rPr>
          <w:rFonts w:cs="Open Sans"/>
        </w:rPr>
        <w:t xml:space="preserve">While not having the same level of urgency as </w:t>
      </w:r>
      <w:r>
        <w:rPr>
          <w:rFonts w:cs="Open Sans"/>
        </w:rPr>
        <w:t xml:space="preserve">CAH, some stakeholders argued that these variations also justified an intervention, without personal consent, to address the serious risk to physical health. The language used to describe this </w:t>
      </w:r>
      <w:r w:rsidRPr="00A87398">
        <w:rPr>
          <w:rFonts w:cs="Open Sans"/>
        </w:rPr>
        <w:t>rationale for intervention varied, but the Commission considers that interventions in such circumstances would need to be assessed against the elements of the test for medical necessity, to be consistent with Medical necessity principle.</w:t>
      </w:r>
      <w:r>
        <w:rPr>
          <w:rFonts w:cs="Open Sans"/>
        </w:rPr>
        <w:t xml:space="preserve"> </w:t>
      </w:r>
    </w:p>
    <w:p w:rsidR="004D61D2" w:rsidP="004D61D2" w:rsidRDefault="004D61D2" w14:paraId="41CBAB64" w14:textId="77777777">
      <w:pPr>
        <w:rPr>
          <w:rFonts w:cs="Open Sans"/>
        </w:rPr>
      </w:pPr>
      <w:r>
        <w:rPr>
          <w:rFonts w:cs="Open Sans"/>
        </w:rPr>
        <w:t>Stakeholders identified the following categories of intervention necessary to protect physical health:</w:t>
      </w:r>
    </w:p>
    <w:p w:rsidR="004D61D2" w:rsidP="002F7D27" w:rsidRDefault="004D61D2" w14:paraId="3D7AFCA9" w14:textId="77777777">
      <w:pPr>
        <w:pStyle w:val="ListParagraph"/>
        <w:numPr>
          <w:ilvl w:val="0"/>
          <w:numId w:val="45"/>
        </w:numPr>
        <w:spacing w:before="0" w:after="200" w:line="276" w:lineRule="auto"/>
        <w:contextualSpacing/>
        <w:rPr>
          <w:rFonts w:cs="Open Sans"/>
        </w:rPr>
      </w:pPr>
      <w:r>
        <w:rPr>
          <w:rFonts w:cs="Open Sans"/>
        </w:rPr>
        <w:t>to ‘provide therapy for issues that are associated with morbidity’</w:t>
      </w:r>
      <w:r w:rsidRPr="0117CC5D">
        <w:rPr>
          <w:rStyle w:val="EndnoteReference"/>
          <w:rFonts w:cs="Open Sans"/>
        </w:rPr>
        <w:endnoteReference w:id="281"/>
      </w:r>
    </w:p>
    <w:p w:rsidR="004D61D2" w:rsidP="002F7D27" w:rsidRDefault="004D61D2" w14:paraId="323BB75D" w14:textId="77777777">
      <w:pPr>
        <w:pStyle w:val="ListParagraph"/>
        <w:numPr>
          <w:ilvl w:val="0"/>
          <w:numId w:val="45"/>
        </w:numPr>
        <w:spacing w:before="0" w:after="200" w:line="276" w:lineRule="auto"/>
        <w:contextualSpacing/>
        <w:rPr>
          <w:rFonts w:cs="Open Sans"/>
        </w:rPr>
      </w:pPr>
      <w:r>
        <w:rPr>
          <w:rFonts w:cs="Open Sans"/>
        </w:rPr>
        <w:t>where ‘</w:t>
      </w:r>
      <w:r w:rsidRPr="00AC4100">
        <w:rPr>
          <w:rFonts w:cs="Open Sans"/>
        </w:rPr>
        <w:t>necessary to avoid serious, urgent and irreparable harm to the patient</w:t>
      </w:r>
      <w:r>
        <w:rPr>
          <w:rFonts w:cs="Open Sans"/>
        </w:rPr>
        <w:t>’</w:t>
      </w:r>
      <w:r w:rsidRPr="0117CC5D">
        <w:rPr>
          <w:rStyle w:val="EndnoteReference"/>
          <w:rFonts w:cs="Open Sans"/>
        </w:rPr>
        <w:endnoteReference w:id="282"/>
      </w:r>
    </w:p>
    <w:p w:rsidRPr="00B55020" w:rsidR="004D61D2" w:rsidP="002F7D27" w:rsidRDefault="004D61D2" w14:paraId="37F627B4" w14:textId="77777777">
      <w:pPr>
        <w:pStyle w:val="ListParagraph"/>
        <w:numPr>
          <w:ilvl w:val="0"/>
          <w:numId w:val="45"/>
        </w:numPr>
        <w:spacing w:before="0" w:after="200" w:line="276" w:lineRule="auto"/>
        <w:contextualSpacing/>
        <w:rPr>
          <w:rFonts w:cs="Open Sans"/>
        </w:rPr>
      </w:pPr>
      <w:r>
        <w:rPr>
          <w:rFonts w:cs="Open Sans"/>
        </w:rPr>
        <w:t>w</w:t>
      </w:r>
      <w:r w:rsidRPr="00301D57">
        <w:rPr>
          <w:rFonts w:cs="Open Sans"/>
        </w:rPr>
        <w:t>here ‘the intervention is serving a serious medical need at the time re the health of the person’</w:t>
      </w:r>
      <w:r w:rsidRPr="0117CC5D">
        <w:rPr>
          <w:rStyle w:val="EndnoteReference"/>
          <w:rFonts w:cs="Open Sans"/>
        </w:rPr>
        <w:endnoteReference w:id="283"/>
      </w:r>
    </w:p>
    <w:p w:rsidR="004D61D2" w:rsidP="002F7D27" w:rsidRDefault="004D61D2" w14:paraId="795DF1B7" w14:textId="77777777">
      <w:pPr>
        <w:pStyle w:val="ListParagraph"/>
        <w:numPr>
          <w:ilvl w:val="0"/>
          <w:numId w:val="45"/>
        </w:numPr>
        <w:spacing w:before="0" w:after="200" w:line="276" w:lineRule="auto"/>
        <w:contextualSpacing/>
        <w:rPr>
          <w:rFonts w:cs="Open Sans"/>
        </w:rPr>
      </w:pPr>
      <w:r>
        <w:rPr>
          <w:rFonts w:cs="Open Sans"/>
        </w:rPr>
        <w:t>where needed for ‘preservation of organ function’</w:t>
      </w:r>
      <w:r w:rsidRPr="0117CC5D">
        <w:rPr>
          <w:rStyle w:val="EndnoteReference"/>
          <w:rFonts w:cs="Open Sans"/>
        </w:rPr>
        <w:endnoteReference w:id="284"/>
      </w:r>
    </w:p>
    <w:p w:rsidR="004D61D2" w:rsidP="002F7D27" w:rsidRDefault="004D61D2" w14:paraId="240EE4B4" w14:textId="77777777">
      <w:pPr>
        <w:pStyle w:val="ListParagraph"/>
        <w:numPr>
          <w:ilvl w:val="0"/>
          <w:numId w:val="45"/>
        </w:numPr>
        <w:spacing w:before="0" w:after="200" w:line="276" w:lineRule="auto"/>
        <w:contextualSpacing/>
        <w:rPr>
          <w:rFonts w:cs="Open Sans"/>
        </w:rPr>
      </w:pPr>
      <w:r>
        <w:rPr>
          <w:rFonts w:cs="Open Sans"/>
        </w:rPr>
        <w:t>w</w:t>
      </w:r>
      <w:r w:rsidRPr="00B55020">
        <w:rPr>
          <w:rFonts w:cs="Open Sans"/>
        </w:rPr>
        <w:t xml:space="preserve">here needed to assist bodily </w:t>
      </w:r>
      <w:r>
        <w:rPr>
          <w:rFonts w:cs="Open Sans"/>
        </w:rPr>
        <w:t xml:space="preserve">or ‘biological’ </w:t>
      </w:r>
      <w:r w:rsidRPr="00B55020">
        <w:rPr>
          <w:rFonts w:cs="Open Sans"/>
        </w:rPr>
        <w:t>functions such as bladder or bowel function, or the flow of menses</w:t>
      </w:r>
      <w:r w:rsidRPr="0117CC5D">
        <w:rPr>
          <w:rStyle w:val="EndnoteReference"/>
          <w:rFonts w:cs="Open Sans"/>
        </w:rPr>
        <w:endnoteReference w:id="285"/>
      </w:r>
    </w:p>
    <w:p w:rsidR="004D61D2" w:rsidP="002F7D27" w:rsidRDefault="004D61D2" w14:paraId="6A68A488" w14:textId="77777777">
      <w:pPr>
        <w:pStyle w:val="ListParagraph"/>
        <w:numPr>
          <w:ilvl w:val="0"/>
          <w:numId w:val="45"/>
        </w:numPr>
        <w:spacing w:before="0" w:after="200" w:line="276" w:lineRule="auto"/>
        <w:contextualSpacing/>
        <w:rPr>
          <w:rFonts w:cs="Open Sans"/>
        </w:rPr>
      </w:pPr>
      <w:r>
        <w:rPr>
          <w:rFonts w:cs="Open Sans"/>
        </w:rPr>
        <w:t>in relation to the administration of hormones, ‘</w:t>
      </w:r>
      <w:r w:rsidRPr="00442485">
        <w:rPr>
          <w:rFonts w:cs="Open Sans"/>
        </w:rPr>
        <w:t xml:space="preserve">to assist in increasing muscle tone, </w:t>
      </w:r>
      <w:r w:rsidRPr="00301D57">
        <w:rPr>
          <w:rFonts w:cs="Open Sans"/>
        </w:rPr>
        <w:t>language development … and to assist in decreasing anxiety’</w:t>
      </w:r>
      <w:r>
        <w:rPr>
          <w:rFonts w:cs="Open Sans"/>
        </w:rPr>
        <w:t>.</w:t>
      </w:r>
      <w:r w:rsidRPr="0117CC5D">
        <w:rPr>
          <w:rStyle w:val="EndnoteReference"/>
          <w:rFonts w:cs="Open Sans"/>
        </w:rPr>
        <w:endnoteReference w:id="286"/>
      </w:r>
      <w:r w:rsidRPr="00976158">
        <w:rPr>
          <w:rFonts w:cs="Open Sans"/>
        </w:rPr>
        <w:t xml:space="preserve"> </w:t>
      </w:r>
    </w:p>
    <w:p w:rsidR="004D61D2" w:rsidP="004D61D2" w:rsidRDefault="004D61D2" w14:paraId="4B7CD8C3" w14:textId="77777777">
      <w:pPr>
        <w:rPr>
          <w:rFonts w:cs="Open Sans"/>
        </w:rPr>
      </w:pPr>
      <w:r>
        <w:rPr>
          <w:rFonts w:cs="Open Sans"/>
        </w:rPr>
        <w:t xml:space="preserve">Intervention relating to protecting physical health was said to include where an organ or bodily function is, or is at serious risk of, being </w:t>
      </w:r>
      <w:r w:rsidRPr="009540D5">
        <w:rPr>
          <w:rFonts w:cs="Open Sans"/>
        </w:rPr>
        <w:t>impaired or compromised</w:t>
      </w:r>
      <w:r>
        <w:rPr>
          <w:rFonts w:cs="Open Sans"/>
        </w:rPr>
        <w:t>. All categories of stakeholders</w:t>
      </w:r>
      <w:r w:rsidRPr="00832D3B">
        <w:rPr>
          <w:rFonts w:cs="Open Sans"/>
        </w:rPr>
        <w:t xml:space="preserve"> agreed that</w:t>
      </w:r>
      <w:r>
        <w:rPr>
          <w:rFonts w:cs="Open Sans"/>
        </w:rPr>
        <w:t xml:space="preserve"> medical interventions should be permitted on children </w:t>
      </w:r>
      <w:r w:rsidRPr="00832D3B">
        <w:rPr>
          <w:rFonts w:cs="Open Sans"/>
        </w:rPr>
        <w:t>in circumstances</w:t>
      </w:r>
      <w:r>
        <w:rPr>
          <w:rFonts w:cs="Open Sans"/>
        </w:rPr>
        <w:t xml:space="preserve"> where there is a significant risk of an organ or bodily </w:t>
      </w:r>
      <w:r w:rsidRPr="008225A4">
        <w:rPr>
          <w:rFonts w:cs="Open Sans"/>
        </w:rPr>
        <w:t>function</w:t>
      </w:r>
      <w:r>
        <w:rPr>
          <w:rFonts w:cs="Open Sans"/>
        </w:rPr>
        <w:t xml:space="preserve"> being</w:t>
      </w:r>
      <w:r w:rsidRPr="008225A4">
        <w:rPr>
          <w:rFonts w:cs="Open Sans"/>
        </w:rPr>
        <w:t xml:space="preserve"> impaired</w:t>
      </w:r>
      <w:r w:rsidRPr="00832D3B">
        <w:rPr>
          <w:rFonts w:cs="Open Sans"/>
        </w:rPr>
        <w:t xml:space="preserve">, </w:t>
      </w:r>
      <w:r>
        <w:rPr>
          <w:rFonts w:cs="Open Sans"/>
        </w:rPr>
        <w:t>and</w:t>
      </w:r>
      <w:r w:rsidRPr="00854F2C">
        <w:rPr>
          <w:rFonts w:cs="Open Sans"/>
        </w:rPr>
        <w:t xml:space="preserve"> intervention </w:t>
      </w:r>
      <w:r>
        <w:rPr>
          <w:rFonts w:cs="Open Sans"/>
        </w:rPr>
        <w:t>can</w:t>
      </w:r>
      <w:r w:rsidRPr="00854F2C">
        <w:rPr>
          <w:rFonts w:cs="Open Sans"/>
        </w:rPr>
        <w:t xml:space="preserve">not </w:t>
      </w:r>
      <w:r>
        <w:rPr>
          <w:rFonts w:cs="Open Sans"/>
        </w:rPr>
        <w:t xml:space="preserve">safely </w:t>
      </w:r>
      <w:r w:rsidRPr="00854F2C">
        <w:rPr>
          <w:rFonts w:cs="Open Sans"/>
        </w:rPr>
        <w:t>be deferred</w:t>
      </w:r>
      <w:r w:rsidRPr="00103BA2">
        <w:rPr>
          <w:rFonts w:cs="Open Sans"/>
        </w:rPr>
        <w:t xml:space="preserve"> </w:t>
      </w:r>
      <w:r w:rsidRPr="00854F2C">
        <w:rPr>
          <w:rFonts w:cs="Open Sans"/>
        </w:rPr>
        <w:t xml:space="preserve">until the child </w:t>
      </w:r>
      <w:r>
        <w:rPr>
          <w:rFonts w:cs="Open Sans"/>
        </w:rPr>
        <w:t>can provide personal consent.</w:t>
      </w:r>
      <w:r w:rsidRPr="0117CC5D">
        <w:rPr>
          <w:rStyle w:val="EndnoteReference"/>
          <w:rFonts w:cs="Open Sans"/>
        </w:rPr>
        <w:endnoteReference w:id="287"/>
      </w:r>
      <w:r>
        <w:rPr>
          <w:rFonts w:cs="Open Sans"/>
        </w:rPr>
        <w:t xml:space="preserve"> </w:t>
      </w:r>
      <w:r w:rsidRPr="009B1E71">
        <w:rPr>
          <w:rFonts w:cs="Open Sans"/>
        </w:rPr>
        <w:t>Some clinicians also described these circumstances as</w:t>
      </w:r>
      <w:r w:rsidRPr="664CBF88">
        <w:rPr>
          <w:rFonts w:cs="Open Sans"/>
        </w:rPr>
        <w:t xml:space="preserve"> amounting to a</w:t>
      </w:r>
      <w:r w:rsidRPr="009B1E71">
        <w:rPr>
          <w:rFonts w:cs="Open Sans"/>
        </w:rPr>
        <w:t xml:space="preserve"> ‘medical necessity’.</w:t>
      </w:r>
      <w:r>
        <w:rPr>
          <w:rFonts w:cs="Open Sans"/>
        </w:rPr>
        <w:t xml:space="preserve"> </w:t>
      </w:r>
      <w:r>
        <w:rPr>
          <w:rFonts w:cs="Open Sans"/>
        </w:rPr>
        <w:lastRenderedPageBreak/>
        <w:t xml:space="preserve">Stakeholders generally agreed </w:t>
      </w:r>
      <w:r w:rsidRPr="00832D3B">
        <w:rPr>
          <w:rFonts w:cs="Open Sans"/>
        </w:rPr>
        <w:t xml:space="preserve">that parental </w:t>
      </w:r>
      <w:r>
        <w:rPr>
          <w:rFonts w:cs="Open Sans"/>
        </w:rPr>
        <w:t>consent</w:t>
      </w:r>
      <w:r w:rsidRPr="00832D3B">
        <w:rPr>
          <w:rFonts w:cs="Open Sans"/>
        </w:rPr>
        <w:t xml:space="preserve"> </w:t>
      </w:r>
      <w:r>
        <w:rPr>
          <w:rFonts w:cs="Open Sans"/>
        </w:rPr>
        <w:t>must</w:t>
      </w:r>
      <w:r w:rsidRPr="00832D3B">
        <w:rPr>
          <w:rFonts w:cs="Open Sans"/>
        </w:rPr>
        <w:t xml:space="preserve"> be sought as a prerequisite for undertaking </w:t>
      </w:r>
      <w:r>
        <w:rPr>
          <w:rFonts w:cs="Open Sans"/>
        </w:rPr>
        <w:t xml:space="preserve">such </w:t>
      </w:r>
      <w:r w:rsidRPr="00832D3B">
        <w:rPr>
          <w:rFonts w:cs="Open Sans"/>
        </w:rPr>
        <w:t>intervention</w:t>
      </w:r>
      <w:r>
        <w:rPr>
          <w:rFonts w:cs="Open Sans"/>
        </w:rPr>
        <w:t>s</w:t>
      </w:r>
      <w:r w:rsidRPr="00832D3B">
        <w:rPr>
          <w:rFonts w:cs="Open Sans"/>
        </w:rPr>
        <w:t>.</w:t>
      </w:r>
      <w:r w:rsidRPr="003717FC">
        <w:rPr>
          <w:rFonts w:cs="Open Sans"/>
        </w:rPr>
        <w:t xml:space="preserve"> </w:t>
      </w:r>
    </w:p>
    <w:p w:rsidRPr="007D087B" w:rsidR="004D61D2" w:rsidP="004D61D2" w:rsidRDefault="004D61D2" w14:paraId="0F948523" w14:textId="77777777">
      <w:pPr>
        <w:rPr>
          <w:rFonts w:cs="Open Sans"/>
        </w:rPr>
      </w:pPr>
      <w:r>
        <w:rPr>
          <w:rFonts w:cs="Open Sans"/>
        </w:rPr>
        <w:t>Some stakeholders included the preservation or assistance of sexual functions within the rationale of protecting physical health. This perspective is strongly contested by stakeholders from the clinical disciplines of psychiatry and psychology and most people born with variations in sex characteristics who contributed to this project. This rationale for medical interventions is addressed in detail later in this chapter (</w:t>
      </w:r>
      <w:r w:rsidRPr="00690C32">
        <w:rPr>
          <w:rFonts w:cs="Open Sans"/>
        </w:rPr>
        <w:t>Interventions to ‘normalise’ genitalia and address other psychosocial rationales</w:t>
      </w:r>
      <w:r>
        <w:rPr>
          <w:rFonts w:cs="Open Sans"/>
        </w:rPr>
        <w:t xml:space="preserve">). </w:t>
      </w:r>
    </w:p>
    <w:p w:rsidR="004D61D2" w:rsidP="004D61D2" w:rsidRDefault="004D61D2" w14:paraId="4FC45074" w14:textId="77777777">
      <w:pPr>
        <w:pStyle w:val="Heading4"/>
      </w:pPr>
      <w:r>
        <w:t>Current clinical guidance</w:t>
      </w:r>
    </w:p>
    <w:p w:rsidR="004D61D2" w:rsidP="004D61D2" w:rsidRDefault="004D61D2" w14:paraId="394F4995" w14:textId="77777777">
      <w:pPr>
        <w:rPr>
          <w:rFonts w:cs="Open Sans"/>
        </w:rPr>
      </w:pPr>
      <w:r>
        <w:rPr>
          <w:rFonts w:cs="Open Sans"/>
        </w:rPr>
        <w:t xml:space="preserve">Current clinical guidance documents support undertaking medical interventions on children where needed to treat serious physical health issues. The </w:t>
      </w:r>
      <w:r w:rsidRPr="00C9021D">
        <w:rPr>
          <w:rFonts w:cs="Open Sans"/>
          <w:i/>
          <w:iCs/>
        </w:rPr>
        <w:t>Victorian Decision-making principles for the care of infants, children and adolescents with intersex conditions</w:t>
      </w:r>
      <w:r>
        <w:rPr>
          <w:rFonts w:cs="Open Sans"/>
        </w:rPr>
        <w:t xml:space="preserve"> (2013 Victorian Decision-Making Principles) include the need to ‘minimise physical risk to child’.</w:t>
      </w:r>
      <w:r w:rsidRPr="0117CC5D">
        <w:rPr>
          <w:rStyle w:val="EndnoteReference"/>
          <w:rFonts w:cs="Open Sans"/>
        </w:rPr>
        <w:endnoteReference w:id="288"/>
      </w:r>
      <w:r>
        <w:rPr>
          <w:rFonts w:cs="Open Sans"/>
        </w:rPr>
        <w:t xml:space="preserve"> The document states:</w:t>
      </w:r>
    </w:p>
    <w:p w:rsidRPr="002B773A" w:rsidR="004D61D2" w:rsidP="004D61D2" w:rsidRDefault="004D61D2" w14:paraId="31C6B1FF" w14:textId="77777777">
      <w:pPr>
        <w:ind w:left="720"/>
        <w:rPr>
          <w:rFonts w:cs="Open Sans"/>
          <w:sz w:val="22"/>
          <w:szCs w:val="22"/>
        </w:rPr>
      </w:pPr>
      <w:r w:rsidRPr="002B773A">
        <w:rPr>
          <w:rFonts w:cs="Open Sans"/>
          <w:sz w:val="22"/>
          <w:szCs w:val="22"/>
        </w:rPr>
        <w:t>This principle relates to the risk of physical harm to the child (both short and long term) that is directly attributable to their intersex condition, for example, urinary passage obstruction. Any treatments proposed in the management plan should be proportionate to the level of physical risk resulting from the patient’s particular condition.</w:t>
      </w:r>
      <w:r w:rsidRPr="002B773A">
        <w:rPr>
          <w:rStyle w:val="EndnoteReference"/>
          <w:rFonts w:cs="Open Sans"/>
          <w:sz w:val="22"/>
          <w:szCs w:val="22"/>
        </w:rPr>
        <w:endnoteReference w:id="289"/>
      </w:r>
    </w:p>
    <w:p w:rsidR="004D61D2" w:rsidP="004D61D2" w:rsidRDefault="004D61D2" w14:paraId="2EA74773" w14:textId="77777777">
      <w:pPr>
        <w:rPr>
          <w:rFonts w:cs="Open Sans"/>
        </w:rPr>
      </w:pPr>
      <w:r>
        <w:rPr>
          <w:rFonts w:cs="Open Sans"/>
        </w:rPr>
        <w:t>T</w:t>
      </w:r>
      <w:r w:rsidRPr="00FF5B6C">
        <w:rPr>
          <w:rFonts w:cs="Open Sans"/>
        </w:rPr>
        <w:t>he need to ensure urinary</w:t>
      </w:r>
      <w:r>
        <w:rPr>
          <w:rFonts w:cs="Open Sans"/>
        </w:rPr>
        <w:t xml:space="preserve"> function</w:t>
      </w:r>
      <w:r w:rsidRPr="00FF5B6C">
        <w:rPr>
          <w:rFonts w:cs="Open Sans"/>
        </w:rPr>
        <w:t xml:space="preserve"> </w:t>
      </w:r>
      <w:r>
        <w:rPr>
          <w:rFonts w:cs="Open Sans"/>
        </w:rPr>
        <w:t xml:space="preserve">is also cited in the </w:t>
      </w:r>
      <w:r w:rsidRPr="00A44FC9">
        <w:rPr>
          <w:rFonts w:cs="Open Sans"/>
          <w:i/>
          <w:iCs/>
        </w:rPr>
        <w:t>Consensus statement on management of intersex disorders</w:t>
      </w:r>
      <w:r>
        <w:rPr>
          <w:rFonts w:cs="Open Sans"/>
        </w:rPr>
        <w:t xml:space="preserve"> (</w:t>
      </w:r>
      <w:r w:rsidRPr="007B165B">
        <w:rPr>
          <w:rFonts w:cs="Open Sans"/>
        </w:rPr>
        <w:t>2006 Consensus Statement</w:t>
      </w:r>
      <w:r>
        <w:rPr>
          <w:rFonts w:cs="Open Sans"/>
        </w:rPr>
        <w:t>) as an example of a rationale justifying early intervention.</w:t>
      </w:r>
      <w:r w:rsidRPr="0117CC5D">
        <w:rPr>
          <w:rStyle w:val="EndnoteReference"/>
          <w:rFonts w:cs="Open Sans"/>
        </w:rPr>
        <w:endnoteReference w:id="290"/>
      </w:r>
      <w:r w:rsidRPr="00B4077C">
        <w:rPr>
          <w:rFonts w:cs="Open Sans"/>
          <w:sz w:val="20"/>
          <w:szCs w:val="20"/>
        </w:rPr>
        <w:t xml:space="preserve"> </w:t>
      </w:r>
      <w:r>
        <w:rPr>
          <w:rFonts w:cs="Open Sans"/>
        </w:rPr>
        <w:t xml:space="preserve">These guidance documents do not, however, provide significant further detail about what kinds of intervention might be needed to protect the health of people born with variations in sex characteristics. </w:t>
      </w:r>
    </w:p>
    <w:p w:rsidRPr="00087748" w:rsidR="004D61D2" w:rsidP="004D61D2" w:rsidRDefault="004D61D2" w14:paraId="626CC903" w14:textId="77777777">
      <w:pPr>
        <w:pStyle w:val="Heading4"/>
      </w:pPr>
      <w:r>
        <w:t>Protecting physical health and medical necessity</w:t>
      </w:r>
    </w:p>
    <w:p w:rsidR="004D61D2" w:rsidP="004D61D2" w:rsidRDefault="004D61D2" w14:paraId="026867D0" w14:textId="331BB95D">
      <w:pPr>
        <w:rPr>
          <w:rFonts w:cs="Open Sans"/>
        </w:rPr>
      </w:pPr>
      <w:r w:rsidRPr="2816C17C">
        <w:rPr>
          <w:rFonts w:cs="Open Sans"/>
        </w:rPr>
        <w:t xml:space="preserve">Performing a medical intervention on a </w:t>
      </w:r>
      <w:r>
        <w:rPr>
          <w:rFonts w:cs="Open Sans"/>
        </w:rPr>
        <w:t>child</w:t>
      </w:r>
      <w:r w:rsidRPr="2816C17C">
        <w:rPr>
          <w:rFonts w:cs="Open Sans"/>
        </w:rPr>
        <w:t xml:space="preserve"> without obtaining their </w:t>
      </w:r>
      <w:r>
        <w:rPr>
          <w:rFonts w:cs="Open Sans"/>
        </w:rPr>
        <w:t xml:space="preserve">personal </w:t>
      </w:r>
      <w:r w:rsidRPr="2816C17C">
        <w:rPr>
          <w:rFonts w:cs="Open Sans"/>
        </w:rPr>
        <w:t xml:space="preserve">consent </w:t>
      </w:r>
      <w:r>
        <w:rPr>
          <w:rFonts w:cs="Open Sans"/>
        </w:rPr>
        <w:t xml:space="preserve">can be justified only where the intervention is </w:t>
      </w:r>
      <w:r w:rsidRPr="2816C17C">
        <w:rPr>
          <w:rFonts w:cs="Open Sans"/>
        </w:rPr>
        <w:t>a medical necessity</w:t>
      </w:r>
      <w:r>
        <w:rPr>
          <w:rFonts w:cs="Open Sans"/>
        </w:rPr>
        <w:t xml:space="preserve">. That </w:t>
      </w:r>
      <w:r>
        <w:rPr>
          <w:rFonts w:cs="Open Sans"/>
        </w:rPr>
        <w:lastRenderedPageBreak/>
        <w:t xml:space="preserve">includes where the intervention is necessary to </w:t>
      </w:r>
      <w:r w:rsidRPr="340166C3">
        <w:rPr>
          <w:rFonts w:eastAsia="Open Sans" w:cs="Open Sans"/>
        </w:rPr>
        <w:t>protect the</w:t>
      </w:r>
      <w:r w:rsidRPr="340166C3" w:rsidR="4007729E">
        <w:rPr>
          <w:rFonts w:eastAsia="Open Sans" w:cs="Open Sans"/>
        </w:rPr>
        <w:t>m from</w:t>
      </w:r>
      <w:r w:rsidRPr="340166C3">
        <w:rPr>
          <w:rFonts w:eastAsia="Open Sans" w:cs="Open Sans"/>
        </w:rPr>
        <w:t xml:space="preserve"> </w:t>
      </w:r>
      <w:r w:rsidRPr="340166C3" w:rsidR="7AE235C1">
        <w:rPr>
          <w:rFonts w:eastAsia="Open Sans" w:cs="Open Sans"/>
        </w:rPr>
        <w:t>serious</w:t>
      </w:r>
      <w:r w:rsidRPr="340166C3">
        <w:rPr>
          <w:rFonts w:eastAsia="Open Sans" w:cs="Open Sans"/>
        </w:rPr>
        <w:t xml:space="preserve"> physical harm</w:t>
      </w:r>
      <w:r w:rsidRPr="2816C17C">
        <w:rPr>
          <w:rFonts w:cs="Open Sans"/>
        </w:rPr>
        <w:t>.</w:t>
      </w:r>
      <w:r w:rsidRPr="0117CC5D">
        <w:rPr>
          <w:rStyle w:val="EndnoteReference"/>
          <w:rFonts w:cs="Open Sans"/>
        </w:rPr>
        <w:endnoteReference w:id="291"/>
      </w:r>
      <w:r w:rsidRPr="00901B3B">
        <w:rPr>
          <w:rFonts w:cs="Open Sans"/>
          <w:sz w:val="20"/>
          <w:szCs w:val="20"/>
        </w:rPr>
        <w:t xml:space="preserve"> </w:t>
      </w:r>
      <w:r w:rsidRPr="2816C17C">
        <w:rPr>
          <w:rFonts w:cs="Open Sans"/>
        </w:rPr>
        <w:t xml:space="preserve">It would have to relate to a significant health </w:t>
      </w:r>
      <w:r>
        <w:rPr>
          <w:rFonts w:cs="Open Sans"/>
        </w:rPr>
        <w:t>issue</w:t>
      </w:r>
      <w:r w:rsidRPr="2816C17C">
        <w:rPr>
          <w:rFonts w:cs="Open Sans"/>
        </w:rPr>
        <w:t xml:space="preserve"> that </w:t>
      </w:r>
      <w:r w:rsidRPr="340166C3">
        <w:rPr>
          <w:rFonts w:cs="Open Sans"/>
        </w:rPr>
        <w:t>poses</w:t>
      </w:r>
      <w:r w:rsidRPr="2816C17C">
        <w:rPr>
          <w:rFonts w:cs="Open Sans"/>
        </w:rPr>
        <w:t xml:space="preserve"> a serious</w:t>
      </w:r>
      <w:r>
        <w:rPr>
          <w:rFonts w:cs="Open Sans"/>
        </w:rPr>
        <w:t xml:space="preserve"> risk to the person’s physical health;</w:t>
      </w:r>
      <w:r w:rsidRPr="2816C17C">
        <w:rPr>
          <w:rFonts w:cs="Open Sans"/>
        </w:rPr>
        <w:t xml:space="preserve"> that requires action within a timeframe where </w:t>
      </w:r>
      <w:r>
        <w:rPr>
          <w:rFonts w:cs="Open Sans"/>
        </w:rPr>
        <w:t>they are not able to provide consent, and the intervention must be proportionate in the sense that it is the least intrusive necessary to address the threat of serious harm to the individual’s physical health</w:t>
      </w:r>
      <w:r w:rsidRPr="2816C17C">
        <w:rPr>
          <w:rFonts w:cs="Open Sans"/>
        </w:rPr>
        <w:t>.</w:t>
      </w:r>
      <w:r w:rsidRPr="0117CC5D">
        <w:rPr>
          <w:rStyle w:val="EndnoteReference"/>
          <w:rFonts w:cs="Open Sans"/>
        </w:rPr>
        <w:endnoteReference w:id="292"/>
      </w:r>
      <w:r w:rsidRPr="2816C17C">
        <w:rPr>
          <w:rFonts w:cs="Open Sans"/>
        </w:rPr>
        <w:t xml:space="preserve"> </w:t>
      </w:r>
    </w:p>
    <w:p w:rsidR="004D61D2" w:rsidP="004D61D2" w:rsidRDefault="004D61D2" w14:paraId="7A63435E" w14:textId="77777777">
      <w:pPr>
        <w:rPr>
          <w:rFonts w:cs="Open Sans"/>
        </w:rPr>
      </w:pPr>
      <w:r w:rsidRPr="2816C17C">
        <w:rPr>
          <w:rFonts w:cs="Open Sans"/>
        </w:rPr>
        <w:t xml:space="preserve">The proposed intervention should be limited to what is strictly required to address the medical issue. This would include ensuring that the measures to be undertaken are proportionate and the least-intrusive effective options available. </w:t>
      </w:r>
    </w:p>
    <w:p w:rsidR="004D61D2" w:rsidP="004D61D2" w:rsidRDefault="004D61D2" w14:paraId="4D1C5ED1" w14:textId="77777777">
      <w:pPr>
        <w:rPr>
          <w:rFonts w:cs="Open Sans"/>
        </w:rPr>
      </w:pPr>
      <w:r w:rsidRPr="2816C17C">
        <w:rPr>
          <w:rFonts w:cs="Open Sans"/>
        </w:rPr>
        <w:t xml:space="preserve">Consultations commonly </w:t>
      </w:r>
      <w:r>
        <w:rPr>
          <w:rFonts w:cs="Open Sans"/>
        </w:rPr>
        <w:t>cited</w:t>
      </w:r>
      <w:r w:rsidRPr="2816C17C">
        <w:rPr>
          <w:rFonts w:cs="Open Sans"/>
        </w:rPr>
        <w:t xml:space="preserve"> situations where organ or bodily function </w:t>
      </w:r>
      <w:r>
        <w:rPr>
          <w:rFonts w:cs="Open Sans"/>
        </w:rPr>
        <w:t>were at risk of</w:t>
      </w:r>
      <w:r w:rsidRPr="008B29B0">
        <w:rPr>
          <w:rFonts w:cs="Open Sans"/>
        </w:rPr>
        <w:t xml:space="preserve"> </w:t>
      </w:r>
      <w:r>
        <w:rPr>
          <w:rFonts w:cs="Open Sans"/>
        </w:rPr>
        <w:t>being</w:t>
      </w:r>
      <w:r w:rsidRPr="2816C17C">
        <w:rPr>
          <w:rFonts w:cs="Open Sans"/>
        </w:rPr>
        <w:t xml:space="preserve"> impaired or compromised in relation to urinary function. </w:t>
      </w:r>
    </w:p>
    <w:p w:rsidRPr="009127A8" w:rsidR="004D61D2" w:rsidP="004D61D2" w:rsidRDefault="004D61D2" w14:paraId="546E5775" w14:textId="77777777">
      <w:pPr>
        <w:rPr>
          <w:rFonts w:cs="Open Sans"/>
        </w:rPr>
      </w:pPr>
      <w:r>
        <w:rPr>
          <w:rFonts w:cs="Open Sans"/>
        </w:rPr>
        <w:t>Existing guidance in the 2006 Consensus Statement and the 2013 Victorian Decision-Making Principles identify interventions relating to urinary function as being necessary.</w:t>
      </w:r>
      <w:r w:rsidRPr="0117CC5D">
        <w:rPr>
          <w:rStyle w:val="EndnoteReference"/>
          <w:rFonts w:cs="Open Sans"/>
        </w:rPr>
        <w:endnoteReference w:id="293"/>
      </w:r>
      <w:r>
        <w:rPr>
          <w:rFonts w:cs="Open Sans"/>
        </w:rPr>
        <w:t xml:space="preserve"> </w:t>
      </w:r>
    </w:p>
    <w:p w:rsidRPr="009127A8" w:rsidR="004D61D2" w:rsidP="004D61D2" w:rsidRDefault="004D61D2" w14:paraId="281E140C" w14:textId="77777777">
      <w:pPr>
        <w:rPr>
          <w:rFonts w:cs="Open Sans"/>
        </w:rPr>
      </w:pPr>
      <w:r>
        <w:rPr>
          <w:rFonts w:cs="Open Sans"/>
        </w:rPr>
        <w:t xml:space="preserve">However, there are other situations that may arise from time to time where medical intervention may also be considered to be necessary. </w:t>
      </w:r>
    </w:p>
    <w:p w:rsidRPr="009127A8" w:rsidR="004D61D2" w:rsidP="004D61D2" w:rsidRDefault="004D61D2" w14:paraId="24F3E375" w14:textId="77777777">
      <w:pPr>
        <w:rPr>
          <w:rFonts w:cs="Open Sans"/>
        </w:rPr>
      </w:pPr>
      <w:r w:rsidRPr="2816C17C">
        <w:rPr>
          <w:rFonts w:cs="Open Sans"/>
        </w:rPr>
        <w:t>The Commission considers there is a need to clarify the existing guidance for any interventions premised on risk to organ or biological function.</w:t>
      </w:r>
    </w:p>
    <w:p w:rsidR="004D61D2" w:rsidP="004D61D2" w:rsidRDefault="004D61D2" w14:paraId="3B69C3D7" w14:textId="77777777">
      <w:pPr>
        <w:rPr>
          <w:rFonts w:cs="Open Sans"/>
        </w:rPr>
      </w:pPr>
      <w:r w:rsidRPr="2816C17C">
        <w:rPr>
          <w:rFonts w:cs="Open Sans"/>
        </w:rPr>
        <w:t xml:space="preserve">This </w:t>
      </w:r>
      <w:r>
        <w:rPr>
          <w:rFonts w:cs="Open Sans"/>
        </w:rPr>
        <w:t xml:space="preserve">guidance </w:t>
      </w:r>
      <w:r w:rsidRPr="2816C17C">
        <w:rPr>
          <w:rFonts w:cs="Open Sans"/>
        </w:rPr>
        <w:t xml:space="preserve">should identify the obligation under the </w:t>
      </w:r>
      <w:r w:rsidRPr="002C4FEA">
        <w:rPr>
          <w:rFonts w:cs="Open Sans"/>
          <w:i/>
          <w:iCs/>
        </w:rPr>
        <w:t>Convention on the Rights of the Child</w:t>
      </w:r>
      <w:r w:rsidRPr="002C4FEA">
        <w:rPr>
          <w:rFonts w:cs="Open Sans"/>
        </w:rPr>
        <w:t xml:space="preserve"> </w:t>
      </w:r>
      <w:r>
        <w:rPr>
          <w:rFonts w:cs="Open Sans"/>
        </w:rPr>
        <w:t>(</w:t>
      </w:r>
      <w:r w:rsidRPr="2816C17C">
        <w:rPr>
          <w:rFonts w:cs="Open Sans"/>
        </w:rPr>
        <w:t>CRC</w:t>
      </w:r>
      <w:r>
        <w:rPr>
          <w:rFonts w:cs="Open Sans"/>
        </w:rPr>
        <w:t>)</w:t>
      </w:r>
      <w:r w:rsidRPr="2816C17C">
        <w:rPr>
          <w:rFonts w:cs="Open Sans"/>
        </w:rPr>
        <w:t xml:space="preserve"> to protect the child’s right to health and the right to life. Accordingly, where robust evidence supports a proposed intervention and there is no less rights-intrusive option available, it would be permissible to intervene where organ or bodily function is at risk of impairment. Such circumstances would fall within the concept of ‘medical necessity’. </w:t>
      </w:r>
    </w:p>
    <w:p w:rsidR="004D61D2" w:rsidP="004D61D2" w:rsidRDefault="004D61D2" w14:paraId="638ADBC1" w14:textId="13154AD7">
      <w:pPr>
        <w:rPr>
          <w:rFonts w:cs="Open Sans"/>
        </w:rPr>
      </w:pPr>
      <w:r w:rsidRPr="2816C17C">
        <w:rPr>
          <w:rFonts w:cs="Open Sans"/>
        </w:rPr>
        <w:t>Deferral of treatment, where safe to do so, should occur</w:t>
      </w:r>
      <w:r>
        <w:rPr>
          <w:rFonts w:cs="Open Sans"/>
        </w:rPr>
        <w:t xml:space="preserve"> </w:t>
      </w:r>
      <w:r w:rsidRPr="00E42116">
        <w:rPr>
          <w:rFonts w:cs="Open Sans"/>
        </w:rPr>
        <w:t>because the child might be able to make a decision about treatment before it becomes necessary</w:t>
      </w:r>
      <w:r>
        <w:rPr>
          <w:rFonts w:cs="Open Sans"/>
        </w:rPr>
        <w:t xml:space="preserve"> – </w:t>
      </w:r>
      <w:r w:rsidRPr="00C31FF5">
        <w:rPr>
          <w:rFonts w:cs="Open Sans"/>
        </w:rPr>
        <w:t>consistent with the Precautionary principle. In the meantime, it is necessary for treating clinicians to allow child to express views/be heard, consistent with child rights under the CRC – reflecting the Children’s agency principle.</w:t>
      </w:r>
    </w:p>
    <w:p w:rsidRPr="00832D3B" w:rsidR="004D61D2" w:rsidP="004D61D2" w:rsidRDefault="004D61D2" w14:paraId="611D7458" w14:textId="77777777">
      <w:pPr>
        <w:pStyle w:val="Heading3"/>
      </w:pPr>
      <w:bookmarkStart w:name="_Toc79596605" w:id="296"/>
      <w:bookmarkStart w:name="_Hlk70689633" w:id="297"/>
      <w:bookmarkStart w:name="_Toc85541432" w:id="298"/>
      <w:r>
        <w:lastRenderedPageBreak/>
        <w:t>Risk of</w:t>
      </w:r>
      <w:r w:rsidRPr="00832D3B">
        <w:t xml:space="preserve"> </w:t>
      </w:r>
      <w:r>
        <w:t>cancer</w:t>
      </w:r>
      <w:bookmarkEnd w:id="296"/>
      <w:bookmarkEnd w:id="298"/>
      <w:r>
        <w:t xml:space="preserve"> </w:t>
      </w:r>
    </w:p>
    <w:bookmarkEnd w:id="297"/>
    <w:p w:rsidR="004D61D2" w:rsidP="004D61D2" w:rsidRDefault="004D61D2" w14:paraId="42055020" w14:textId="77777777">
      <w:pPr>
        <w:rPr>
          <w:rFonts w:cs="Open Sans"/>
        </w:rPr>
      </w:pPr>
      <w:r w:rsidRPr="002B0258">
        <w:rPr>
          <w:rFonts w:cs="Open Sans"/>
        </w:rPr>
        <w:t>One of the most frequently cited rationales for performing early medical interventions</w:t>
      </w:r>
      <w:r>
        <w:rPr>
          <w:rFonts w:cs="Open Sans"/>
        </w:rPr>
        <w:t>, where personal consent cannot be obtained,</w:t>
      </w:r>
      <w:r w:rsidRPr="002B0258">
        <w:rPr>
          <w:rFonts w:cs="Open Sans"/>
        </w:rPr>
        <w:t xml:space="preserve"> is to </w:t>
      </w:r>
      <w:r>
        <w:rPr>
          <w:rFonts w:cs="Open Sans"/>
        </w:rPr>
        <w:t xml:space="preserve">address or </w:t>
      </w:r>
      <w:r w:rsidRPr="002B0258">
        <w:rPr>
          <w:rFonts w:cs="Open Sans"/>
        </w:rPr>
        <w:t xml:space="preserve">mitigate the risk of cancer. </w:t>
      </w:r>
    </w:p>
    <w:p w:rsidR="004D61D2" w:rsidP="004D61D2" w:rsidRDefault="004D61D2" w14:paraId="60DFB4A3" w14:textId="77777777">
      <w:pPr>
        <w:rPr>
          <w:rFonts w:cs="Open Sans"/>
        </w:rPr>
      </w:pPr>
      <w:r>
        <w:rPr>
          <w:rFonts w:cs="Open Sans"/>
        </w:rPr>
        <w:t xml:space="preserve">Most clinical </w:t>
      </w:r>
      <w:r w:rsidRPr="002B0258">
        <w:rPr>
          <w:rFonts w:cs="Open Sans"/>
        </w:rPr>
        <w:t xml:space="preserve">submitters </w:t>
      </w:r>
      <w:r>
        <w:rPr>
          <w:rFonts w:cs="Open Sans"/>
        </w:rPr>
        <w:t xml:space="preserve">stated </w:t>
      </w:r>
      <w:r w:rsidRPr="002B0258">
        <w:rPr>
          <w:rFonts w:cs="Open Sans"/>
        </w:rPr>
        <w:t>that risk of malignancy may justify surgery on young children</w:t>
      </w:r>
      <w:r>
        <w:rPr>
          <w:rFonts w:cs="Open Sans"/>
        </w:rPr>
        <w:t>. This view is underpinned by the evidence over many years that some variations have high risk of malignancy that may result in death. An organisation</w:t>
      </w:r>
      <w:r w:rsidRPr="2816C17C" w:rsidDel="002E2FF9">
        <w:rPr>
          <w:rFonts w:cs="Open Sans"/>
        </w:rPr>
        <w:t xml:space="preserve"> </w:t>
      </w:r>
      <w:r>
        <w:rPr>
          <w:rFonts w:cs="Open Sans"/>
        </w:rPr>
        <w:t>advocating for the rights of people born with variations in sex characteristics supported interventions where there is a high cancer risk.</w:t>
      </w:r>
      <w:r w:rsidRPr="0117CC5D">
        <w:rPr>
          <w:rStyle w:val="EndnoteReference"/>
          <w:rFonts w:cs="Open Sans"/>
        </w:rPr>
        <w:endnoteReference w:id="294"/>
      </w:r>
      <w:r>
        <w:rPr>
          <w:rFonts w:cs="Open Sans"/>
        </w:rPr>
        <w:t xml:space="preserve"> </w:t>
      </w:r>
    </w:p>
    <w:p w:rsidR="004D61D2" w:rsidP="004D61D2" w:rsidRDefault="004D61D2" w14:paraId="0121C954" w14:textId="77777777">
      <w:pPr>
        <w:rPr>
          <w:rFonts w:cs="Open Sans"/>
        </w:rPr>
      </w:pPr>
      <w:r w:rsidRPr="2816C17C">
        <w:rPr>
          <w:rFonts w:cs="Open Sans"/>
        </w:rPr>
        <w:t>However, there were also concerns raised</w:t>
      </w:r>
      <w:r w:rsidRPr="2816C17C" w:rsidDel="002B0258">
        <w:rPr>
          <w:rFonts w:cs="Open Sans"/>
        </w:rPr>
        <w:t xml:space="preserve"> </w:t>
      </w:r>
      <w:r w:rsidRPr="2816C17C">
        <w:rPr>
          <w:rFonts w:cs="Open Sans"/>
        </w:rPr>
        <w:t xml:space="preserve">about the medical evidence for the magnitude of those risks, the timeframes within which surgery is required to mitigate them, its conflation with other social rationales, and the circumstances in which alternatives to immediate surgery should be considered. </w:t>
      </w:r>
    </w:p>
    <w:p w:rsidR="004D61D2" w:rsidP="004D61D2" w:rsidRDefault="004D61D2" w14:paraId="08355584" w14:textId="77777777">
      <w:pPr>
        <w:rPr>
          <w:rFonts w:cs="Open Sans"/>
        </w:rPr>
      </w:pPr>
      <w:r w:rsidRPr="664CBF88">
        <w:rPr>
          <w:rFonts w:cs="Open Sans"/>
        </w:rPr>
        <w:t xml:space="preserve">This rationale is particularly controversial because, in the case of people born with variations of sex characteristics, the tissue which is at increased risk of malignancy is gonadal tissue. The associated interventions generally involve the removal of gonadal tissue, which can result in infertility. Also of concern are the hormonal consequences that can result from removal of gonadal tissue, with some individuals requiring lifelong hormone replacement. </w:t>
      </w:r>
    </w:p>
    <w:p w:rsidR="004D61D2" w:rsidP="004D61D2" w:rsidRDefault="004D61D2" w14:paraId="011E4CB3" w14:textId="77777777">
      <w:pPr>
        <w:rPr>
          <w:rFonts w:cs="Open Sans"/>
        </w:rPr>
      </w:pPr>
      <w:r>
        <w:rPr>
          <w:rFonts w:cs="Open Sans"/>
        </w:rPr>
        <w:t>Interventions to address malignancies, such as surgeries, must be based on robust evidence of unacceptable risk of serious harm. W</w:t>
      </w:r>
      <w:r w:rsidRPr="00832D3B">
        <w:rPr>
          <w:rFonts w:cs="Open Sans"/>
        </w:rPr>
        <w:t>here</w:t>
      </w:r>
      <w:r>
        <w:rPr>
          <w:rFonts w:cs="Open Sans"/>
        </w:rPr>
        <w:t xml:space="preserve"> such evidence suggests</w:t>
      </w:r>
      <w:r w:rsidRPr="00832D3B">
        <w:rPr>
          <w:rFonts w:cs="Open Sans"/>
        </w:rPr>
        <w:t xml:space="preserve"> </w:t>
      </w:r>
      <w:r>
        <w:rPr>
          <w:rFonts w:cs="Open Sans"/>
        </w:rPr>
        <w:t xml:space="preserve">that the </w:t>
      </w:r>
      <w:r w:rsidRPr="00832D3B">
        <w:rPr>
          <w:rFonts w:cs="Open Sans"/>
        </w:rPr>
        <w:t xml:space="preserve">malignancy risk </w:t>
      </w:r>
      <w:r>
        <w:rPr>
          <w:rFonts w:cs="Open Sans"/>
        </w:rPr>
        <w:t xml:space="preserve">is so high that it </w:t>
      </w:r>
      <w:r w:rsidRPr="00832D3B">
        <w:rPr>
          <w:rFonts w:cs="Open Sans"/>
        </w:rPr>
        <w:t>can</w:t>
      </w:r>
      <w:r>
        <w:rPr>
          <w:rFonts w:cs="Open Sans"/>
        </w:rPr>
        <w:t>not</w:t>
      </w:r>
      <w:r w:rsidRPr="00832D3B">
        <w:rPr>
          <w:rFonts w:cs="Open Sans"/>
        </w:rPr>
        <w:t xml:space="preserve"> be </w:t>
      </w:r>
      <w:r>
        <w:rPr>
          <w:rFonts w:cs="Open Sans"/>
        </w:rPr>
        <w:t xml:space="preserve">deferred until the individual can consent – that is, where the risk cannot be effectively </w:t>
      </w:r>
      <w:r w:rsidRPr="00832D3B">
        <w:rPr>
          <w:rFonts w:cs="Open Sans"/>
        </w:rPr>
        <w:t>monitored</w:t>
      </w:r>
      <w:r>
        <w:rPr>
          <w:rFonts w:cs="Open Sans"/>
        </w:rPr>
        <w:t xml:space="preserve"> until the individual has legal capacity to make the decision themselves – more invasive intervention may be considered a medical necessity. On the other hand, where effective monitoring is possible, invasive surgery would not meet the standard of medical necessity and thus would not be permissible in the absence of personal consent </w:t>
      </w:r>
      <w:r w:rsidRPr="00E84AA0">
        <w:rPr>
          <w:rFonts w:cs="Open Sans"/>
        </w:rPr>
        <w:t>– consistent with the Precautionary principle.</w:t>
      </w:r>
    </w:p>
    <w:p w:rsidRPr="00576FAA" w:rsidR="004D61D2" w:rsidP="004D61D2" w:rsidRDefault="004D61D2" w14:paraId="0271204C" w14:textId="77777777">
      <w:pPr>
        <w:pStyle w:val="Heading4"/>
      </w:pPr>
      <w:r w:rsidRPr="2816C17C">
        <w:lastRenderedPageBreak/>
        <w:t>Past</w:t>
      </w:r>
      <w:r>
        <w:t xml:space="preserve"> and </w:t>
      </w:r>
      <w:r w:rsidRPr="2816C17C">
        <w:t>present practice</w:t>
      </w:r>
    </w:p>
    <w:p w:rsidR="004D61D2" w:rsidP="004D61D2" w:rsidRDefault="004D61D2" w14:paraId="48F0B45A" w14:textId="77777777">
      <w:pPr>
        <w:rPr>
          <w:rFonts w:cs="Open Sans"/>
        </w:rPr>
      </w:pPr>
      <w:r>
        <w:rPr>
          <w:rFonts w:cs="Open Sans"/>
        </w:rPr>
        <w:t>Some</w:t>
      </w:r>
      <w:r w:rsidRPr="00832D3B">
        <w:rPr>
          <w:rFonts w:cs="Open Sans"/>
        </w:rPr>
        <w:t xml:space="preserve"> clinicians</w:t>
      </w:r>
      <w:r>
        <w:rPr>
          <w:rFonts w:cs="Open Sans"/>
        </w:rPr>
        <w:t xml:space="preserve"> and</w:t>
      </w:r>
      <w:r w:rsidRPr="00832D3B">
        <w:rPr>
          <w:rFonts w:cs="Open Sans"/>
        </w:rPr>
        <w:t xml:space="preserve"> people born with variations in sex characteristics </w:t>
      </w:r>
      <w:r>
        <w:rPr>
          <w:rFonts w:cs="Open Sans"/>
        </w:rPr>
        <w:t xml:space="preserve">told the Commission </w:t>
      </w:r>
      <w:r w:rsidRPr="00832D3B">
        <w:rPr>
          <w:rFonts w:cs="Open Sans"/>
        </w:rPr>
        <w:t xml:space="preserve">that preventing the development of cancer has long been </w:t>
      </w:r>
      <w:r>
        <w:rPr>
          <w:rFonts w:cs="Open Sans"/>
        </w:rPr>
        <w:t xml:space="preserve">accepted as </w:t>
      </w:r>
      <w:r w:rsidRPr="00832D3B">
        <w:rPr>
          <w:rFonts w:cs="Open Sans"/>
        </w:rPr>
        <w:t xml:space="preserve">a </w:t>
      </w:r>
      <w:r>
        <w:rPr>
          <w:rFonts w:cs="Open Sans"/>
        </w:rPr>
        <w:t xml:space="preserve">justifiable </w:t>
      </w:r>
      <w:r w:rsidRPr="00832D3B">
        <w:rPr>
          <w:rFonts w:cs="Open Sans"/>
        </w:rPr>
        <w:t>basis for early intervention; in particular, to remove tissue located in body areas that are difficult to monitor.</w:t>
      </w:r>
      <w:r w:rsidRPr="0117CC5D">
        <w:rPr>
          <w:rStyle w:val="EndnoteReference"/>
          <w:rFonts w:cs="Open Sans"/>
        </w:rPr>
        <w:endnoteReference w:id="295"/>
      </w:r>
    </w:p>
    <w:p w:rsidR="004D61D2" w:rsidP="004D61D2" w:rsidRDefault="004D61D2" w14:paraId="5543B8E2" w14:textId="77777777">
      <w:pPr>
        <w:rPr>
          <w:rFonts w:cs="Open Sans"/>
        </w:rPr>
      </w:pPr>
      <w:r>
        <w:rPr>
          <w:rFonts w:cs="Open Sans"/>
        </w:rPr>
        <w:t xml:space="preserve">A submission from a </w:t>
      </w:r>
      <w:r w:rsidRPr="0005519E">
        <w:rPr>
          <w:rFonts w:cs="Open Sans"/>
        </w:rPr>
        <w:t>hospital multi-disciplinary team</w:t>
      </w:r>
      <w:r>
        <w:rPr>
          <w:rFonts w:cs="Open Sans"/>
        </w:rPr>
        <w:t xml:space="preserve"> indicated that some gonadectomies are proceeding where no risk of cancer was ultimately found. </w:t>
      </w:r>
      <w:r w:rsidRPr="000F78A5">
        <w:rPr>
          <w:rFonts w:cs="Open Sans"/>
        </w:rPr>
        <w:t xml:space="preserve">This </w:t>
      </w:r>
      <w:r>
        <w:rPr>
          <w:rFonts w:cs="Open Sans"/>
        </w:rPr>
        <w:t>stakeholder</w:t>
      </w:r>
      <w:r w:rsidRPr="000F78A5">
        <w:rPr>
          <w:rFonts w:cs="Open Sans"/>
        </w:rPr>
        <w:t xml:space="preserve"> provided results of an audit of recent cases conducted over period of several years. In </w:t>
      </w:r>
      <w:r>
        <w:rPr>
          <w:rFonts w:cs="Open Sans"/>
        </w:rPr>
        <w:t>three quarters</w:t>
      </w:r>
      <w:r w:rsidRPr="000F78A5">
        <w:rPr>
          <w:rFonts w:cs="Open Sans"/>
        </w:rPr>
        <w:t xml:space="preserve"> of cases where gonadectomy was conducted, there was evidence of uni/bilateral gonadoblastoma.</w:t>
      </w:r>
      <w:r w:rsidRPr="0117CC5D">
        <w:rPr>
          <w:rStyle w:val="EndnoteReference"/>
          <w:rFonts w:cs="Open Sans"/>
        </w:rPr>
        <w:endnoteReference w:id="296"/>
      </w:r>
      <w:r w:rsidRPr="001F1551">
        <w:rPr>
          <w:rFonts w:cs="Open Sans"/>
          <w:sz w:val="20"/>
          <w:szCs w:val="20"/>
        </w:rPr>
        <w:t xml:space="preserve"> </w:t>
      </w:r>
      <w:r w:rsidRPr="000D58AE">
        <w:rPr>
          <w:rFonts w:cs="Open Sans"/>
        </w:rPr>
        <w:t>Gonadoblastoma is a rare benign tumo</w:t>
      </w:r>
      <w:r>
        <w:rPr>
          <w:rFonts w:cs="Open Sans"/>
        </w:rPr>
        <w:t>u</w:t>
      </w:r>
      <w:r w:rsidRPr="000D58AE">
        <w:rPr>
          <w:rFonts w:cs="Open Sans"/>
        </w:rPr>
        <w:t>r that has the potential for malignant transformation</w:t>
      </w:r>
      <w:r>
        <w:rPr>
          <w:rFonts w:cs="Open Sans"/>
        </w:rPr>
        <w:t>.</w:t>
      </w:r>
      <w:r w:rsidRPr="0117CC5D">
        <w:rPr>
          <w:rStyle w:val="EndnoteReference"/>
          <w:rFonts w:cs="Open Sans"/>
        </w:rPr>
        <w:endnoteReference w:id="297"/>
      </w:r>
      <w:r>
        <w:rPr>
          <w:rFonts w:cs="Open Sans"/>
        </w:rPr>
        <w:t xml:space="preserve"> The inference, therefore, is that in one quarter of cases, there was no risk of cancer found. </w:t>
      </w:r>
    </w:p>
    <w:p w:rsidR="004D61D2" w:rsidP="004D61D2" w:rsidRDefault="004D61D2" w14:paraId="22189749" w14:textId="77777777">
      <w:pPr>
        <w:rPr>
          <w:rFonts w:cs="Open Sans"/>
        </w:rPr>
      </w:pPr>
      <w:r w:rsidRPr="664CBF88">
        <w:rPr>
          <w:rFonts w:cs="Open Sans"/>
        </w:rPr>
        <w:t>This submission also indicated that some gonadectomies are being deferred where they are considered low risk. The most common referrals to the Differences of Sex Development (DSD) forum were for timing</w:t>
      </w:r>
      <w:r>
        <w:rPr>
          <w:rFonts w:cs="Open Sans"/>
        </w:rPr>
        <w:t xml:space="preserve"> and </w:t>
      </w:r>
      <w:r w:rsidRPr="664CBF88">
        <w:rPr>
          <w:rFonts w:cs="Open Sans"/>
        </w:rPr>
        <w:t xml:space="preserve">need for gonadectomy for non-functioning gonads with malignant potential and hypospadias surgery for boys with complex hypospadias associated with other genital variations (eg, undescended testes). </w:t>
      </w:r>
    </w:p>
    <w:p w:rsidR="004D61D2" w:rsidP="004D61D2" w:rsidRDefault="004D61D2" w14:paraId="2470958D" w14:textId="77777777">
      <w:pPr>
        <w:rPr>
          <w:rFonts w:cs="Open Sans"/>
        </w:rPr>
      </w:pPr>
      <w:r w:rsidRPr="000A256E">
        <w:rPr>
          <w:rFonts w:cs="Open Sans"/>
        </w:rPr>
        <w:t xml:space="preserve">Surgery was recommended to be deferred until the individual was old enough to consent in </w:t>
      </w:r>
      <w:r>
        <w:rPr>
          <w:rFonts w:cs="Open Sans"/>
        </w:rPr>
        <w:t>about 20% of cases,</w:t>
      </w:r>
      <w:r w:rsidRPr="000A256E">
        <w:rPr>
          <w:rFonts w:cs="Open Sans"/>
        </w:rPr>
        <w:t xml:space="preserve"> for reasons including mild virilisation and low tumour risk. Legal advice was sought </w:t>
      </w:r>
      <w:r>
        <w:rPr>
          <w:rFonts w:cs="Open Sans"/>
        </w:rPr>
        <w:t>by the</w:t>
      </w:r>
      <w:r w:rsidRPr="006876BF">
        <w:rPr>
          <w:rFonts w:cs="Open Sans"/>
        </w:rPr>
        <w:t xml:space="preserve"> hospital multi-disciplinary team</w:t>
      </w:r>
      <w:r>
        <w:rPr>
          <w:rFonts w:cs="Open Sans"/>
        </w:rPr>
        <w:t xml:space="preserve"> from the state health legal adviser</w:t>
      </w:r>
      <w:r w:rsidRPr="000A256E">
        <w:rPr>
          <w:rFonts w:cs="Open Sans"/>
        </w:rPr>
        <w:t xml:space="preserve"> for one patient and the decision was made to defer surgery for a few months until the individual turned 16 years old.</w:t>
      </w:r>
      <w:r w:rsidRPr="0117CC5D">
        <w:rPr>
          <w:rStyle w:val="EndnoteReference"/>
          <w:rFonts w:cs="Open Sans"/>
        </w:rPr>
        <w:endnoteReference w:id="298"/>
      </w:r>
      <w:r w:rsidRPr="003A6960">
        <w:rPr>
          <w:rFonts w:cs="Open Sans"/>
          <w:sz w:val="20"/>
          <w:szCs w:val="20"/>
        </w:rPr>
        <w:t xml:space="preserve"> </w:t>
      </w:r>
    </w:p>
    <w:p w:rsidRPr="00A334DF" w:rsidR="004D61D2" w:rsidP="004D61D2" w:rsidRDefault="004D61D2" w14:paraId="0E260763" w14:textId="77777777">
      <w:pPr>
        <w:rPr>
          <w:rFonts w:cs="Open Sans"/>
        </w:rPr>
      </w:pPr>
      <w:r w:rsidRPr="2816C17C">
        <w:rPr>
          <w:rFonts w:cs="Open Sans"/>
        </w:rPr>
        <w:t xml:space="preserve">Some </w:t>
      </w:r>
      <w:r>
        <w:rPr>
          <w:rFonts w:cs="Open Sans"/>
        </w:rPr>
        <w:t>people with lived experience of variations in sex characteristics expressed concern about cancer risks being conflated with other rationales for intervention.</w:t>
      </w:r>
      <w:r w:rsidRPr="0117CC5D">
        <w:rPr>
          <w:rStyle w:val="EndnoteReference"/>
          <w:rFonts w:cs="Open Sans"/>
        </w:rPr>
        <w:endnoteReference w:id="299"/>
      </w:r>
      <w:r w:rsidRPr="003A6960">
        <w:rPr>
          <w:rFonts w:cs="Open Sans"/>
          <w:sz w:val="20"/>
          <w:szCs w:val="20"/>
        </w:rPr>
        <w:t xml:space="preserve"> </w:t>
      </w:r>
      <w:r>
        <w:rPr>
          <w:rFonts w:cs="Open Sans"/>
        </w:rPr>
        <w:t>The peer-support and advocacy organisation, Intersex Human Rights Australia (IHRA), stated that ‘</w:t>
      </w:r>
      <w:r w:rsidRPr="00A334DF">
        <w:rPr>
          <w:rFonts w:cs="Open Sans"/>
        </w:rPr>
        <w:t>documentation suggests that such issues</w:t>
      </w:r>
      <w:r>
        <w:rPr>
          <w:rFonts w:cs="Open Sans"/>
        </w:rPr>
        <w:t xml:space="preserve"> [malignancy risk]</w:t>
      </w:r>
      <w:r w:rsidRPr="00A334DF">
        <w:rPr>
          <w:rFonts w:cs="Open Sans"/>
        </w:rPr>
        <w:t xml:space="preserve"> are intertwined with non-therapeutic rationales</w:t>
      </w:r>
      <w:r>
        <w:rPr>
          <w:rFonts w:cs="Open Sans"/>
        </w:rPr>
        <w:t xml:space="preserve">’. It cites the case of </w:t>
      </w:r>
      <w:r w:rsidRPr="664CBF88">
        <w:rPr>
          <w:rFonts w:cs="Open Sans"/>
          <w:i/>
          <w:iCs/>
        </w:rPr>
        <w:t>Re Carla</w:t>
      </w:r>
      <w:r>
        <w:rPr>
          <w:rFonts w:cs="Open Sans"/>
        </w:rPr>
        <w:t xml:space="preserve"> (see Chapter 7) as exemplifying how cancer risk </w:t>
      </w:r>
      <w:r w:rsidRPr="2816C17C">
        <w:rPr>
          <w:rFonts w:cs="Open Sans"/>
        </w:rPr>
        <w:t xml:space="preserve">can be conflated </w:t>
      </w:r>
      <w:r>
        <w:rPr>
          <w:rFonts w:cs="Open Sans"/>
        </w:rPr>
        <w:t>with other factors.</w:t>
      </w:r>
      <w:r w:rsidRPr="0117CC5D">
        <w:rPr>
          <w:rStyle w:val="EndnoteReference"/>
          <w:rFonts w:cs="Open Sans"/>
        </w:rPr>
        <w:endnoteReference w:id="300"/>
      </w:r>
      <w:r>
        <w:rPr>
          <w:rFonts w:cs="Open Sans"/>
        </w:rPr>
        <w:t xml:space="preserve"> </w:t>
      </w:r>
    </w:p>
    <w:p w:rsidR="004D61D2" w:rsidP="004D61D2" w:rsidRDefault="004D61D2" w14:paraId="63F6072D" w14:textId="77777777">
      <w:pPr>
        <w:pStyle w:val="Heading4"/>
      </w:pPr>
      <w:r>
        <w:lastRenderedPageBreak/>
        <w:t>Robustness of evidence and risk assessment</w:t>
      </w:r>
    </w:p>
    <w:p w:rsidRPr="007D23DF" w:rsidR="004D61D2" w:rsidP="004D61D2" w:rsidRDefault="004D61D2" w14:paraId="707E3B9C" w14:textId="77777777">
      <w:r>
        <w:rPr>
          <w:rFonts w:cs="Open Sans"/>
        </w:rPr>
        <w:t xml:space="preserve">Some of the contention about cancer being used as a basis to perform interventions such as gonadectomies relates to the robustness of risk assessment. </w:t>
      </w:r>
    </w:p>
    <w:p w:rsidR="004D61D2" w:rsidP="004D61D2" w:rsidRDefault="004D61D2" w14:paraId="35C1CFF3" w14:textId="77777777">
      <w:pPr>
        <w:rPr>
          <w:rFonts w:cs="Open Sans"/>
        </w:rPr>
      </w:pPr>
      <w:r>
        <w:rPr>
          <w:rFonts w:cs="Open Sans"/>
        </w:rPr>
        <w:t>It is</w:t>
      </w:r>
      <w:r w:rsidRPr="00372653">
        <w:rPr>
          <w:rFonts w:cs="Open Sans"/>
        </w:rPr>
        <w:t xml:space="preserve"> established that some variations are associated with increased cancer risk, but that the extent of that risk depends on a number of factors</w:t>
      </w:r>
      <w:r>
        <w:rPr>
          <w:rFonts w:cs="Open Sans"/>
        </w:rPr>
        <w:t>.</w:t>
      </w:r>
      <w:r w:rsidRPr="00372653">
        <w:rPr>
          <w:rFonts w:cs="Open Sans"/>
        </w:rPr>
        <w:t xml:space="preserve"> </w:t>
      </w:r>
      <w:r>
        <w:rPr>
          <w:rFonts w:cs="Open Sans"/>
        </w:rPr>
        <w:t>In teasing out some of the variables</w:t>
      </w:r>
      <w:r w:rsidRPr="00BB5D9D">
        <w:rPr>
          <w:rStyle w:val="CommentReference"/>
        </w:rPr>
        <w:t xml:space="preserve">, </w:t>
      </w:r>
      <w:r>
        <w:rPr>
          <w:rFonts w:cs="Open Sans"/>
        </w:rPr>
        <w:t>the Australasian Paediatric Endocrine Group (APEG) cited the example of Androgen Insensitivity Syndrome (</w:t>
      </w:r>
      <w:r w:rsidRPr="00372653">
        <w:rPr>
          <w:rFonts w:cs="Open Sans"/>
        </w:rPr>
        <w:t>AIS</w:t>
      </w:r>
      <w:r>
        <w:rPr>
          <w:rFonts w:cs="Open Sans"/>
        </w:rPr>
        <w:t xml:space="preserve">). They stated </w:t>
      </w:r>
      <w:r w:rsidRPr="005C7DE7">
        <w:rPr>
          <w:rFonts w:cs="Open Sans"/>
        </w:rPr>
        <w:t xml:space="preserve">that </w:t>
      </w:r>
      <w:r>
        <w:rPr>
          <w:rFonts w:cs="Open Sans"/>
        </w:rPr>
        <w:t xml:space="preserve">the </w:t>
      </w:r>
      <w:r w:rsidRPr="005C7DE7">
        <w:rPr>
          <w:rFonts w:cs="Open Sans"/>
        </w:rPr>
        <w:t>risk varies depend</w:t>
      </w:r>
      <w:r>
        <w:rPr>
          <w:rFonts w:cs="Open Sans"/>
        </w:rPr>
        <w:t>ing</w:t>
      </w:r>
      <w:r w:rsidRPr="005C7DE7">
        <w:rPr>
          <w:rFonts w:cs="Open Sans"/>
        </w:rPr>
        <w:t xml:space="preserve"> on</w:t>
      </w:r>
      <w:r w:rsidRPr="2816C17C">
        <w:rPr>
          <w:rFonts w:cs="Open Sans"/>
        </w:rPr>
        <w:t>:</w:t>
      </w:r>
      <w:r w:rsidRPr="005C7DE7">
        <w:rPr>
          <w:rFonts w:cs="Open Sans"/>
        </w:rPr>
        <w:t xml:space="preserve"> whether the insensitivity is complete or partial</w:t>
      </w:r>
      <w:r>
        <w:rPr>
          <w:rFonts w:cs="Open Sans"/>
        </w:rPr>
        <w:t xml:space="preserve">; </w:t>
      </w:r>
      <w:r w:rsidRPr="005C7DE7">
        <w:rPr>
          <w:rFonts w:cs="Open Sans"/>
        </w:rPr>
        <w:t xml:space="preserve">the position of the gonads (lowest risk if </w:t>
      </w:r>
      <w:r w:rsidRPr="664CBF88">
        <w:rPr>
          <w:rFonts w:cs="Open Sans"/>
        </w:rPr>
        <w:t xml:space="preserve">in </w:t>
      </w:r>
      <w:r w:rsidRPr="005C7DE7">
        <w:rPr>
          <w:rFonts w:cs="Open Sans"/>
        </w:rPr>
        <w:t>labio-scrotal position; highest if intra-abdominal</w:t>
      </w:r>
      <w:r>
        <w:rPr>
          <w:rFonts w:cs="Open Sans"/>
        </w:rPr>
        <w:t>)</w:t>
      </w:r>
      <w:r w:rsidRPr="2816C17C">
        <w:rPr>
          <w:rFonts w:cs="Open Sans"/>
        </w:rPr>
        <w:t>;</w:t>
      </w:r>
      <w:r>
        <w:rPr>
          <w:rFonts w:cs="Open Sans"/>
        </w:rPr>
        <w:t xml:space="preserve"> and </w:t>
      </w:r>
      <w:r w:rsidRPr="005C7DE7">
        <w:rPr>
          <w:rFonts w:cs="Open Sans"/>
        </w:rPr>
        <w:t>with advancing age</w:t>
      </w:r>
      <w:r>
        <w:rPr>
          <w:rFonts w:cs="Open Sans"/>
        </w:rPr>
        <w:t>.</w:t>
      </w:r>
      <w:r w:rsidRPr="0117CC5D">
        <w:rPr>
          <w:rStyle w:val="EndnoteReference"/>
          <w:rFonts w:cs="Open Sans"/>
        </w:rPr>
        <w:endnoteReference w:id="301"/>
      </w:r>
      <w:r>
        <w:rPr>
          <w:rFonts w:cs="Open Sans"/>
        </w:rPr>
        <w:t xml:space="preserve"> </w:t>
      </w:r>
    </w:p>
    <w:p w:rsidR="004D61D2" w:rsidP="004D61D2" w:rsidRDefault="004D61D2" w14:paraId="675375EA" w14:textId="77777777">
      <w:pPr>
        <w:rPr>
          <w:rFonts w:cs="Open Sans"/>
        </w:rPr>
      </w:pPr>
      <w:r w:rsidRPr="7623DED8">
        <w:rPr>
          <w:rFonts w:cs="Open Sans"/>
        </w:rPr>
        <w:t>T</w:t>
      </w:r>
      <w:r>
        <w:rPr>
          <w:rFonts w:cs="Open Sans"/>
        </w:rPr>
        <w:t>he degree of risk of cancer developing for any person born with variations in sex characteristics is informed by a number of variables. Further</w:t>
      </w:r>
      <w:r w:rsidRPr="2816C17C">
        <w:rPr>
          <w:rFonts w:cs="Open Sans"/>
        </w:rPr>
        <w:t>,</w:t>
      </w:r>
      <w:r>
        <w:rPr>
          <w:rFonts w:cs="Open Sans"/>
        </w:rPr>
        <w:t xml:space="preserve"> the ability to effectively monitor any risk varies too.</w:t>
      </w:r>
      <w:r w:rsidRPr="0117CC5D">
        <w:rPr>
          <w:rStyle w:val="EndnoteReference"/>
          <w:rFonts w:cs="Open Sans"/>
        </w:rPr>
        <w:endnoteReference w:id="302"/>
      </w:r>
      <w:r>
        <w:rPr>
          <w:rFonts w:cs="Open Sans"/>
        </w:rPr>
        <w:t xml:space="preserve"> Thus, whether an intervention such as a gonadectomy, with attendant significant consequences, is necessary to preserve life or ensure organ or bodily function, should be informed by relevant medical opinion based on the degree of individualised cancer risk and the ability to effectively monitor that risk.</w:t>
      </w:r>
    </w:p>
    <w:p w:rsidR="004D61D2" w:rsidP="004D61D2" w:rsidRDefault="004D61D2" w14:paraId="07DF8DA5" w14:textId="77777777">
      <w:pPr>
        <w:rPr>
          <w:rFonts w:cs="Open Sans"/>
        </w:rPr>
      </w:pPr>
      <w:r>
        <w:rPr>
          <w:rFonts w:cs="Open Sans"/>
        </w:rPr>
        <w:t xml:space="preserve">To demonstrate how early a malignancy risk can manifest, APEG stated that in children with </w:t>
      </w:r>
      <w:r w:rsidRPr="00052AA2">
        <w:rPr>
          <w:rFonts w:cs="Open Sans"/>
        </w:rPr>
        <w:t xml:space="preserve">46XY complete gonadal dysgenesis </w:t>
      </w:r>
      <w:r>
        <w:rPr>
          <w:rFonts w:cs="Open Sans"/>
        </w:rPr>
        <w:t xml:space="preserve">who underwent a gonadectomy, </w:t>
      </w:r>
      <w:r w:rsidRPr="2816C17C">
        <w:rPr>
          <w:rFonts w:cs="Open Sans"/>
        </w:rPr>
        <w:t>‘</w:t>
      </w:r>
      <w:r w:rsidRPr="00052AA2">
        <w:rPr>
          <w:rFonts w:cs="Open Sans"/>
        </w:rPr>
        <w:t>malignant changes have been found in gonads removed from girls younger than 1 year old in this instance</w:t>
      </w:r>
      <w:r w:rsidRPr="2816C17C">
        <w:rPr>
          <w:rFonts w:cs="Open Sans"/>
        </w:rPr>
        <w:t>’</w:t>
      </w:r>
      <w:r>
        <w:rPr>
          <w:rFonts w:cs="Open Sans"/>
        </w:rPr>
        <w:t>.</w:t>
      </w:r>
      <w:r w:rsidRPr="0117CC5D">
        <w:rPr>
          <w:rStyle w:val="EndnoteReference"/>
          <w:rFonts w:cs="Open Sans"/>
        </w:rPr>
        <w:endnoteReference w:id="303"/>
      </w:r>
      <w:r w:rsidRPr="006E4E2A">
        <w:rPr>
          <w:rFonts w:cs="Open Sans"/>
          <w:sz w:val="20"/>
          <w:szCs w:val="20"/>
        </w:rPr>
        <w:t xml:space="preserve"> </w:t>
      </w:r>
    </w:p>
    <w:p w:rsidR="004D61D2" w:rsidP="004D61D2" w:rsidRDefault="004D61D2" w14:paraId="26499B2E" w14:textId="77777777">
      <w:pPr>
        <w:rPr>
          <w:rFonts w:cs="Open Sans"/>
        </w:rPr>
      </w:pPr>
      <w:r w:rsidRPr="664CBF88">
        <w:rPr>
          <w:rFonts w:cs="Open Sans"/>
        </w:rPr>
        <w:t xml:space="preserve">Assessment of </w:t>
      </w:r>
      <w:r>
        <w:rPr>
          <w:rFonts w:cs="Open Sans"/>
        </w:rPr>
        <w:t xml:space="preserve">cancer </w:t>
      </w:r>
      <w:r w:rsidRPr="664CBF88">
        <w:rPr>
          <w:rFonts w:cs="Open Sans"/>
        </w:rPr>
        <w:t xml:space="preserve">risk is complex. </w:t>
      </w:r>
      <w:r>
        <w:rPr>
          <w:rFonts w:cs="Open Sans"/>
        </w:rPr>
        <w:t>I</w:t>
      </w:r>
      <w:r w:rsidRPr="664CBF88">
        <w:rPr>
          <w:rFonts w:cs="Open Sans"/>
        </w:rPr>
        <w:t>mproved guidance and support</w:t>
      </w:r>
      <w:r>
        <w:rPr>
          <w:rFonts w:cs="Open Sans"/>
        </w:rPr>
        <w:t xml:space="preserve"> for clinicians and others on this issue may be needed</w:t>
      </w:r>
      <w:r w:rsidRPr="664CBF88">
        <w:rPr>
          <w:rFonts w:cs="Open Sans"/>
        </w:rPr>
        <w:t xml:space="preserve">. </w:t>
      </w:r>
    </w:p>
    <w:p w:rsidR="004D61D2" w:rsidP="004D61D2" w:rsidRDefault="004D61D2" w14:paraId="70D2FBF0" w14:textId="77777777">
      <w:pPr>
        <w:rPr>
          <w:rFonts w:cs="Open Sans"/>
        </w:rPr>
      </w:pPr>
      <w:r>
        <w:rPr>
          <w:rFonts w:cs="Open Sans"/>
        </w:rPr>
        <w:t>There were a range of views about how well-evidenced cancer risks are. A hospital multi-disciplinary team</w:t>
      </w:r>
      <w:r w:rsidRPr="00832D3B">
        <w:rPr>
          <w:rFonts w:cs="Open Sans"/>
        </w:rPr>
        <w:t xml:space="preserve"> </w:t>
      </w:r>
      <w:r>
        <w:rPr>
          <w:rFonts w:cs="Open Sans"/>
        </w:rPr>
        <w:t xml:space="preserve">told the Commission about problems with the data relied upon to assess risk, and with the </w:t>
      </w:r>
      <w:r w:rsidRPr="00832D3B">
        <w:rPr>
          <w:rFonts w:cs="Open Sans"/>
        </w:rPr>
        <w:t>quality of the evidence base relied upon to justify interventions</w:t>
      </w:r>
      <w:r>
        <w:rPr>
          <w:rFonts w:cs="Open Sans"/>
        </w:rPr>
        <w:t xml:space="preserve"> without personal consent</w:t>
      </w:r>
      <w:r w:rsidRPr="00832D3B">
        <w:rPr>
          <w:rFonts w:cs="Open Sans"/>
        </w:rPr>
        <w:t>.</w:t>
      </w:r>
      <w:r w:rsidRPr="0117CC5D">
        <w:rPr>
          <w:rStyle w:val="EndnoteReference"/>
          <w:rFonts w:cs="Open Sans"/>
        </w:rPr>
        <w:endnoteReference w:id="304"/>
      </w:r>
      <w:r w:rsidRPr="00832D3B">
        <w:rPr>
          <w:rFonts w:cs="Open Sans"/>
        </w:rPr>
        <w:t xml:space="preserve"> </w:t>
      </w:r>
      <w:r>
        <w:rPr>
          <w:rFonts w:cs="Open Sans"/>
        </w:rPr>
        <w:t xml:space="preserve">The team stated that guidance for intervention was </w:t>
      </w:r>
      <w:r w:rsidRPr="00CB4339">
        <w:rPr>
          <w:rFonts w:cs="Open Sans"/>
        </w:rPr>
        <w:t xml:space="preserve">often very broad, with specific evidence pertaining to any given DSD variation frequently based on results of un-pooled data, small </w:t>
      </w:r>
      <w:r w:rsidRPr="00CB4339">
        <w:rPr>
          <w:rFonts w:cs="Open Sans"/>
        </w:rPr>
        <w:lastRenderedPageBreak/>
        <w:t>sample sizes and centre experience rather than on systematic review or meta-analysis of high</w:t>
      </w:r>
      <w:r>
        <w:rPr>
          <w:rFonts w:cs="Open Sans"/>
        </w:rPr>
        <w:t>-</w:t>
      </w:r>
      <w:r w:rsidRPr="00CB4339">
        <w:rPr>
          <w:rFonts w:cs="Open Sans"/>
        </w:rPr>
        <w:t>quality data</w:t>
      </w:r>
      <w:r>
        <w:rPr>
          <w:rFonts w:cs="Open Sans"/>
        </w:rPr>
        <w:t>.</w:t>
      </w:r>
    </w:p>
    <w:p w:rsidR="004D61D2" w:rsidP="004D61D2" w:rsidRDefault="004D61D2" w14:paraId="69182A49" w14:textId="77777777">
      <w:pPr>
        <w:rPr>
          <w:rFonts w:cs="Open Sans"/>
        </w:rPr>
      </w:pPr>
      <w:r>
        <w:rPr>
          <w:rFonts w:cs="Open Sans"/>
        </w:rPr>
        <w:t xml:space="preserve">APEG described the evolution in understanding of malignancy risk. It referred to the example of Androgen Insensitivity Syndrome (AIS), for which it </w:t>
      </w:r>
      <w:r w:rsidRPr="00F43CC3">
        <w:rPr>
          <w:rFonts w:cs="Open Sans"/>
        </w:rPr>
        <w:t xml:space="preserve">was </w:t>
      </w:r>
      <w:r>
        <w:rPr>
          <w:rFonts w:cs="Open Sans"/>
        </w:rPr>
        <w:t xml:space="preserve">once </w:t>
      </w:r>
      <w:r w:rsidRPr="00F43CC3">
        <w:rPr>
          <w:rFonts w:cs="Open Sans"/>
        </w:rPr>
        <w:t>standard to remove gonad</w:t>
      </w:r>
      <w:r>
        <w:rPr>
          <w:rFonts w:cs="Open Sans"/>
        </w:rPr>
        <w:t>s, based</w:t>
      </w:r>
      <w:r w:rsidRPr="00F43CC3">
        <w:rPr>
          <w:rFonts w:cs="Open Sans"/>
        </w:rPr>
        <w:t xml:space="preserve"> </w:t>
      </w:r>
      <w:r w:rsidRPr="664CBF88">
        <w:rPr>
          <w:rFonts w:cs="Open Sans"/>
        </w:rPr>
        <w:t xml:space="preserve">on </w:t>
      </w:r>
      <w:r w:rsidRPr="00F43CC3">
        <w:rPr>
          <w:rFonts w:cs="Open Sans"/>
        </w:rPr>
        <w:t xml:space="preserve">published evidence </w:t>
      </w:r>
      <w:r w:rsidRPr="664CBF88">
        <w:rPr>
          <w:rFonts w:cs="Open Sans"/>
        </w:rPr>
        <w:t xml:space="preserve">that </w:t>
      </w:r>
      <w:r w:rsidRPr="00F43CC3">
        <w:rPr>
          <w:rFonts w:cs="Open Sans"/>
        </w:rPr>
        <w:t xml:space="preserve">reported gonadal malignancy in approximately one third of cases. </w:t>
      </w:r>
      <w:r>
        <w:rPr>
          <w:rFonts w:cs="Open Sans"/>
        </w:rPr>
        <w:t xml:space="preserve">APEG stated that it is now </w:t>
      </w:r>
      <w:r w:rsidRPr="00F43CC3">
        <w:rPr>
          <w:rFonts w:cs="Open Sans"/>
        </w:rPr>
        <w:t>known from further studies in the last 10</w:t>
      </w:r>
      <w:r>
        <w:rPr>
          <w:rFonts w:cs="Open Sans"/>
        </w:rPr>
        <w:t>–</w:t>
      </w:r>
      <w:r w:rsidRPr="00F43CC3">
        <w:rPr>
          <w:rFonts w:cs="Open Sans"/>
        </w:rPr>
        <w:t>20 years that the risk varies depend</w:t>
      </w:r>
      <w:r w:rsidRPr="664CBF88">
        <w:rPr>
          <w:rFonts w:cs="Open Sans"/>
        </w:rPr>
        <w:t>ing</w:t>
      </w:r>
      <w:r w:rsidRPr="00F43CC3">
        <w:rPr>
          <w:rFonts w:cs="Open Sans"/>
        </w:rPr>
        <w:t xml:space="preserve"> on whether the insensitivity is</w:t>
      </w:r>
      <w:r>
        <w:rPr>
          <w:rFonts w:cs="Open Sans"/>
        </w:rPr>
        <w:t xml:space="preserve"> </w:t>
      </w:r>
      <w:r w:rsidRPr="00F43CC3">
        <w:rPr>
          <w:rFonts w:cs="Open Sans"/>
        </w:rPr>
        <w:t>complete or partial and on the position of the gonad</w:t>
      </w:r>
      <w:r>
        <w:rPr>
          <w:rFonts w:cs="Open Sans"/>
        </w:rPr>
        <w:t>s.</w:t>
      </w:r>
      <w:r w:rsidRPr="0117CC5D">
        <w:rPr>
          <w:rStyle w:val="EndnoteReference"/>
          <w:rFonts w:cs="Open Sans"/>
        </w:rPr>
        <w:endnoteReference w:id="305"/>
      </w:r>
      <w:r>
        <w:rPr>
          <w:rFonts w:cs="Open Sans"/>
        </w:rPr>
        <w:t xml:space="preserve">  </w:t>
      </w:r>
    </w:p>
    <w:p w:rsidR="004D61D2" w:rsidP="004D61D2" w:rsidRDefault="004D61D2" w14:paraId="5F1B1559" w14:textId="77777777">
      <w:pPr>
        <w:rPr>
          <w:rFonts w:cs="Open Sans"/>
        </w:rPr>
      </w:pPr>
      <w:r>
        <w:rPr>
          <w:rFonts w:cs="Open Sans"/>
        </w:rPr>
        <w:t xml:space="preserve">The case of </w:t>
      </w:r>
      <w:r>
        <w:rPr>
          <w:rFonts w:cs="Open Sans"/>
          <w:i/>
          <w:iCs/>
        </w:rPr>
        <w:t xml:space="preserve">Re Carla </w:t>
      </w:r>
      <w:r>
        <w:rPr>
          <w:rFonts w:cs="Open Sans"/>
        </w:rPr>
        <w:t>was cited with concern by many people with variations in sex characteristics. One area of concern in this case was related to the out-of-date information relied upon by the Court to assess whether a gonadectomy was an appropriate intervention to deal with Carla’s malignancy risk. Some critics argue that the accepted intervention for someone with Carla’s actual cancer risk at the time of the case, was to monitor her gonads, rather than the gonadectomy that was recommended by the treating clinicians.</w:t>
      </w:r>
      <w:r w:rsidRPr="0117CC5D">
        <w:rPr>
          <w:rStyle w:val="EndnoteReference"/>
          <w:rFonts w:cs="Open Sans"/>
        </w:rPr>
        <w:endnoteReference w:id="306"/>
      </w:r>
      <w:r>
        <w:rPr>
          <w:rFonts w:cs="Open Sans"/>
        </w:rPr>
        <w:t xml:space="preserve"> </w:t>
      </w:r>
    </w:p>
    <w:p w:rsidR="004D61D2" w:rsidP="004D61D2" w:rsidRDefault="004D61D2" w14:paraId="2D0EE793" w14:textId="77777777">
      <w:pPr>
        <w:rPr>
          <w:rFonts w:cs="Open Sans"/>
          <w:lang w:val="en-US"/>
        </w:rPr>
      </w:pPr>
      <w:r w:rsidRPr="664CBF88">
        <w:rPr>
          <w:rFonts w:cs="Open Sans"/>
        </w:rPr>
        <w:t xml:space="preserve">One </w:t>
      </w:r>
      <w:r>
        <w:rPr>
          <w:rFonts w:cs="Open Sans"/>
        </w:rPr>
        <w:t xml:space="preserve">of Carla’s treating clinicians </w:t>
      </w:r>
      <w:r w:rsidRPr="00CC43C0">
        <w:rPr>
          <w:rFonts w:cs="Open Sans"/>
          <w:lang w:val="en-US"/>
        </w:rPr>
        <w:t xml:space="preserve">cited the </w:t>
      </w:r>
      <w:r>
        <w:rPr>
          <w:rFonts w:cs="Open Sans"/>
          <w:lang w:val="en-US"/>
        </w:rPr>
        <w:t xml:space="preserve">2006 </w:t>
      </w:r>
      <w:r w:rsidRPr="00CC43C0">
        <w:rPr>
          <w:rFonts w:cs="Open Sans"/>
          <w:lang w:val="en-US"/>
        </w:rPr>
        <w:t>Consensus Statement to describe the risk of malignancy. It was their evidence that the Consensus Statement rated Carla’s risk as an ‘intermediate level’ of risk, cited as 28%, and that surgery was thus recommended.</w:t>
      </w:r>
      <w:r w:rsidRPr="00552F95">
        <w:rPr>
          <w:rFonts w:cs="Open Sans"/>
          <w:sz w:val="20"/>
          <w:szCs w:val="20"/>
          <w:vertAlign w:val="superscript"/>
          <w:lang w:val="en-US"/>
        </w:rPr>
        <w:endnoteReference w:id="307"/>
      </w:r>
      <w:r w:rsidRPr="00CC43C0">
        <w:rPr>
          <w:rFonts w:cs="Open Sans"/>
          <w:lang w:val="en-US"/>
        </w:rPr>
        <w:t xml:space="preserve"> </w:t>
      </w:r>
      <w:r>
        <w:rPr>
          <w:rFonts w:cs="Open Sans"/>
          <w:lang w:val="en-US"/>
        </w:rPr>
        <w:t>However, t</w:t>
      </w:r>
      <w:r w:rsidRPr="00CC43C0">
        <w:rPr>
          <w:rFonts w:cs="Open Sans"/>
          <w:lang w:val="en-US"/>
        </w:rPr>
        <w:t>his recommendation does not conform to the Consensus Statement, which states that in the case of 17ß-HSD3, the gonads should be monitored, not removed,</w:t>
      </w:r>
      <w:r w:rsidRPr="005D2C12">
        <w:rPr>
          <w:rFonts w:cs="Open Sans"/>
          <w:sz w:val="20"/>
          <w:szCs w:val="20"/>
          <w:vertAlign w:val="superscript"/>
          <w:lang w:val="en-US"/>
        </w:rPr>
        <w:endnoteReference w:id="308"/>
      </w:r>
      <w:r>
        <w:rPr>
          <w:rFonts w:cs="Open Sans"/>
          <w:lang w:val="en-US"/>
        </w:rPr>
        <w:t xml:space="preserve"> </w:t>
      </w:r>
      <w:r w:rsidRPr="00CC43C0">
        <w:rPr>
          <w:rFonts w:cs="Open Sans"/>
          <w:lang w:val="en-US"/>
        </w:rPr>
        <w:t>and that the risk based on an individual assessment of the child may be significantly lower than the quoted rate.</w:t>
      </w:r>
      <w:r w:rsidRPr="005D2C12">
        <w:rPr>
          <w:rFonts w:cs="Open Sans"/>
          <w:sz w:val="20"/>
          <w:szCs w:val="20"/>
          <w:vertAlign w:val="superscript"/>
          <w:lang w:val="en-US"/>
        </w:rPr>
        <w:endnoteReference w:id="309"/>
      </w:r>
      <w:r w:rsidRPr="00CC43C0">
        <w:rPr>
          <w:rFonts w:cs="Open Sans"/>
          <w:lang w:val="en-US"/>
        </w:rPr>
        <w:t xml:space="preserve"> Additionally, the version of the Consensus Statement relied upon by the experts in </w:t>
      </w:r>
      <w:r w:rsidRPr="664CBF88">
        <w:rPr>
          <w:rFonts w:cs="Open Sans"/>
          <w:i/>
          <w:iCs/>
          <w:lang w:val="en-US"/>
        </w:rPr>
        <w:t>Re Carla</w:t>
      </w:r>
      <w:r w:rsidRPr="00CC43C0">
        <w:rPr>
          <w:rFonts w:cs="Open Sans"/>
          <w:lang w:val="en-US"/>
        </w:rPr>
        <w:t xml:space="preserve"> was </w:t>
      </w:r>
      <w:r>
        <w:rPr>
          <w:rFonts w:cs="Open Sans"/>
          <w:lang w:val="en-US"/>
        </w:rPr>
        <w:t>outdated</w:t>
      </w:r>
      <w:r w:rsidRPr="00CC43C0">
        <w:rPr>
          <w:rFonts w:cs="Open Sans"/>
          <w:lang w:val="en-US"/>
        </w:rPr>
        <w:t>, particularly with regard to data on malignancy rates for children with 17ß-HSD3. More recent research, which was quoted in the 2013 Senate Report and so presumably would have been available to Carla’s doctors, placed the risk of cancer for child</w:t>
      </w:r>
      <w:r w:rsidRPr="664CBF88">
        <w:rPr>
          <w:rFonts w:cs="Open Sans"/>
          <w:lang w:val="en-US"/>
        </w:rPr>
        <w:t>ren</w:t>
      </w:r>
      <w:r w:rsidRPr="00CC43C0">
        <w:rPr>
          <w:rFonts w:cs="Open Sans"/>
          <w:lang w:val="en-US"/>
        </w:rPr>
        <w:t xml:space="preserve"> with 17ß-HSD3 at 17%.</w:t>
      </w:r>
      <w:r w:rsidRPr="00DE7E0E">
        <w:rPr>
          <w:rFonts w:cs="Open Sans"/>
          <w:sz w:val="20"/>
          <w:szCs w:val="20"/>
          <w:vertAlign w:val="superscript"/>
          <w:lang w:val="en-US"/>
        </w:rPr>
        <w:endnoteReference w:id="310"/>
      </w:r>
      <w:r>
        <w:rPr>
          <w:rFonts w:cs="Open Sans"/>
          <w:lang w:val="en-US"/>
        </w:rPr>
        <w:t xml:space="preserve"> </w:t>
      </w:r>
      <w:r w:rsidRPr="664CBF88">
        <w:rPr>
          <w:rFonts w:cs="Open Sans"/>
          <w:lang w:val="en-US"/>
        </w:rPr>
        <w:t>Further, d</w:t>
      </w:r>
      <w:r w:rsidRPr="00CC43C0">
        <w:rPr>
          <w:rFonts w:cs="Open Sans"/>
          <w:lang w:val="en-US"/>
        </w:rPr>
        <w:t>iagnostic techniques allow an individualised risk assessment to be carried</w:t>
      </w:r>
      <w:r>
        <w:rPr>
          <w:rFonts w:cs="Open Sans"/>
          <w:lang w:val="en-US"/>
        </w:rPr>
        <w:t xml:space="preserve"> out</w:t>
      </w:r>
      <w:r w:rsidRPr="00CC43C0">
        <w:rPr>
          <w:rFonts w:cs="Open Sans"/>
          <w:lang w:val="en-US"/>
        </w:rPr>
        <w:t xml:space="preserve">, based on observation of specific </w:t>
      </w:r>
      <w:r w:rsidRPr="00502F3B">
        <w:rPr>
          <w:rFonts w:cs="Open Sans"/>
          <w:lang w:val="en-US"/>
        </w:rPr>
        <w:t>immunehistochemical</w:t>
      </w:r>
      <w:r w:rsidRPr="00CC43C0">
        <w:rPr>
          <w:rFonts w:cs="Open Sans"/>
          <w:lang w:val="en-US"/>
        </w:rPr>
        <w:t xml:space="preserve"> markers, rather than assuming that every child with 17ß-HSD3 has a 17</w:t>
      </w:r>
      <w:r>
        <w:rPr>
          <w:rFonts w:cs="Open Sans"/>
          <w:lang w:val="en-US"/>
        </w:rPr>
        <w:t xml:space="preserve">% </w:t>
      </w:r>
      <w:r w:rsidRPr="00CC43C0">
        <w:rPr>
          <w:rFonts w:cs="Open Sans"/>
          <w:lang w:val="en-US"/>
        </w:rPr>
        <w:t>risk of cancer.</w:t>
      </w:r>
      <w:r w:rsidRPr="00DE7E0E">
        <w:rPr>
          <w:rFonts w:cs="Open Sans"/>
          <w:sz w:val="20"/>
          <w:szCs w:val="20"/>
          <w:vertAlign w:val="superscript"/>
          <w:lang w:val="en-US"/>
        </w:rPr>
        <w:endnoteReference w:id="311"/>
      </w:r>
    </w:p>
    <w:p w:rsidR="004D61D2" w:rsidP="004D61D2" w:rsidRDefault="004D61D2" w14:paraId="2FD6CFFD" w14:textId="77777777">
      <w:pPr>
        <w:rPr>
          <w:rFonts w:cs="Open Sans"/>
        </w:rPr>
      </w:pPr>
      <w:r>
        <w:rPr>
          <w:rFonts w:cs="Open Sans"/>
        </w:rPr>
        <w:t>Specialist medical submitters stated that interventions to address malignancy risks are justified, with APEG stating that ‘</w:t>
      </w:r>
      <w:r w:rsidRPr="004666E9">
        <w:rPr>
          <w:rFonts w:cs="Open Sans"/>
        </w:rPr>
        <w:t>leaving an abnormal gonad in situ might result in harm to the patient, such as developing a malignant tumour in the retained gonad which can result in death’</w:t>
      </w:r>
      <w:r>
        <w:rPr>
          <w:rFonts w:cs="Open Sans"/>
          <w:lang w:val="en-US"/>
        </w:rPr>
        <w:t xml:space="preserve"> and that ‘</w:t>
      </w:r>
      <w:r w:rsidRPr="00CF331E">
        <w:rPr>
          <w:rFonts w:cs="Open Sans"/>
          <w:lang w:val="en-US"/>
        </w:rPr>
        <w:t xml:space="preserve">Gonadal removal related </w:t>
      </w:r>
      <w:r w:rsidRPr="00CF331E">
        <w:rPr>
          <w:rFonts w:cs="Open Sans"/>
          <w:lang w:val="en-US"/>
        </w:rPr>
        <w:lastRenderedPageBreak/>
        <w:t>to malignancy risk is deemed by most to be a medical necessity’</w:t>
      </w:r>
      <w:r>
        <w:rPr>
          <w:rFonts w:cs="Open Sans"/>
          <w:lang w:val="en-US"/>
        </w:rPr>
        <w:t>.</w:t>
      </w:r>
      <w:r w:rsidRPr="0117CC5D">
        <w:rPr>
          <w:rStyle w:val="EndnoteReference"/>
          <w:rFonts w:cs="Open Sans"/>
        </w:rPr>
        <w:endnoteReference w:id="312"/>
      </w:r>
      <w:r>
        <w:rPr>
          <w:rFonts w:cs="Open Sans"/>
        </w:rPr>
        <w:t xml:space="preserve"> A</w:t>
      </w:r>
      <w:r w:rsidRPr="00832D3B">
        <w:rPr>
          <w:rFonts w:cs="Open Sans"/>
        </w:rPr>
        <w:t xml:space="preserve"> </w:t>
      </w:r>
      <w:r>
        <w:rPr>
          <w:rFonts w:cs="Open Sans"/>
        </w:rPr>
        <w:t xml:space="preserve">parent-support group also expressed its view </w:t>
      </w:r>
      <w:r w:rsidRPr="00832D3B">
        <w:rPr>
          <w:rFonts w:cs="Open Sans"/>
        </w:rPr>
        <w:t xml:space="preserve">that </w:t>
      </w:r>
      <w:r>
        <w:rPr>
          <w:rFonts w:cs="Open Sans"/>
        </w:rPr>
        <w:t>risk of cancer</w:t>
      </w:r>
      <w:r w:rsidRPr="00832D3B">
        <w:rPr>
          <w:rFonts w:cs="Open Sans"/>
        </w:rPr>
        <w:t xml:space="preserve"> </w:t>
      </w:r>
      <w:r>
        <w:rPr>
          <w:rFonts w:cs="Open Sans"/>
        </w:rPr>
        <w:t>is</w:t>
      </w:r>
      <w:r w:rsidRPr="00832D3B">
        <w:rPr>
          <w:rFonts w:cs="Open Sans"/>
        </w:rPr>
        <w:t xml:space="preserve"> </w:t>
      </w:r>
      <w:r>
        <w:rPr>
          <w:rFonts w:cs="Open Sans"/>
        </w:rPr>
        <w:t>a reasonable basis for intervention.</w:t>
      </w:r>
      <w:r w:rsidRPr="0117CC5D">
        <w:rPr>
          <w:rStyle w:val="EndnoteReference"/>
          <w:rFonts w:cs="Open Sans"/>
        </w:rPr>
        <w:endnoteReference w:id="313"/>
      </w:r>
    </w:p>
    <w:p w:rsidRPr="00970C5A" w:rsidR="004D61D2" w:rsidP="004D61D2" w:rsidRDefault="004D61D2" w14:paraId="5EF5F1BA" w14:textId="77777777">
      <w:pPr>
        <w:rPr>
          <w:rFonts w:cs="Open Sans"/>
        </w:rPr>
      </w:pPr>
      <w:r>
        <w:rPr>
          <w:rFonts w:cs="Open Sans"/>
        </w:rPr>
        <w:t>IHRA stated that there is</w:t>
      </w:r>
      <w:r w:rsidRPr="00074203">
        <w:rPr>
          <w:rFonts w:cs="Open Sans"/>
          <w:lang w:val="en-US"/>
        </w:rPr>
        <w:t xml:space="preserve"> ‘no wish to reduce the timeliness of</w:t>
      </w:r>
      <w:r>
        <w:rPr>
          <w:rFonts w:cs="Open Sans"/>
          <w:lang w:val="en-US"/>
        </w:rPr>
        <w:t xml:space="preserve"> </w:t>
      </w:r>
      <w:r w:rsidRPr="00074203">
        <w:rPr>
          <w:rFonts w:cs="Open Sans"/>
          <w:lang w:val="en-US"/>
        </w:rPr>
        <w:t>urgent or emergency medical interventions</w:t>
      </w:r>
      <w:r w:rsidRPr="2816C17C" w:rsidDel="009C3BE7">
        <w:rPr>
          <w:rFonts w:cs="Open Sans"/>
          <w:lang w:val="en-US"/>
        </w:rPr>
        <w:t>’</w:t>
      </w:r>
      <w:r w:rsidRPr="7623DED8">
        <w:rPr>
          <w:rFonts w:cs="Open Sans"/>
          <w:lang w:val="en-US"/>
        </w:rPr>
        <w:t>,</w:t>
      </w:r>
      <w:r>
        <w:rPr>
          <w:rFonts w:cs="Open Sans"/>
          <w:lang w:val="en-US"/>
        </w:rPr>
        <w:t xml:space="preserve"> noting that ‘m</w:t>
      </w:r>
      <w:r w:rsidRPr="00BD6727">
        <w:rPr>
          <w:rFonts w:cs="Open Sans"/>
          <w:lang w:val="en-US"/>
        </w:rPr>
        <w:t>anagement of high cancer risks and urinary issues should not be controversial’.</w:t>
      </w:r>
      <w:r w:rsidRPr="0117CC5D">
        <w:rPr>
          <w:rStyle w:val="EndnoteReference"/>
          <w:rFonts w:cs="Open Sans"/>
          <w:lang w:val="en-US"/>
        </w:rPr>
        <w:endnoteReference w:id="314"/>
      </w:r>
      <w:r>
        <w:rPr>
          <w:rFonts w:cs="Open Sans"/>
          <w:lang w:val="en-US"/>
        </w:rPr>
        <w:t xml:space="preserve"> </w:t>
      </w:r>
      <w:r w:rsidRPr="2816C17C">
        <w:rPr>
          <w:rFonts w:cs="Open Sans"/>
          <w:lang w:val="en-US"/>
        </w:rPr>
        <w:t xml:space="preserve">However, </w:t>
      </w:r>
      <w:r w:rsidRPr="2816C17C">
        <w:rPr>
          <w:rFonts w:cs="Open Sans"/>
        </w:rPr>
        <w:t xml:space="preserve">speaking on behalf of </w:t>
      </w:r>
      <w:r>
        <w:rPr>
          <w:rFonts w:cs="Open Sans"/>
        </w:rPr>
        <w:t xml:space="preserve">people </w:t>
      </w:r>
      <w:r w:rsidRPr="00832D3B">
        <w:rPr>
          <w:rFonts w:cs="Open Sans"/>
        </w:rPr>
        <w:t>born with variations in sex characteristics</w:t>
      </w:r>
      <w:r>
        <w:rPr>
          <w:rFonts w:cs="Open Sans"/>
        </w:rPr>
        <w:t>,</w:t>
      </w:r>
      <w:r w:rsidRPr="2816C17C">
        <w:rPr>
          <w:rFonts w:cs="Open Sans"/>
        </w:rPr>
        <w:t xml:space="preserve"> IHRA</w:t>
      </w:r>
      <w:r>
        <w:rPr>
          <w:rFonts w:cs="Open Sans"/>
        </w:rPr>
        <w:t xml:space="preserve"> strongly </w:t>
      </w:r>
      <w:r w:rsidRPr="00AE534B">
        <w:rPr>
          <w:rFonts w:cs="Open Sans"/>
        </w:rPr>
        <w:t xml:space="preserve">rejected rationales for interventions that </w:t>
      </w:r>
      <w:r>
        <w:rPr>
          <w:rFonts w:cs="Open Sans"/>
        </w:rPr>
        <w:t>conflated</w:t>
      </w:r>
      <w:r w:rsidRPr="00AE534B">
        <w:rPr>
          <w:rFonts w:cs="Open Sans"/>
        </w:rPr>
        <w:t xml:space="preserve"> legitimate medical concerns about malignancy with psychosocial rationale</w:t>
      </w:r>
      <w:r>
        <w:rPr>
          <w:rFonts w:cs="Open Sans"/>
        </w:rPr>
        <w:t>s</w:t>
      </w:r>
      <w:r w:rsidRPr="00AE534B">
        <w:rPr>
          <w:rFonts w:cs="Open Sans"/>
        </w:rPr>
        <w:t>.</w:t>
      </w:r>
      <w:r w:rsidRPr="0117CC5D">
        <w:rPr>
          <w:rStyle w:val="EndnoteReference"/>
          <w:rFonts w:cs="Open Sans"/>
        </w:rPr>
        <w:endnoteReference w:id="315"/>
      </w:r>
      <w:r>
        <w:rPr>
          <w:rFonts w:cs="Open Sans"/>
        </w:rPr>
        <w:t xml:space="preserve"> The Senate Committee Report also stated its concern that o</w:t>
      </w:r>
      <w:r w:rsidRPr="00A73FA7">
        <w:rPr>
          <w:rFonts w:cs="Open Sans"/>
        </w:rPr>
        <w:t xml:space="preserve">ther matters such as </w:t>
      </w:r>
      <w:r>
        <w:rPr>
          <w:rFonts w:cs="Open Sans"/>
        </w:rPr>
        <w:t>‘</w:t>
      </w:r>
      <w:r w:rsidRPr="00A73FA7">
        <w:rPr>
          <w:rFonts w:cs="Open Sans"/>
        </w:rPr>
        <w:t>sex of rearing</w:t>
      </w:r>
      <w:r>
        <w:rPr>
          <w:rFonts w:cs="Open Sans"/>
        </w:rPr>
        <w:t>’</w:t>
      </w:r>
      <w:r w:rsidRPr="00A73FA7">
        <w:rPr>
          <w:rFonts w:cs="Open Sans"/>
        </w:rPr>
        <w:t xml:space="preserve"> or</w:t>
      </w:r>
      <w:r>
        <w:rPr>
          <w:rFonts w:cs="Open Sans"/>
        </w:rPr>
        <w:t xml:space="preserve"> ‘</w:t>
      </w:r>
      <w:r w:rsidRPr="00A73FA7">
        <w:rPr>
          <w:rFonts w:cs="Open Sans"/>
        </w:rPr>
        <w:t>likelihood of gender dysphoria</w:t>
      </w:r>
      <w:r>
        <w:rPr>
          <w:rFonts w:cs="Open Sans"/>
        </w:rPr>
        <w:t>’</w:t>
      </w:r>
      <w:r w:rsidRPr="00A73FA7">
        <w:rPr>
          <w:rFonts w:cs="Open Sans"/>
        </w:rPr>
        <w:t xml:space="preserve"> are interpolated into the discussion of</w:t>
      </w:r>
      <w:r>
        <w:rPr>
          <w:rFonts w:cs="Open Sans"/>
        </w:rPr>
        <w:t xml:space="preserve"> </w:t>
      </w:r>
      <w:r w:rsidRPr="00A73FA7">
        <w:rPr>
          <w:rFonts w:cs="Open Sans"/>
        </w:rPr>
        <w:t>cancer risk.</w:t>
      </w:r>
      <w:r w:rsidRPr="0117CC5D">
        <w:rPr>
          <w:rStyle w:val="EndnoteReference"/>
          <w:rFonts w:cs="Open Sans"/>
        </w:rPr>
        <w:endnoteReference w:id="316"/>
      </w:r>
    </w:p>
    <w:p w:rsidRPr="0086676F" w:rsidR="004D61D2" w:rsidP="004D61D2" w:rsidRDefault="004D61D2" w14:paraId="1C475E17" w14:textId="77777777">
      <w:pPr>
        <w:pStyle w:val="Heading4"/>
      </w:pPr>
      <w:r w:rsidRPr="2816C17C">
        <w:t>Guidance materials</w:t>
      </w:r>
      <w:r>
        <w:t xml:space="preserve"> and</w:t>
      </w:r>
      <w:r w:rsidRPr="2816C17C">
        <w:t xml:space="preserve"> Senate</w:t>
      </w:r>
      <w:r>
        <w:t xml:space="preserve"> Committee</w:t>
      </w:r>
      <w:r w:rsidRPr="2816C17C">
        <w:t xml:space="preserve"> </w:t>
      </w:r>
      <w:r>
        <w:t>report</w:t>
      </w:r>
    </w:p>
    <w:p w:rsidR="004D61D2" w:rsidP="004D61D2" w:rsidRDefault="004D61D2" w14:paraId="78F152F2" w14:textId="77777777">
      <w:pPr>
        <w:rPr>
          <w:rFonts w:cs="Open Sans"/>
        </w:rPr>
      </w:pPr>
      <w:r w:rsidRPr="664CBF88">
        <w:rPr>
          <w:rFonts w:cs="Open Sans"/>
        </w:rPr>
        <w:t xml:space="preserve">A detailed exposition of interventions performed to manage cancer risks was considered in the 2013 Senate Community Affairs References Committee Report, </w:t>
      </w:r>
      <w:r w:rsidRPr="664CBF88">
        <w:rPr>
          <w:rFonts w:cs="Open Sans"/>
          <w:i/>
          <w:iCs/>
        </w:rPr>
        <w:t>Involuntary or coerced sterilisation of intersex people in Australia</w:t>
      </w:r>
      <w:r w:rsidRPr="664CBF88">
        <w:rPr>
          <w:rFonts w:cs="Open Sans"/>
        </w:rPr>
        <w:t xml:space="preserve"> (the Senate Committee Report). </w:t>
      </w:r>
    </w:p>
    <w:p w:rsidR="004D61D2" w:rsidP="004D61D2" w:rsidRDefault="004D61D2" w14:paraId="5D080FC3" w14:textId="77777777">
      <w:pPr>
        <w:rPr>
          <w:rFonts w:cs="Open Sans"/>
        </w:rPr>
      </w:pPr>
      <w:r>
        <w:rPr>
          <w:rFonts w:cs="Open Sans"/>
        </w:rPr>
        <w:t>T</w:t>
      </w:r>
      <w:r w:rsidRPr="664CBF88">
        <w:rPr>
          <w:rFonts w:cs="Open Sans"/>
        </w:rPr>
        <w:t>he Senate Committee Report</w:t>
      </w:r>
      <w:r>
        <w:rPr>
          <w:rFonts w:cs="Open Sans"/>
        </w:rPr>
        <w:t xml:space="preserve"> stated that whether someone with a variation in sex characteristics is considered </w:t>
      </w:r>
      <w:r w:rsidRPr="00EC7369">
        <w:rPr>
          <w:rFonts w:cs="Open Sans"/>
        </w:rPr>
        <w:t>fertile</w:t>
      </w:r>
      <w:r>
        <w:rPr>
          <w:rFonts w:cs="Open Sans"/>
        </w:rPr>
        <w:t xml:space="preserve"> </w:t>
      </w:r>
      <w:r w:rsidRPr="00EC7369">
        <w:rPr>
          <w:rFonts w:cs="Open Sans"/>
        </w:rPr>
        <w:t>depends on the type of variation a person has</w:t>
      </w:r>
      <w:r>
        <w:rPr>
          <w:rFonts w:cs="Open Sans"/>
        </w:rPr>
        <w:t>,</w:t>
      </w:r>
      <w:r w:rsidRPr="00EC7369">
        <w:rPr>
          <w:rFonts w:cs="Open Sans"/>
        </w:rPr>
        <w:t xml:space="preserve"> as well as</w:t>
      </w:r>
      <w:r w:rsidRPr="2816C17C" w:rsidDel="00EC7369">
        <w:rPr>
          <w:rFonts w:cs="Open Sans"/>
        </w:rPr>
        <w:t xml:space="preserve"> </w:t>
      </w:r>
      <w:r w:rsidRPr="00EC7369">
        <w:rPr>
          <w:rFonts w:cs="Open Sans"/>
        </w:rPr>
        <w:t>the specifics of</w:t>
      </w:r>
      <w:r>
        <w:rPr>
          <w:rFonts w:cs="Open Sans"/>
        </w:rPr>
        <w:t xml:space="preserve"> </w:t>
      </w:r>
      <w:r w:rsidRPr="00EC7369">
        <w:rPr>
          <w:rFonts w:cs="Open Sans"/>
        </w:rPr>
        <w:t xml:space="preserve">their case. Removal of gonads in </w:t>
      </w:r>
      <w:r>
        <w:rPr>
          <w:rFonts w:cs="Open Sans"/>
        </w:rPr>
        <w:t xml:space="preserve">some </w:t>
      </w:r>
      <w:r w:rsidRPr="00EC7369">
        <w:rPr>
          <w:rFonts w:cs="Open Sans"/>
        </w:rPr>
        <w:t>cases would not be sterilising, because the person</w:t>
      </w:r>
      <w:r>
        <w:rPr>
          <w:rFonts w:cs="Open Sans"/>
        </w:rPr>
        <w:t xml:space="preserve"> </w:t>
      </w:r>
      <w:r w:rsidRPr="00EC7369">
        <w:rPr>
          <w:rFonts w:cs="Open Sans"/>
        </w:rPr>
        <w:t xml:space="preserve">would not be fertile in the first place. In </w:t>
      </w:r>
      <w:r>
        <w:rPr>
          <w:rFonts w:cs="Open Sans"/>
        </w:rPr>
        <w:t xml:space="preserve">other </w:t>
      </w:r>
      <w:r w:rsidRPr="00EC7369">
        <w:rPr>
          <w:rFonts w:cs="Open Sans"/>
        </w:rPr>
        <w:t>cases, however, gonads may be fertile,</w:t>
      </w:r>
      <w:r>
        <w:rPr>
          <w:rFonts w:cs="Open Sans"/>
        </w:rPr>
        <w:t xml:space="preserve"> </w:t>
      </w:r>
      <w:r w:rsidRPr="00EC7369">
        <w:rPr>
          <w:rFonts w:cs="Open Sans"/>
        </w:rPr>
        <w:t>or may contain tissue that could allow fertility as a result of future advances in</w:t>
      </w:r>
      <w:r>
        <w:rPr>
          <w:rFonts w:cs="Open Sans"/>
        </w:rPr>
        <w:t xml:space="preserve"> </w:t>
      </w:r>
      <w:r w:rsidRPr="00AD390E">
        <w:rPr>
          <w:rFonts w:cs="Open Sans"/>
        </w:rPr>
        <w:t xml:space="preserve">medicine. </w:t>
      </w:r>
      <w:r>
        <w:rPr>
          <w:rFonts w:cs="Open Sans"/>
        </w:rPr>
        <w:t>The Senate Committee Report observed that, a</w:t>
      </w:r>
      <w:r w:rsidRPr="00AD390E">
        <w:rPr>
          <w:rFonts w:cs="Open Sans"/>
        </w:rPr>
        <w:t>s some decisions to remove gonads are made shortly after birth, this</w:t>
      </w:r>
      <w:r>
        <w:rPr>
          <w:rFonts w:cs="Open Sans"/>
        </w:rPr>
        <w:t xml:space="preserve"> </w:t>
      </w:r>
      <w:r w:rsidRPr="00AD390E">
        <w:rPr>
          <w:rFonts w:cs="Open Sans"/>
        </w:rPr>
        <w:t>means removal occurs 20 to 40 years before the person might seek to have children—a very long period over which to predict what advances in medicine might occur.</w:t>
      </w:r>
      <w:r w:rsidRPr="0117CC5D">
        <w:rPr>
          <w:rStyle w:val="EndnoteReference"/>
          <w:rFonts w:cs="Open Sans"/>
        </w:rPr>
        <w:endnoteReference w:id="317"/>
      </w:r>
      <w:r>
        <w:rPr>
          <w:rFonts w:cs="Open Sans"/>
        </w:rPr>
        <w:t xml:space="preserve"> </w:t>
      </w:r>
    </w:p>
    <w:p w:rsidR="004D61D2" w:rsidP="004D61D2" w:rsidRDefault="004D61D2" w14:paraId="1951A3CD" w14:textId="77777777">
      <w:pPr>
        <w:rPr>
          <w:rFonts w:cs="Open Sans"/>
        </w:rPr>
      </w:pPr>
      <w:r>
        <w:rPr>
          <w:rFonts w:cs="Open Sans"/>
        </w:rPr>
        <w:t>T</w:t>
      </w:r>
      <w:r w:rsidRPr="00DC1B8A">
        <w:rPr>
          <w:rFonts w:cs="Open Sans"/>
        </w:rPr>
        <w:t>he 2006 Consensus Statement supports interventions in some cases to mitigate cancer risks and gives some detail about the nature and magnitude of those risks</w:t>
      </w:r>
      <w:r w:rsidRPr="00DC1B8A" w:rsidDel="00DC1B8A">
        <w:rPr>
          <w:rFonts w:cs="Open Sans"/>
        </w:rPr>
        <w:t xml:space="preserve"> </w:t>
      </w:r>
      <w:r>
        <w:rPr>
          <w:rFonts w:cs="Open Sans"/>
        </w:rPr>
        <w:t>across different variations and recommendations for appropriate treatment.</w:t>
      </w:r>
      <w:r w:rsidRPr="0117CC5D">
        <w:rPr>
          <w:rStyle w:val="EndnoteReference"/>
          <w:rFonts w:cs="Open Sans"/>
        </w:rPr>
        <w:endnoteReference w:id="318"/>
      </w:r>
      <w:r>
        <w:rPr>
          <w:rFonts w:cs="Open Sans"/>
        </w:rPr>
        <w:t xml:space="preserve"> Treatments range from doing nothing, to monitoring, through to gonadectomy </w:t>
      </w:r>
      <w:r>
        <w:rPr>
          <w:rFonts w:cs="Open Sans"/>
        </w:rPr>
        <w:lastRenderedPageBreak/>
        <w:t xml:space="preserve">for the majority of variations. For a few, the recommendation is listed as ‘unresolved’. </w:t>
      </w:r>
    </w:p>
    <w:p w:rsidR="004D61D2" w:rsidP="004D61D2" w:rsidRDefault="004D61D2" w14:paraId="6C05C1E4" w14:textId="77777777">
      <w:pPr>
        <w:rPr>
          <w:rFonts w:cs="Open Sans"/>
        </w:rPr>
      </w:pPr>
      <w:r>
        <w:rPr>
          <w:rFonts w:cs="Open Sans"/>
        </w:rPr>
        <w:t>The Commission notes that recommendations for action have changed between the 2006 Consensus Statement and the 2016 update. For example, the 2006 version recommends gonadectomy for partial androgen insensitivity syndrome (PAIS) non-scrotal, while in the 2016 update, monitoring is recommended.</w:t>
      </w:r>
      <w:r w:rsidRPr="0117CC5D">
        <w:rPr>
          <w:rStyle w:val="EndnoteReference"/>
          <w:rFonts w:cs="Open Sans"/>
        </w:rPr>
        <w:endnoteReference w:id="319"/>
      </w:r>
      <w:r>
        <w:rPr>
          <w:rFonts w:cs="Open Sans"/>
        </w:rPr>
        <w:t xml:space="preserve"> </w:t>
      </w:r>
      <w:r w:rsidRPr="00042F72">
        <w:rPr>
          <w:rFonts w:cs="Open Sans"/>
        </w:rPr>
        <w:t>Monitoring is more consistent with the Precautionary principle.</w:t>
      </w:r>
    </w:p>
    <w:p w:rsidRPr="007859E9" w:rsidR="004D61D2" w:rsidP="004D61D2" w:rsidRDefault="004D61D2" w14:paraId="33EC408A" w14:textId="77777777">
      <w:pPr>
        <w:pStyle w:val="Heading4"/>
      </w:pPr>
      <w:r>
        <w:t>Risk of cancer and medical interventions modifying sex characteristics</w:t>
      </w:r>
    </w:p>
    <w:p w:rsidR="004D61D2" w:rsidP="004D61D2" w:rsidRDefault="004D61D2" w14:paraId="0974B997" w14:textId="41693AD0">
      <w:pPr>
        <w:rPr>
          <w:rFonts w:cs="Open Sans"/>
        </w:rPr>
      </w:pPr>
      <w:r>
        <w:rPr>
          <w:rFonts w:cs="Open Sans"/>
        </w:rPr>
        <w:t xml:space="preserve">For an intervention to be characterised as necessary to address a serious risk to physical health, </w:t>
      </w:r>
      <w:r w:rsidRPr="00A4450E">
        <w:rPr>
          <w:rFonts w:cs="Open Sans"/>
        </w:rPr>
        <w:t>the intervention must be</w:t>
      </w:r>
    </w:p>
    <w:p w:rsidRPr="0070022E" w:rsidR="004D61D2" w:rsidP="002F7D27" w:rsidRDefault="004D61D2" w14:paraId="5E0085F5" w14:textId="77777777">
      <w:pPr>
        <w:pStyle w:val="ListParagraph"/>
        <w:numPr>
          <w:ilvl w:val="0"/>
          <w:numId w:val="47"/>
        </w:numPr>
        <w:spacing w:before="0" w:after="160" w:line="259" w:lineRule="auto"/>
        <w:contextualSpacing/>
        <w:rPr>
          <w:rFonts w:cs="Open Sans"/>
        </w:rPr>
      </w:pPr>
      <w:r>
        <w:rPr>
          <w:rFonts w:cs="Open Sans"/>
        </w:rPr>
        <w:t xml:space="preserve">needed to address a </w:t>
      </w:r>
      <w:r w:rsidRPr="0070022E">
        <w:rPr>
          <w:rFonts w:cs="Open Sans"/>
        </w:rPr>
        <w:t>serious risk to the individual</w:t>
      </w:r>
      <w:r>
        <w:rPr>
          <w:rFonts w:cs="Open Sans"/>
        </w:rPr>
        <w:t>’</w:t>
      </w:r>
      <w:r w:rsidRPr="0070022E">
        <w:rPr>
          <w:rFonts w:cs="Open Sans"/>
        </w:rPr>
        <w:t>s physical health</w:t>
      </w:r>
    </w:p>
    <w:p w:rsidRPr="0070022E" w:rsidR="004D61D2" w:rsidP="002F7D27" w:rsidRDefault="004D61D2" w14:paraId="551FF95F" w14:textId="121F8CCE">
      <w:pPr>
        <w:pStyle w:val="ListParagraph"/>
        <w:numPr>
          <w:ilvl w:val="0"/>
          <w:numId w:val="47"/>
        </w:numPr>
        <w:spacing w:before="0" w:after="160" w:line="259" w:lineRule="auto"/>
        <w:contextualSpacing/>
        <w:rPr>
          <w:rFonts w:cs="Open Sans"/>
        </w:rPr>
      </w:pPr>
      <w:r w:rsidRPr="0070022E">
        <w:rPr>
          <w:rFonts w:cs="Open Sans"/>
        </w:rPr>
        <w:t>needed before the person is old enough to consent (or otherwise in a position to consent)</w:t>
      </w:r>
    </w:p>
    <w:p w:rsidRPr="0070022E" w:rsidR="004D61D2" w:rsidP="002F7D27" w:rsidRDefault="004D61D2" w14:paraId="46AE8488" w14:textId="77777777">
      <w:pPr>
        <w:pStyle w:val="ListParagraph"/>
        <w:numPr>
          <w:ilvl w:val="0"/>
          <w:numId w:val="47"/>
        </w:numPr>
        <w:spacing w:before="0" w:after="160" w:line="259" w:lineRule="auto"/>
        <w:contextualSpacing/>
        <w:rPr>
          <w:rFonts w:cs="Open Sans"/>
        </w:rPr>
      </w:pPr>
      <w:r w:rsidRPr="0070022E">
        <w:rPr>
          <w:rFonts w:cs="Open Sans"/>
        </w:rPr>
        <w:t>a proportionate</w:t>
      </w:r>
      <w:r>
        <w:rPr>
          <w:rFonts w:cs="Open Sans"/>
        </w:rPr>
        <w:t xml:space="preserve"> </w:t>
      </w:r>
      <w:r w:rsidRPr="0070022E">
        <w:rPr>
          <w:rFonts w:cs="Open Sans"/>
        </w:rPr>
        <w:t>intervention</w:t>
      </w:r>
      <w:r>
        <w:rPr>
          <w:rFonts w:cs="Open Sans"/>
        </w:rPr>
        <w:t xml:space="preserve">, including being the least intrusive option. </w:t>
      </w:r>
    </w:p>
    <w:p w:rsidRPr="004E01D7" w:rsidR="004D61D2" w:rsidP="004D61D2" w:rsidRDefault="004D61D2" w14:paraId="301F3923" w14:textId="77777777">
      <w:pPr>
        <w:rPr>
          <w:rFonts w:cs="Open Sans"/>
        </w:rPr>
      </w:pPr>
      <w:r w:rsidRPr="664CBF88">
        <w:rPr>
          <w:rFonts w:cs="Open Sans"/>
        </w:rPr>
        <w:t>It is not controversial that surgical intervention may be required to mitigate the risk of cancer developing, where the risk of cancer is high and the development is imminent. However, there are other cases where the risk of cancer can be managed through less intrusive means, such as by careful monitoring of the situation. Invasive, irreversible intervention, such as gonadectomy</w:t>
      </w:r>
      <w:r>
        <w:rPr>
          <w:rFonts w:cs="Open Sans"/>
        </w:rPr>
        <w:t>,</w:t>
      </w:r>
      <w:r w:rsidRPr="664CBF88">
        <w:rPr>
          <w:rFonts w:cs="Open Sans"/>
        </w:rPr>
        <w:t xml:space="preserve"> to address risk of malignancy in these circumstances is more controversial. Aside from concerns about whether the surgery is needed, intervention is contested as it frequently involves gonadectomy, thus foreclosing future fertility. </w:t>
      </w:r>
    </w:p>
    <w:p w:rsidR="004D61D2" w:rsidP="004D61D2" w:rsidRDefault="004D61D2" w14:paraId="38DFC47D" w14:textId="77777777">
      <w:pPr>
        <w:rPr>
          <w:rFonts w:cs="Open Sans"/>
        </w:rPr>
      </w:pPr>
      <w:r>
        <w:rPr>
          <w:rFonts w:cs="Open Sans"/>
        </w:rPr>
        <w:t>Assessing</w:t>
      </w:r>
      <w:r w:rsidRPr="2816C17C" w:rsidDel="00E04B17">
        <w:rPr>
          <w:rFonts w:cs="Open Sans"/>
        </w:rPr>
        <w:t xml:space="preserve"> </w:t>
      </w:r>
      <w:r>
        <w:rPr>
          <w:rFonts w:cs="Open Sans"/>
        </w:rPr>
        <w:t xml:space="preserve">whether a medical intervention to prevent malignancy warrants removal of gonadal tissue should be informed by </w:t>
      </w:r>
      <w:r w:rsidRPr="00E04B17">
        <w:rPr>
          <w:rFonts w:cs="Open Sans"/>
        </w:rPr>
        <w:t xml:space="preserve">the magnitude of the risk </w:t>
      </w:r>
      <w:r>
        <w:rPr>
          <w:rFonts w:cs="Open Sans"/>
        </w:rPr>
        <w:t xml:space="preserve">of development of cancerous tissue. That is, whether there is a serious risk to the individual’s physical health. Understanding of malignancy risk has evolved, as cited by APEG in relation to approaches to gonadectomies for Androgen Insensitivity Syndrome. Likewise, APEG stated that the approach to dealing with </w:t>
      </w:r>
      <w:r w:rsidRPr="004B32F8">
        <w:rPr>
          <w:rFonts w:cs="Open Sans"/>
        </w:rPr>
        <w:t>children with 17 beta HSD raised as females,</w:t>
      </w:r>
      <w:r>
        <w:rPr>
          <w:rFonts w:cs="Open Sans"/>
        </w:rPr>
        <w:t xml:space="preserve"> has evolved with the leaving of gonads in situ, rather than performing gonadectomies.</w:t>
      </w:r>
      <w:r w:rsidRPr="0117CC5D">
        <w:rPr>
          <w:rStyle w:val="EndnoteReference"/>
          <w:rFonts w:cs="Open Sans"/>
        </w:rPr>
        <w:endnoteReference w:id="320"/>
      </w:r>
      <w:r w:rsidRPr="00C23C0E">
        <w:rPr>
          <w:rFonts w:cs="Open Sans"/>
          <w:sz w:val="20"/>
          <w:szCs w:val="20"/>
        </w:rPr>
        <w:t xml:space="preserve"> </w:t>
      </w:r>
    </w:p>
    <w:p w:rsidR="004D61D2" w:rsidP="004D61D2" w:rsidRDefault="004D61D2" w14:paraId="7B81C1E7" w14:textId="77777777">
      <w:pPr>
        <w:rPr>
          <w:rFonts w:cs="Open Sans"/>
        </w:rPr>
      </w:pPr>
      <w:r>
        <w:rPr>
          <w:rFonts w:cs="Open Sans"/>
        </w:rPr>
        <w:t xml:space="preserve">The Commission acknowledges the guidance provided in the 2006 Consensus Statement and the evolution of recommendations around appropriate </w:t>
      </w:r>
      <w:r>
        <w:rPr>
          <w:rFonts w:cs="Open Sans"/>
        </w:rPr>
        <w:lastRenderedPageBreak/>
        <w:t xml:space="preserve">interventions between then and the 2016 update. However, there remains </w:t>
      </w:r>
      <w:r w:rsidRPr="2816C17C">
        <w:rPr>
          <w:rFonts w:cs="Open Sans"/>
        </w:rPr>
        <w:t xml:space="preserve">a need for better data to underpin cancer risk assessments. </w:t>
      </w:r>
      <w:r>
        <w:rPr>
          <w:rFonts w:cs="Open Sans"/>
        </w:rPr>
        <w:t xml:space="preserve">Guidance should include </w:t>
      </w:r>
      <w:r w:rsidRPr="2816C17C">
        <w:rPr>
          <w:rFonts w:cs="Open Sans"/>
        </w:rPr>
        <w:t>more explicit discussion of the limitation</w:t>
      </w:r>
      <w:r>
        <w:rPr>
          <w:rFonts w:cs="Open Sans"/>
        </w:rPr>
        <w:t>s</w:t>
      </w:r>
      <w:r w:rsidRPr="2816C17C">
        <w:rPr>
          <w:rFonts w:cs="Open Sans"/>
        </w:rPr>
        <w:t xml:space="preserve"> of current data and associated </w:t>
      </w:r>
      <w:r>
        <w:rPr>
          <w:rFonts w:cs="Open Sans"/>
        </w:rPr>
        <w:t xml:space="preserve">clinical </w:t>
      </w:r>
      <w:r w:rsidRPr="2816C17C">
        <w:rPr>
          <w:rFonts w:cs="Open Sans"/>
        </w:rPr>
        <w:t>recommendation</w:t>
      </w:r>
      <w:r>
        <w:rPr>
          <w:rFonts w:cs="Open Sans"/>
        </w:rPr>
        <w:t xml:space="preserve">s. </w:t>
      </w:r>
      <w:r w:rsidRPr="2816C17C">
        <w:rPr>
          <w:rFonts w:cs="Open Sans"/>
        </w:rPr>
        <w:t xml:space="preserve">Oversight of all recommendations for interventions may be warranted, given the grave and irreversible nature of some interventions, resulting in infertility. </w:t>
      </w:r>
    </w:p>
    <w:p w:rsidR="004D61D2" w:rsidP="004D61D2" w:rsidRDefault="004D61D2" w14:paraId="3BF8BA99" w14:textId="77777777">
      <w:pPr>
        <w:rPr>
          <w:rFonts w:cs="Open Sans"/>
        </w:rPr>
      </w:pPr>
      <w:r>
        <w:rPr>
          <w:rFonts w:cs="Open Sans"/>
        </w:rPr>
        <w:t xml:space="preserve">The Commission notes the call for personalised risk assessment based on individualised immuno-histological investigations to ensure that the risk assessment is as accurate as possible. Revised guidelines could highlight the need for such investigations prior to formation of any recommendations. </w:t>
      </w:r>
    </w:p>
    <w:p w:rsidR="004D61D2" w:rsidP="004D61D2" w:rsidRDefault="004D61D2" w14:paraId="501B46D7" w14:textId="77777777">
      <w:pPr>
        <w:rPr>
          <w:rFonts w:cs="Open Sans"/>
        </w:rPr>
      </w:pPr>
      <w:r>
        <w:rPr>
          <w:rFonts w:cs="Open Sans"/>
        </w:rPr>
        <w:t xml:space="preserve">The Commission considers that decisions to undertake interventions such as gonadectomies should be premised on robust evidence of preventing unacceptable risk to health.  </w:t>
      </w:r>
    </w:p>
    <w:p w:rsidRPr="004C6726" w:rsidR="004D61D2" w:rsidP="004D61D2" w:rsidRDefault="004D61D2" w14:paraId="417975FB" w14:textId="77777777">
      <w:pPr>
        <w:rPr>
          <w:rFonts w:cs="Open Sans"/>
        </w:rPr>
      </w:pPr>
      <w:r w:rsidRPr="2816C17C">
        <w:rPr>
          <w:rFonts w:cs="Open Sans"/>
        </w:rPr>
        <w:t xml:space="preserve">Interventions to address malignancy may involve gonadectomy, which may have serious human rights implications. </w:t>
      </w:r>
      <w:r>
        <w:rPr>
          <w:rFonts w:cs="Open Sans"/>
        </w:rPr>
        <w:t>W</w:t>
      </w:r>
      <w:r w:rsidRPr="2816C17C">
        <w:rPr>
          <w:rFonts w:cs="Open Sans"/>
        </w:rPr>
        <w:t>hether a person with a variation in sex characteristic</w:t>
      </w:r>
      <w:r>
        <w:rPr>
          <w:rFonts w:cs="Open Sans"/>
        </w:rPr>
        <w:t>s</w:t>
      </w:r>
      <w:r w:rsidRPr="2816C17C">
        <w:rPr>
          <w:rFonts w:cs="Open Sans"/>
        </w:rPr>
        <w:t xml:space="preserve"> is fertile or not depends on the type of variation, </w:t>
      </w:r>
      <w:r>
        <w:rPr>
          <w:rFonts w:cs="Open Sans"/>
        </w:rPr>
        <w:t>and other</w:t>
      </w:r>
      <w:r w:rsidRPr="2816C17C">
        <w:rPr>
          <w:rFonts w:cs="Open Sans"/>
        </w:rPr>
        <w:t xml:space="preserve"> specifics of their case. Removal of gonads in some cases would not be sterilising, because they would not be fertile in the first place. In other cases, however, gonads may be fertile, or may contain tissue that could allow fertility as a result of future advances in medicine. Thus, the consequences of gonadectomy for some is </w:t>
      </w:r>
      <w:r>
        <w:rPr>
          <w:rFonts w:cs="Open Sans"/>
        </w:rPr>
        <w:t xml:space="preserve">serious. </w:t>
      </w:r>
    </w:p>
    <w:p w:rsidR="004D61D2" w:rsidP="004D61D2" w:rsidRDefault="004D61D2" w14:paraId="6BAFE9C9" w14:textId="77777777">
      <w:pPr>
        <w:rPr>
          <w:rFonts w:cs="Open Sans"/>
        </w:rPr>
      </w:pPr>
      <w:r w:rsidRPr="664CBF88">
        <w:rPr>
          <w:rFonts w:cs="Open Sans"/>
        </w:rPr>
        <w:t>Another factor relevant to the assessment of risk is when the potential malignancy may manifest itself, and therefore whether the intervention is needed before the person is old enough to consent, (or otherwise in a position to consent). In some cases, significant risk is present from an early age, while in others it is unlikely to manifest until puberty.</w:t>
      </w:r>
    </w:p>
    <w:p w:rsidR="004D61D2" w:rsidP="004D61D2" w:rsidRDefault="004D61D2" w14:paraId="56A8A86C" w14:textId="77777777">
      <w:pPr>
        <w:rPr>
          <w:rFonts w:cs="Open Sans"/>
        </w:rPr>
      </w:pPr>
      <w:r w:rsidRPr="664CBF88">
        <w:rPr>
          <w:rFonts w:cs="Open Sans"/>
        </w:rPr>
        <w:t xml:space="preserve">Where the risk is unlikely to </w:t>
      </w:r>
      <w:r w:rsidRPr="00FC7AA3">
        <w:rPr>
          <w:rFonts w:cs="Open Sans"/>
        </w:rPr>
        <w:t xml:space="preserve">arise until later infancy or puberty, the Commission considers there are strong grounds to defer any intervention to preserve the possibility of fertility – consistent with the Precautionary principle. Deferral where safe to do so is consistent with human rights obligations so that children are in a better position to make decisions for themselves or actively contribute to </w:t>
      </w:r>
      <w:r w:rsidRPr="00FC7AA3">
        <w:rPr>
          <w:rFonts w:cs="Open Sans"/>
        </w:rPr>
        <w:lastRenderedPageBreak/>
        <w:t>those decisions about serious medical interventions on their bodies – consistent with the Children’s agency principle.</w:t>
      </w:r>
      <w:r w:rsidRPr="664CBF88">
        <w:rPr>
          <w:rFonts w:cs="Open Sans"/>
        </w:rPr>
        <w:t xml:space="preserve"> </w:t>
      </w:r>
    </w:p>
    <w:p w:rsidR="004D61D2" w:rsidP="004D61D2" w:rsidRDefault="004D61D2" w14:paraId="1F52205C" w14:textId="77777777">
      <w:pPr>
        <w:rPr>
          <w:rFonts w:cs="Open Sans"/>
        </w:rPr>
      </w:pPr>
      <w:r>
        <w:rPr>
          <w:rFonts w:cs="Open Sans"/>
        </w:rPr>
        <w:t xml:space="preserve">To be characterised as an intervention necessary to address a serious risk to physical health, the intervention </w:t>
      </w:r>
      <w:r w:rsidRPr="00954136">
        <w:rPr>
          <w:rFonts w:cs="Open Sans"/>
        </w:rPr>
        <w:t>must be proportionate</w:t>
      </w:r>
      <w:r>
        <w:rPr>
          <w:rFonts w:cs="Open Sans"/>
        </w:rPr>
        <w:t xml:space="preserve">, including being the </w:t>
      </w:r>
      <w:r w:rsidRPr="00954136">
        <w:rPr>
          <w:rFonts w:cs="Open Sans"/>
        </w:rPr>
        <w:t>least intrusive intervention</w:t>
      </w:r>
      <w:r>
        <w:rPr>
          <w:rFonts w:cs="Open Sans"/>
        </w:rPr>
        <w:t xml:space="preserve">. The </w:t>
      </w:r>
      <w:r w:rsidRPr="664CBF88">
        <w:rPr>
          <w:rFonts w:cs="Open Sans"/>
        </w:rPr>
        <w:t xml:space="preserve">2006 </w:t>
      </w:r>
      <w:r>
        <w:rPr>
          <w:rFonts w:cs="Open Sans"/>
        </w:rPr>
        <w:t>Consensus Statement provides information on the variability of malignancy risk across different variations and recommendations for appropriate treatment.</w:t>
      </w:r>
      <w:r w:rsidRPr="0117CC5D">
        <w:rPr>
          <w:rStyle w:val="EndnoteReference"/>
          <w:rFonts w:cs="Open Sans"/>
        </w:rPr>
        <w:endnoteReference w:id="321"/>
      </w:r>
      <w:r w:rsidRPr="00D17C67">
        <w:rPr>
          <w:rFonts w:cs="Open Sans"/>
          <w:sz w:val="20"/>
          <w:szCs w:val="20"/>
        </w:rPr>
        <w:t xml:space="preserve"> </w:t>
      </w:r>
      <w:r>
        <w:rPr>
          <w:rFonts w:cs="Open Sans"/>
        </w:rPr>
        <w:t>Treatments range from doing nothing, to, in other cases, monitoring. The most frequent recommendation is for gonadectomy.</w:t>
      </w:r>
    </w:p>
    <w:p w:rsidRPr="00EB5525" w:rsidR="004D61D2" w:rsidP="004D61D2" w:rsidRDefault="004D61D2" w14:paraId="2CB03D31" w14:textId="77777777">
      <w:pPr>
        <w:rPr>
          <w:rFonts w:cs="Open Sans"/>
        </w:rPr>
      </w:pPr>
      <w:r w:rsidRPr="2816C17C">
        <w:rPr>
          <w:rFonts w:cs="Open Sans"/>
        </w:rPr>
        <w:t xml:space="preserve">Where the option to effectively monitor the gonads exists, that should be preferred to </w:t>
      </w:r>
      <w:r>
        <w:rPr>
          <w:rFonts w:cs="Open Sans"/>
        </w:rPr>
        <w:t xml:space="preserve">early </w:t>
      </w:r>
      <w:r w:rsidRPr="2816C17C">
        <w:rPr>
          <w:rFonts w:cs="Open Sans"/>
        </w:rPr>
        <w:t>gonadectomy. From a human rights stance, the less invasive option, that allows for the maxim</w:t>
      </w:r>
      <w:r w:rsidRPr="5F726F67">
        <w:rPr>
          <w:rFonts w:cs="Open Sans"/>
        </w:rPr>
        <w:t>um</w:t>
      </w:r>
      <w:r w:rsidRPr="2816C17C">
        <w:rPr>
          <w:rFonts w:cs="Open Sans"/>
        </w:rPr>
        <w:t xml:space="preserve"> enjoyment of human rights</w:t>
      </w:r>
      <w:r>
        <w:rPr>
          <w:rFonts w:cs="Open Sans"/>
        </w:rPr>
        <w:t xml:space="preserve"> (including retaining the </w:t>
      </w:r>
      <w:r w:rsidRPr="2816C17C">
        <w:rPr>
          <w:rFonts w:cs="Open Sans"/>
        </w:rPr>
        <w:t>potential for fertility</w:t>
      </w:r>
      <w:r>
        <w:rPr>
          <w:rFonts w:cs="Open Sans"/>
        </w:rPr>
        <w:t xml:space="preserve"> and for informed personal decision making), </w:t>
      </w:r>
      <w:r w:rsidRPr="2816C17C">
        <w:rPr>
          <w:rFonts w:cs="Open Sans"/>
        </w:rPr>
        <w:t xml:space="preserve">is always preferred. Monitoring still allows for gonadectomy to occur at a future time where the risk can no longer be safely monitored. It also allows for exploration of alternatives to gonadectomy that may develop in the meantime. </w:t>
      </w:r>
    </w:p>
    <w:p w:rsidRPr="00A341F8" w:rsidR="004D61D2" w:rsidP="004D61D2" w:rsidRDefault="004D61D2" w14:paraId="00285D7E" w14:textId="527FEECC">
      <w:pPr>
        <w:rPr>
          <w:rFonts w:cs="Open Sans"/>
        </w:rPr>
      </w:pPr>
      <w:r>
        <w:rPr>
          <w:rFonts w:cs="Open Sans"/>
        </w:rPr>
        <w:t xml:space="preserve">The Senate Committee Report expressed concern about the risk of gender-based rationales ‘being </w:t>
      </w:r>
      <w:r w:rsidRPr="00CE6FC4">
        <w:rPr>
          <w:rFonts w:cs="Open Sans"/>
        </w:rPr>
        <w:t>interpolated into</w:t>
      </w:r>
      <w:r>
        <w:rPr>
          <w:rFonts w:cs="Open Sans"/>
        </w:rPr>
        <w:t xml:space="preserve"> risk of cancer’ to justify interventions.</w:t>
      </w:r>
      <w:r>
        <w:rPr>
          <w:rStyle w:val="EndnoteReference"/>
          <w:rFonts w:cs="Open Sans"/>
        </w:rPr>
        <w:endnoteReference w:id="322"/>
      </w:r>
      <w:r>
        <w:rPr>
          <w:rFonts w:cs="Open Sans"/>
        </w:rPr>
        <w:t xml:space="preserve"> This echoes views expressed by people born with variations in sex characteristics.</w:t>
      </w:r>
    </w:p>
    <w:p w:rsidR="004D61D2" w:rsidP="004D61D2" w:rsidRDefault="004D61D2" w14:paraId="27975256" w14:textId="77777777">
      <w:pPr>
        <w:rPr>
          <w:rFonts w:cs="Open Sans"/>
        </w:rPr>
      </w:pPr>
      <w:r w:rsidRPr="2816C17C">
        <w:rPr>
          <w:rFonts w:cs="Open Sans"/>
        </w:rPr>
        <w:t>Any</w:t>
      </w:r>
      <w:r>
        <w:rPr>
          <w:rFonts w:cs="Open Sans"/>
        </w:rPr>
        <w:t xml:space="preserve"> intervention </w:t>
      </w:r>
      <w:r w:rsidRPr="2816C17C">
        <w:rPr>
          <w:rFonts w:cs="Open Sans"/>
        </w:rPr>
        <w:t>should be</w:t>
      </w:r>
      <w:r>
        <w:rPr>
          <w:rFonts w:cs="Open Sans"/>
        </w:rPr>
        <w:t xml:space="preserve"> based on medical </w:t>
      </w:r>
      <w:r w:rsidRPr="2816C17C">
        <w:rPr>
          <w:rFonts w:cs="Open Sans"/>
        </w:rPr>
        <w:t>necessity, and not on</w:t>
      </w:r>
      <w:r>
        <w:rPr>
          <w:rFonts w:cs="Open Sans"/>
        </w:rPr>
        <w:t xml:space="preserve"> another psychological or gender-based rationale. </w:t>
      </w:r>
    </w:p>
    <w:p w:rsidR="004D61D2" w:rsidP="004D61D2" w:rsidRDefault="004D61D2" w14:paraId="733E837C" w14:textId="77777777">
      <w:pPr>
        <w:rPr>
          <w:rFonts w:cs="Open Sans"/>
        </w:rPr>
      </w:pPr>
      <w:r w:rsidRPr="00533D88">
        <w:rPr>
          <w:rFonts w:cs="Open Sans"/>
        </w:rPr>
        <w:t xml:space="preserve">Some variations in </w:t>
      </w:r>
      <w:r>
        <w:rPr>
          <w:rFonts w:cs="Open Sans"/>
        </w:rPr>
        <w:t>sex characteristics</w:t>
      </w:r>
      <w:r w:rsidRPr="00533D88">
        <w:rPr>
          <w:rFonts w:cs="Open Sans"/>
        </w:rPr>
        <w:t xml:space="preserve"> carry a risk of cancer</w:t>
      </w:r>
      <w:r>
        <w:rPr>
          <w:rFonts w:cs="Open Sans"/>
        </w:rPr>
        <w:t xml:space="preserve">. </w:t>
      </w:r>
      <w:bookmarkStart w:name="_Hlk70955761" w:id="300"/>
      <w:bookmarkStart w:name="_Hlk70689673" w:id="301"/>
      <w:r w:rsidRPr="2816C17C">
        <w:rPr>
          <w:rFonts w:cs="Open Sans"/>
        </w:rPr>
        <w:t xml:space="preserve">Decisions to intervene, such as with the performance of a gonadectomy, must be based on robust evidence of </w:t>
      </w:r>
      <w:r>
        <w:rPr>
          <w:rFonts w:cs="Open Sans"/>
        </w:rPr>
        <w:t xml:space="preserve">unacceptable </w:t>
      </w:r>
      <w:r w:rsidRPr="2816C17C">
        <w:rPr>
          <w:rFonts w:cs="Open Sans"/>
        </w:rPr>
        <w:t>risk</w:t>
      </w:r>
      <w:r>
        <w:rPr>
          <w:rFonts w:cs="Open Sans"/>
        </w:rPr>
        <w:t xml:space="preserve"> of serious harm.</w:t>
      </w:r>
      <w:r w:rsidRPr="2816C17C">
        <w:rPr>
          <w:rFonts w:cs="Open Sans"/>
        </w:rPr>
        <w:t xml:space="preserve"> Where such evidence suggests </w:t>
      </w:r>
      <w:r>
        <w:rPr>
          <w:rFonts w:cs="Open Sans"/>
        </w:rPr>
        <w:t xml:space="preserve">the </w:t>
      </w:r>
      <w:r w:rsidRPr="2816C17C">
        <w:rPr>
          <w:rFonts w:cs="Open Sans"/>
        </w:rPr>
        <w:t xml:space="preserve">risk </w:t>
      </w:r>
      <w:r>
        <w:rPr>
          <w:rFonts w:cs="Open Sans"/>
        </w:rPr>
        <w:t xml:space="preserve">of </w:t>
      </w:r>
      <w:r w:rsidRPr="2816C17C">
        <w:rPr>
          <w:rFonts w:cs="Open Sans"/>
        </w:rPr>
        <w:t xml:space="preserve">malignancy is so high that </w:t>
      </w:r>
      <w:r>
        <w:rPr>
          <w:rFonts w:cs="Open Sans"/>
        </w:rPr>
        <w:t>intervention</w:t>
      </w:r>
      <w:r w:rsidRPr="2816C17C">
        <w:rPr>
          <w:rFonts w:cs="Open Sans"/>
        </w:rPr>
        <w:t xml:space="preserve"> cannot be </w:t>
      </w:r>
      <w:r>
        <w:rPr>
          <w:rFonts w:cs="Open Sans"/>
        </w:rPr>
        <w:t xml:space="preserve">deferred, nor </w:t>
      </w:r>
      <w:r w:rsidRPr="2816C17C">
        <w:rPr>
          <w:rFonts w:cs="Open Sans"/>
        </w:rPr>
        <w:t>effectively monitored,</w:t>
      </w:r>
      <w:r w:rsidRPr="2816C17C" w:rsidDel="0033393C">
        <w:rPr>
          <w:rFonts w:cs="Open Sans"/>
        </w:rPr>
        <w:t xml:space="preserve"> </w:t>
      </w:r>
      <w:r w:rsidRPr="2816C17C">
        <w:rPr>
          <w:rFonts w:cs="Open Sans"/>
        </w:rPr>
        <w:t xml:space="preserve">more invasive intervention may be considered a medical necessity. </w:t>
      </w:r>
    </w:p>
    <w:bookmarkEnd w:id="300"/>
    <w:p w:rsidRPr="00832D3B" w:rsidR="004D61D2" w:rsidP="004D61D2" w:rsidRDefault="004D61D2" w14:paraId="404716E5" w14:textId="77777777">
      <w:pPr>
        <w:rPr>
          <w:rFonts w:cs="Open Sans"/>
        </w:rPr>
      </w:pPr>
      <w:r>
        <w:rPr>
          <w:rFonts w:cs="Open Sans"/>
        </w:rPr>
        <w:t>Intervention in these circumstances achieves the goal of preserving life or promoting health, and thus would me</w:t>
      </w:r>
      <w:r w:rsidRPr="00294943">
        <w:rPr>
          <w:rFonts w:cs="Open Sans"/>
        </w:rPr>
        <w:t>et the standard of medical necessity – as reflected in the Medical necessity principle.</w:t>
      </w:r>
      <w:r w:rsidRPr="00832D3B">
        <w:rPr>
          <w:rFonts w:cs="Open Sans"/>
        </w:rPr>
        <w:t xml:space="preserve"> </w:t>
      </w:r>
      <w:r>
        <w:rPr>
          <w:rFonts w:cs="Open Sans"/>
        </w:rPr>
        <w:t xml:space="preserve">Where, however, effective monitoring is possible, the Commission does not consider that invasive surgery would meet the standard of medical necessity and would not be permissible in the absence of personal consent. </w:t>
      </w:r>
    </w:p>
    <w:p w:rsidR="004D61D2" w:rsidP="004D61D2" w:rsidRDefault="004D61D2" w14:paraId="024629EF" w14:textId="77777777">
      <w:pPr>
        <w:pStyle w:val="Heading3"/>
        <w:spacing w:line="276" w:lineRule="auto"/>
      </w:pPr>
      <w:bookmarkStart w:name="_Toc79596606" w:id="302"/>
      <w:bookmarkStart w:name="_Hlk75945724" w:id="303"/>
      <w:bookmarkStart w:name="_Toc85541433" w:id="304"/>
      <w:bookmarkEnd w:id="301"/>
      <w:r>
        <w:lastRenderedPageBreak/>
        <w:t>Interventions to ‘normalise’ genitalia and other psychosocial rationales</w:t>
      </w:r>
      <w:bookmarkEnd w:id="302"/>
      <w:bookmarkEnd w:id="304"/>
      <w:r>
        <w:t xml:space="preserve"> </w:t>
      </w:r>
    </w:p>
    <w:bookmarkEnd w:id="303"/>
    <w:p w:rsidR="004D61D2" w:rsidP="004D61D2" w:rsidRDefault="004D61D2" w14:paraId="58C36806" w14:textId="77777777">
      <w:pPr>
        <w:rPr>
          <w:rFonts w:cs="Open Sans"/>
        </w:rPr>
      </w:pPr>
      <w:r w:rsidRPr="2816C17C">
        <w:rPr>
          <w:rFonts w:cs="Open Sans"/>
        </w:rPr>
        <w:t xml:space="preserve">The Commission heard from a range of submitters that interventions occur for psychosocial reasons. </w:t>
      </w:r>
      <w:r>
        <w:rPr>
          <w:rFonts w:cs="Open Sans"/>
        </w:rPr>
        <w:t>A ‘psycho</w:t>
      </w:r>
      <w:r w:rsidRPr="2816C17C">
        <w:rPr>
          <w:rFonts w:cs="Open Sans"/>
        </w:rPr>
        <w:t xml:space="preserve">social rationale’ refers to where an intervention </w:t>
      </w:r>
      <w:r>
        <w:rPr>
          <w:rFonts w:cs="Open Sans"/>
        </w:rPr>
        <w:t>is</w:t>
      </w:r>
      <w:r w:rsidRPr="2816C17C">
        <w:rPr>
          <w:rFonts w:cs="Open Sans"/>
        </w:rPr>
        <w:t xml:space="preserve"> undertaken to make an individual’s </w:t>
      </w:r>
      <w:r w:rsidRPr="00B65CF1">
        <w:rPr>
          <w:rFonts w:cs="Open Sans"/>
        </w:rPr>
        <w:t>bod</w:t>
      </w:r>
      <w:r>
        <w:rPr>
          <w:rFonts w:cs="Open Sans"/>
        </w:rPr>
        <w:t>y</w:t>
      </w:r>
      <w:r w:rsidRPr="2816C17C">
        <w:rPr>
          <w:rFonts w:cs="Open Sans"/>
        </w:rPr>
        <w:t xml:space="preserve"> look </w:t>
      </w:r>
      <w:r>
        <w:rPr>
          <w:rFonts w:cs="Open Sans"/>
        </w:rPr>
        <w:t>and function in a</w:t>
      </w:r>
      <w:r w:rsidRPr="00B65CF1">
        <w:rPr>
          <w:rFonts w:cs="Open Sans"/>
        </w:rPr>
        <w:t xml:space="preserve"> </w:t>
      </w:r>
      <w:r w:rsidRPr="2816C17C">
        <w:rPr>
          <w:rFonts w:cs="Open Sans"/>
        </w:rPr>
        <w:t>‘typically’ male or female</w:t>
      </w:r>
      <w:r>
        <w:rPr>
          <w:rFonts w:cs="Open Sans"/>
        </w:rPr>
        <w:t xml:space="preserve"> way</w:t>
      </w:r>
      <w:r w:rsidRPr="00B65CF1">
        <w:rPr>
          <w:rFonts w:cs="Open Sans"/>
        </w:rPr>
        <w:t>.</w:t>
      </w:r>
      <w:r w:rsidRPr="2816C17C">
        <w:rPr>
          <w:rFonts w:cs="Open Sans"/>
        </w:rPr>
        <w:t xml:space="preserve"> These rationales often reflect a presumption that an individual’s womanhood or manhood </w:t>
      </w:r>
      <w:r>
        <w:rPr>
          <w:rFonts w:cs="Open Sans"/>
        </w:rPr>
        <w:t>would be</w:t>
      </w:r>
      <w:r w:rsidRPr="2816C17C">
        <w:rPr>
          <w:rFonts w:cs="Open Sans"/>
        </w:rPr>
        <w:t xml:space="preserve"> challenged by having genitalia that d</w:t>
      </w:r>
      <w:r>
        <w:rPr>
          <w:rFonts w:cs="Open Sans"/>
        </w:rPr>
        <w:t>id</w:t>
      </w:r>
      <w:r w:rsidRPr="2816C17C">
        <w:rPr>
          <w:rFonts w:cs="Open Sans"/>
        </w:rPr>
        <w:t xml:space="preserve"> not match what is expected of that sex. </w:t>
      </w:r>
    </w:p>
    <w:p w:rsidR="004D61D2" w:rsidP="004D61D2" w:rsidRDefault="004D61D2" w14:paraId="5B7AA2D8" w14:textId="77777777">
      <w:pPr>
        <w:rPr>
          <w:rFonts w:cs="Open Sans"/>
        </w:rPr>
      </w:pPr>
      <w:r w:rsidRPr="2816C17C">
        <w:rPr>
          <w:rFonts w:cs="Open Sans"/>
        </w:rPr>
        <w:t xml:space="preserve">Some interventions have been based on psychosocial reasons, to address concerns from clinicians and/or </w:t>
      </w:r>
      <w:r>
        <w:rPr>
          <w:rFonts w:cs="Open Sans"/>
        </w:rPr>
        <w:t>parents</w:t>
      </w:r>
      <w:r w:rsidRPr="2816C17C" w:rsidDel="00564295">
        <w:rPr>
          <w:rFonts w:cs="Open Sans"/>
        </w:rPr>
        <w:t xml:space="preserve"> </w:t>
      </w:r>
      <w:r w:rsidRPr="2816C17C">
        <w:rPr>
          <w:rFonts w:cs="Open Sans"/>
        </w:rPr>
        <w:t>that the child has ‘ambiguous’ sex characteristics. S</w:t>
      </w:r>
      <w:r w:rsidRPr="2816C17C">
        <w:rPr>
          <w:rFonts w:eastAsia="Open Sans" w:cs="Open Sans"/>
          <w:color w:val="333333"/>
        </w:rPr>
        <w:t>ex characteristics that are perceived by some as ‘ambiguous’ or atypical are perceived to cause problems that do not relate to the individual’s physical health.</w:t>
      </w:r>
      <w:r w:rsidRPr="2816C17C">
        <w:rPr>
          <w:rFonts w:cs="Open Sans"/>
        </w:rPr>
        <w:t xml:space="preserve"> Interventions in this instance </w:t>
      </w:r>
      <w:r>
        <w:rPr>
          <w:rFonts w:cs="Open Sans"/>
        </w:rPr>
        <w:t>are</w:t>
      </w:r>
      <w:r w:rsidRPr="2816C17C">
        <w:rPr>
          <w:rFonts w:cs="Open Sans"/>
        </w:rPr>
        <w:t xml:space="preserve"> sought to create more ‘typical’ sex characteristics and facilitate binary sex assignment and consequent gender rearing. </w:t>
      </w:r>
    </w:p>
    <w:p w:rsidR="004D61D2" w:rsidP="004D61D2" w:rsidRDefault="004D61D2" w14:paraId="0AC62232" w14:textId="77777777">
      <w:pPr>
        <w:rPr>
          <w:rFonts w:cs="Open Sans"/>
        </w:rPr>
      </w:pPr>
      <w:r w:rsidRPr="2816C17C">
        <w:rPr>
          <w:rFonts w:cs="Open Sans"/>
        </w:rPr>
        <w:t>Other interventions have occurred not in relation to ambiguous sex assignment, but rather sex characteristics that are considered to adhere to certain traditional notions of how</w:t>
      </w:r>
      <w:r w:rsidRPr="2816C17C" w:rsidDel="00141A7C">
        <w:rPr>
          <w:rFonts w:cs="Open Sans"/>
        </w:rPr>
        <w:t xml:space="preserve"> </w:t>
      </w:r>
      <w:r w:rsidRPr="2816C17C">
        <w:rPr>
          <w:rFonts w:cs="Open Sans"/>
        </w:rPr>
        <w:t xml:space="preserve">male or female genitals should appear. </w:t>
      </w:r>
      <w:r>
        <w:rPr>
          <w:rFonts w:cs="Open Sans"/>
        </w:rPr>
        <w:t>An</w:t>
      </w:r>
      <w:r w:rsidRPr="2816C17C">
        <w:rPr>
          <w:rFonts w:cs="Open Sans"/>
        </w:rPr>
        <w:t xml:space="preserve"> example</w:t>
      </w:r>
      <w:r>
        <w:rPr>
          <w:rFonts w:cs="Open Sans"/>
        </w:rPr>
        <w:t xml:space="preserve"> would be</w:t>
      </w:r>
      <w:r w:rsidRPr="2816C17C">
        <w:rPr>
          <w:rFonts w:cs="Open Sans"/>
        </w:rPr>
        <w:t xml:space="preserve"> </w:t>
      </w:r>
      <w:r>
        <w:rPr>
          <w:rFonts w:cs="Open Sans"/>
        </w:rPr>
        <w:t xml:space="preserve">a </w:t>
      </w:r>
      <w:r w:rsidRPr="2816C17C">
        <w:rPr>
          <w:rFonts w:cs="Open Sans"/>
        </w:rPr>
        <w:t xml:space="preserve">clitoris that </w:t>
      </w:r>
      <w:r>
        <w:rPr>
          <w:rFonts w:cs="Open Sans"/>
        </w:rPr>
        <w:t>is</w:t>
      </w:r>
      <w:r w:rsidRPr="2816C17C">
        <w:rPr>
          <w:rFonts w:cs="Open Sans"/>
        </w:rPr>
        <w:t xml:space="preserve"> considered too large, such as with some girls with C</w:t>
      </w:r>
      <w:r>
        <w:rPr>
          <w:rFonts w:cs="Open Sans"/>
        </w:rPr>
        <w:t>AH.</w:t>
      </w:r>
      <w:r w:rsidRPr="2816C17C">
        <w:rPr>
          <w:rFonts w:cs="Open Sans"/>
        </w:rPr>
        <w:t xml:space="preserve"> </w:t>
      </w:r>
    </w:p>
    <w:p w:rsidRPr="004436F1" w:rsidR="004D61D2" w:rsidP="004D61D2" w:rsidRDefault="004D61D2" w14:paraId="6E1A96F4" w14:textId="77777777">
      <w:pPr>
        <w:rPr>
          <w:rFonts w:cs="Open Sans"/>
        </w:rPr>
      </w:pPr>
      <w:r w:rsidRPr="2816C17C">
        <w:rPr>
          <w:rFonts w:cs="Open Sans"/>
        </w:rPr>
        <w:t xml:space="preserve">Arguments in support of such rationales advanced the view that children who did not have interventions to make their sex characteristics more typical were at risk of potential familial rejection and bullying-isolation among their peers. </w:t>
      </w:r>
    </w:p>
    <w:p w:rsidRPr="004436F1" w:rsidR="004D61D2" w:rsidP="004D61D2" w:rsidRDefault="004D61D2" w14:paraId="0D1DF0BA" w14:textId="77777777">
      <w:pPr>
        <w:rPr>
          <w:rFonts w:cs="Open Sans"/>
        </w:rPr>
      </w:pPr>
      <w:r w:rsidRPr="2816C17C">
        <w:rPr>
          <w:rFonts w:cs="Open Sans"/>
        </w:rPr>
        <w:t xml:space="preserve">These arguments were strongly opposed </w:t>
      </w:r>
      <w:r>
        <w:rPr>
          <w:rFonts w:cs="Open Sans"/>
        </w:rPr>
        <w:t>by people with</w:t>
      </w:r>
      <w:r w:rsidRPr="2816C17C">
        <w:rPr>
          <w:rFonts w:cs="Open Sans"/>
        </w:rPr>
        <w:t xml:space="preserve"> lived experience</w:t>
      </w:r>
      <w:r>
        <w:rPr>
          <w:rFonts w:cs="Open Sans"/>
        </w:rPr>
        <w:t xml:space="preserve"> of variations in sex characteristics</w:t>
      </w:r>
      <w:r w:rsidRPr="2816C17C">
        <w:rPr>
          <w:rFonts w:cs="Open Sans"/>
        </w:rPr>
        <w:t xml:space="preserve"> </w:t>
      </w:r>
      <w:r>
        <w:rPr>
          <w:rFonts w:cs="Open Sans"/>
        </w:rPr>
        <w:t>and</w:t>
      </w:r>
      <w:r w:rsidRPr="2816C17C">
        <w:rPr>
          <w:rFonts w:cs="Open Sans"/>
        </w:rPr>
        <w:t xml:space="preserve"> </w:t>
      </w:r>
      <w:r>
        <w:rPr>
          <w:rFonts w:cs="Open Sans"/>
        </w:rPr>
        <w:t>stakeholders</w:t>
      </w:r>
      <w:r w:rsidRPr="2816C17C">
        <w:rPr>
          <w:rFonts w:cs="Open Sans"/>
        </w:rPr>
        <w:t xml:space="preserve"> </w:t>
      </w:r>
      <w:r>
        <w:rPr>
          <w:rFonts w:cs="Open Sans"/>
        </w:rPr>
        <w:t xml:space="preserve">in psychology and psychiatry </w:t>
      </w:r>
      <w:r w:rsidRPr="2816C17C">
        <w:rPr>
          <w:rFonts w:cs="Open Sans"/>
        </w:rPr>
        <w:t xml:space="preserve">who called for less rights-intrusive responses to manifestations of these variations, such as psychological support and community education. They argued that </w:t>
      </w:r>
      <w:r>
        <w:rPr>
          <w:rFonts w:cs="Open Sans"/>
        </w:rPr>
        <w:t xml:space="preserve">non-intervention </w:t>
      </w:r>
      <w:r w:rsidRPr="2816C17C">
        <w:rPr>
          <w:rFonts w:cs="Open Sans"/>
        </w:rPr>
        <w:t>enable</w:t>
      </w:r>
      <w:r>
        <w:rPr>
          <w:rFonts w:cs="Open Sans"/>
        </w:rPr>
        <w:t>s</w:t>
      </w:r>
      <w:r w:rsidRPr="2816C17C">
        <w:rPr>
          <w:rFonts w:cs="Open Sans"/>
        </w:rPr>
        <w:t xml:space="preserve"> individuals to avoid the risks of surgery including</w:t>
      </w:r>
      <w:r>
        <w:rPr>
          <w:rFonts w:cs="Open Sans"/>
        </w:rPr>
        <w:t>,</w:t>
      </w:r>
      <w:r w:rsidRPr="2816C17C">
        <w:rPr>
          <w:rFonts w:cs="Open Sans"/>
        </w:rPr>
        <w:t xml:space="preserve"> among other things, psychological damage, repeated surgeries, and sexual satisfaction issues, following surgical and hormonal interventions. </w:t>
      </w:r>
    </w:p>
    <w:p w:rsidRPr="004436F1" w:rsidR="004D61D2" w:rsidP="004D61D2" w:rsidRDefault="004D61D2" w14:paraId="50A8BA34" w14:textId="77777777">
      <w:pPr>
        <w:rPr>
          <w:rFonts w:cs="Open Sans"/>
        </w:rPr>
      </w:pPr>
      <w:r>
        <w:rPr>
          <w:rFonts w:cs="Open Sans"/>
        </w:rPr>
        <w:t xml:space="preserve">Psychosocial rationales do not rise to the standard of medical necessity to avoid serious harm, given that less intrusive options exist that should be preferred, </w:t>
      </w:r>
      <w:r>
        <w:rPr>
          <w:rFonts w:cs="Open Sans"/>
        </w:rPr>
        <w:lastRenderedPageBreak/>
        <w:t xml:space="preserve">and that psychological and psychiatric experts do not believe that there is any robust scientific evidence to support the assertion that interventions in the circumstances are in the individual’s best interests. </w:t>
      </w:r>
    </w:p>
    <w:p w:rsidRPr="00B54863" w:rsidR="004D61D2" w:rsidP="004D61D2" w:rsidRDefault="004D61D2" w14:paraId="73FC444A" w14:textId="77777777">
      <w:pPr>
        <w:pStyle w:val="Heading4"/>
      </w:pPr>
      <w:r w:rsidRPr="2816C17C">
        <w:t>Past/present practice</w:t>
      </w:r>
    </w:p>
    <w:p w:rsidRPr="001B27E3" w:rsidR="004D61D2" w:rsidP="004D61D2" w:rsidRDefault="004D61D2" w14:paraId="2FD4BE33" w14:textId="77777777">
      <w:pPr>
        <w:rPr>
          <w:rFonts w:cs="Open Sans"/>
        </w:rPr>
      </w:pPr>
      <w:r>
        <w:rPr>
          <w:rFonts w:cs="Open Sans"/>
        </w:rPr>
        <w:t xml:space="preserve">Stakeholders expressed differing views about whether interventions have been and continue to be undertaken for psychosocial reasons. </w:t>
      </w:r>
    </w:p>
    <w:p w:rsidR="004D61D2" w:rsidP="004D61D2" w:rsidRDefault="004D61D2" w14:paraId="0F9172FC" w14:textId="7D0211C7">
      <w:pPr>
        <w:rPr>
          <w:rFonts w:cs="Open Sans"/>
        </w:rPr>
      </w:pPr>
      <w:r w:rsidRPr="007670C2">
        <w:rPr>
          <w:rFonts w:cs="Open Sans"/>
        </w:rPr>
        <w:t xml:space="preserve">One </w:t>
      </w:r>
      <w:r w:rsidRPr="00D000CD">
        <w:rPr>
          <w:rFonts w:cs="Open Sans"/>
        </w:rPr>
        <w:t>hospital multi-disciplinary team</w:t>
      </w:r>
      <w:r>
        <w:rPr>
          <w:rFonts w:cs="Open Sans"/>
        </w:rPr>
        <w:t xml:space="preserve"> </w:t>
      </w:r>
      <w:r w:rsidRPr="007670C2">
        <w:rPr>
          <w:rFonts w:cs="Open Sans"/>
        </w:rPr>
        <w:t>stated</w:t>
      </w:r>
      <w:r w:rsidRPr="2816C17C">
        <w:rPr>
          <w:rFonts w:cs="Open Sans"/>
        </w:rPr>
        <w:t xml:space="preserve"> </w:t>
      </w:r>
      <w:r>
        <w:rPr>
          <w:rFonts w:cs="Open Sans"/>
        </w:rPr>
        <w:t>that</w:t>
      </w:r>
      <w:r w:rsidRPr="007670C2">
        <w:rPr>
          <w:rFonts w:cs="Open Sans"/>
        </w:rPr>
        <w:t xml:space="preserve"> </w:t>
      </w:r>
      <w:r>
        <w:rPr>
          <w:rFonts w:cs="Open Sans"/>
        </w:rPr>
        <w:t xml:space="preserve">decisions about </w:t>
      </w:r>
      <w:r w:rsidRPr="007670C2">
        <w:rPr>
          <w:rFonts w:cs="Open Sans"/>
        </w:rPr>
        <w:t>past interventions</w:t>
      </w:r>
      <w:r>
        <w:rPr>
          <w:rFonts w:cs="Open Sans"/>
        </w:rPr>
        <w:t xml:space="preserve"> were</w:t>
      </w:r>
    </w:p>
    <w:p w:rsidRPr="002B773A" w:rsidR="004D61D2" w:rsidP="004D61D2" w:rsidRDefault="004D61D2" w14:paraId="59F4F9D3" w14:textId="77777777">
      <w:pPr>
        <w:ind w:left="720"/>
        <w:rPr>
          <w:rFonts w:cs="Open Sans"/>
          <w:sz w:val="22"/>
          <w:szCs w:val="22"/>
        </w:rPr>
      </w:pPr>
      <w:r w:rsidRPr="002B773A">
        <w:rPr>
          <w:rFonts w:cs="Open Sans"/>
          <w:sz w:val="22"/>
          <w:szCs w:val="22"/>
        </w:rPr>
        <w:t>made by the individuals themselves, parents, and professionals … based on the available information and contemporaneous socio-cultural values in the context of a perceived optimal gender framework prioritising the best interests of the child within the family unit.</w:t>
      </w:r>
      <w:r w:rsidRPr="002B773A">
        <w:rPr>
          <w:rStyle w:val="EndnoteReference"/>
          <w:rFonts w:cs="Open Sans"/>
          <w:sz w:val="22"/>
          <w:szCs w:val="22"/>
        </w:rPr>
        <w:endnoteReference w:id="323"/>
      </w:r>
      <w:r w:rsidRPr="002B773A">
        <w:rPr>
          <w:rFonts w:cs="Open Sans"/>
          <w:sz w:val="22"/>
          <w:szCs w:val="22"/>
        </w:rPr>
        <w:t xml:space="preserve">  </w:t>
      </w:r>
    </w:p>
    <w:p w:rsidR="004D61D2" w:rsidP="004D61D2" w:rsidRDefault="004D61D2" w14:paraId="2620EA0C" w14:textId="537105CA">
      <w:pPr>
        <w:rPr>
          <w:rFonts w:cs="Open Sans"/>
        </w:rPr>
      </w:pPr>
      <w:r w:rsidRPr="2816C17C">
        <w:rPr>
          <w:rFonts w:cs="Open Sans"/>
        </w:rPr>
        <w:t xml:space="preserve">Many </w:t>
      </w:r>
      <w:r>
        <w:rPr>
          <w:rFonts w:cs="Open Sans"/>
        </w:rPr>
        <w:t>human rights groups and p</w:t>
      </w:r>
      <w:r w:rsidRPr="005C324A">
        <w:rPr>
          <w:rFonts w:cs="Open Sans"/>
        </w:rPr>
        <w:t>eople born with variations in sex characteristics reported</w:t>
      </w:r>
      <w:r>
        <w:rPr>
          <w:rFonts w:cs="Open Sans"/>
        </w:rPr>
        <w:t xml:space="preserve"> that</w:t>
      </w:r>
      <w:r w:rsidRPr="005C324A">
        <w:rPr>
          <w:rFonts w:cs="Open Sans"/>
        </w:rPr>
        <w:t xml:space="preserve"> interventions they have experienced </w:t>
      </w:r>
      <w:r>
        <w:rPr>
          <w:rFonts w:cs="Open Sans"/>
        </w:rPr>
        <w:t xml:space="preserve">were </w:t>
      </w:r>
      <w:r w:rsidRPr="005C324A">
        <w:rPr>
          <w:rFonts w:cs="Open Sans"/>
        </w:rPr>
        <w:t xml:space="preserve">based on </w:t>
      </w:r>
      <w:r>
        <w:rPr>
          <w:rFonts w:cs="Open Sans"/>
        </w:rPr>
        <w:t>traditional binary</w:t>
      </w:r>
      <w:r w:rsidRPr="005C324A">
        <w:rPr>
          <w:rFonts w:cs="Open Sans"/>
        </w:rPr>
        <w:t xml:space="preserve"> views of gender identity and sexual orientation. These include interventions to </w:t>
      </w:r>
      <w:r w:rsidR="00B57B75">
        <w:rPr>
          <w:rFonts w:cs="Open Sans"/>
        </w:rPr>
        <w:t>modify</w:t>
      </w:r>
      <w:r w:rsidRPr="005C324A">
        <w:rPr>
          <w:rFonts w:cs="Open Sans"/>
        </w:rPr>
        <w:t xml:space="preserve"> sex characteristics based on assumptions about gender identity, and binary</w:t>
      </w:r>
      <w:r>
        <w:rPr>
          <w:rFonts w:cs="Open Sans"/>
        </w:rPr>
        <w:t>,</w:t>
      </w:r>
      <w:r w:rsidRPr="005C324A">
        <w:rPr>
          <w:rFonts w:cs="Open Sans"/>
        </w:rPr>
        <w:t xml:space="preserve"> heteronormative expectations of children</w:t>
      </w:r>
      <w:r>
        <w:rPr>
          <w:rFonts w:cs="Open Sans"/>
        </w:rPr>
        <w:t>.</w:t>
      </w:r>
      <w:r w:rsidRPr="0117CC5D">
        <w:rPr>
          <w:rStyle w:val="EndnoteReference"/>
          <w:rFonts w:cs="Open Sans"/>
        </w:rPr>
        <w:endnoteReference w:id="324"/>
      </w:r>
      <w:r>
        <w:rPr>
          <w:rFonts w:cs="Open Sans"/>
        </w:rPr>
        <w:t xml:space="preserve"> They argue that </w:t>
      </w:r>
      <w:r w:rsidRPr="005C324A">
        <w:rPr>
          <w:rFonts w:cs="Open Sans"/>
        </w:rPr>
        <w:t>interventions</w:t>
      </w:r>
    </w:p>
    <w:p w:rsidRPr="002B773A" w:rsidR="004D61D2" w:rsidP="004D61D2" w:rsidRDefault="004D61D2" w14:paraId="57BF9265" w14:textId="77777777">
      <w:pPr>
        <w:ind w:left="720"/>
        <w:rPr>
          <w:rFonts w:cs="Open Sans"/>
          <w:sz w:val="22"/>
          <w:szCs w:val="22"/>
        </w:rPr>
      </w:pPr>
      <w:r w:rsidRPr="002B773A">
        <w:rPr>
          <w:rFonts w:cs="Open Sans"/>
          <w:sz w:val="22"/>
          <w:szCs w:val="22"/>
        </w:rPr>
        <w:t>are based on heteronormative ideals about what women and men’s genitals are supposed to look like, how they are supposed to be used, and who they are supposed to be used with. They make a lot of assumptions that people are going to be straight and into having “normal” sex.</w:t>
      </w:r>
      <w:r w:rsidRPr="002B773A">
        <w:rPr>
          <w:rStyle w:val="EndnoteReference"/>
          <w:rFonts w:cs="Open Sans"/>
          <w:sz w:val="22"/>
          <w:szCs w:val="22"/>
        </w:rPr>
        <w:endnoteReference w:id="325"/>
      </w:r>
      <w:r w:rsidRPr="002B773A">
        <w:rPr>
          <w:rFonts w:cs="Open Sans"/>
          <w:sz w:val="22"/>
          <w:szCs w:val="22"/>
        </w:rPr>
        <w:t xml:space="preserve"> </w:t>
      </w:r>
    </w:p>
    <w:p w:rsidR="004D61D2" w:rsidP="004D61D2" w:rsidRDefault="004D61D2" w14:paraId="6B6003D5" w14:textId="77777777">
      <w:pPr>
        <w:rPr>
          <w:rFonts w:cs="Open Sans"/>
        </w:rPr>
      </w:pPr>
      <w:r w:rsidRPr="2816C17C">
        <w:rPr>
          <w:rFonts w:cs="Open Sans"/>
        </w:rPr>
        <w:t>The term ‘</w:t>
      </w:r>
      <w:r>
        <w:rPr>
          <w:rFonts w:cs="Open Sans"/>
        </w:rPr>
        <w:t>b</w:t>
      </w:r>
      <w:r w:rsidRPr="003864BE">
        <w:rPr>
          <w:rFonts w:cs="Open Sans"/>
        </w:rPr>
        <w:t>inary expectations of sex characteristics</w:t>
      </w:r>
      <w:r w:rsidRPr="2816C17C">
        <w:rPr>
          <w:rFonts w:cs="Open Sans"/>
        </w:rPr>
        <w:t>’</w:t>
      </w:r>
      <w:r w:rsidRPr="003864BE">
        <w:rPr>
          <w:rFonts w:cs="Open Sans"/>
        </w:rPr>
        <w:t xml:space="preserve"> refers to community expectations that an individual should have sex characteristics that conform to either traditional medical view of male or female bodily parts. </w:t>
      </w:r>
      <w:r w:rsidRPr="2816C17C">
        <w:rPr>
          <w:rFonts w:cs="Open Sans"/>
        </w:rPr>
        <w:t>The term ‘</w:t>
      </w:r>
      <w:r>
        <w:rPr>
          <w:rFonts w:cs="Open Sans"/>
        </w:rPr>
        <w:t>h</w:t>
      </w:r>
      <w:r w:rsidRPr="003864BE">
        <w:rPr>
          <w:rFonts w:cs="Open Sans"/>
        </w:rPr>
        <w:t>eteronormative expectations of sex characteristics</w:t>
      </w:r>
      <w:r w:rsidRPr="2816C17C">
        <w:rPr>
          <w:rFonts w:cs="Open Sans"/>
        </w:rPr>
        <w:t>’</w:t>
      </w:r>
      <w:r w:rsidRPr="003864BE">
        <w:rPr>
          <w:rFonts w:cs="Open Sans"/>
        </w:rPr>
        <w:t xml:space="preserve"> means community expectations of sexual performance that conform to traditional male with female sexual activity</w:t>
      </w:r>
      <w:r>
        <w:rPr>
          <w:rFonts w:cs="Open Sans"/>
        </w:rPr>
        <w:t xml:space="preserve"> or intercourse</w:t>
      </w:r>
      <w:r w:rsidRPr="003864BE">
        <w:rPr>
          <w:rFonts w:cs="Open Sans"/>
        </w:rPr>
        <w:t xml:space="preserve">. </w:t>
      </w:r>
    </w:p>
    <w:p w:rsidR="004D61D2" w:rsidP="004D61D2" w:rsidRDefault="004D61D2" w14:paraId="5D7FE5BB" w14:textId="77777777">
      <w:pPr>
        <w:rPr>
          <w:rFonts w:cs="Open Sans"/>
        </w:rPr>
      </w:pPr>
      <w:r w:rsidRPr="005C324A">
        <w:rPr>
          <w:rFonts w:cs="Open Sans"/>
        </w:rPr>
        <w:t xml:space="preserve">Some people born with variations in sex characteristics also reported experiencing pressure to take hormonal treatments to support and maintain ongoing alignment between </w:t>
      </w:r>
      <w:r>
        <w:rPr>
          <w:rFonts w:cs="Open Sans"/>
        </w:rPr>
        <w:t xml:space="preserve">their </w:t>
      </w:r>
      <w:r w:rsidRPr="005C324A">
        <w:rPr>
          <w:rFonts w:cs="Open Sans"/>
        </w:rPr>
        <w:t>bodies and assigned sex.</w:t>
      </w:r>
      <w:r w:rsidRPr="0117CC5D">
        <w:rPr>
          <w:rStyle w:val="EndnoteReference"/>
          <w:rFonts w:cs="Open Sans"/>
        </w:rPr>
        <w:endnoteReference w:id="326"/>
      </w:r>
      <w:r w:rsidRPr="00715420">
        <w:rPr>
          <w:rFonts w:cs="Open Sans"/>
          <w:sz w:val="20"/>
          <w:szCs w:val="20"/>
        </w:rPr>
        <w:t xml:space="preserve"> </w:t>
      </w:r>
      <w:r>
        <w:rPr>
          <w:rFonts w:cs="Open Sans"/>
        </w:rPr>
        <w:t xml:space="preserve">A parent framed their reason for agreeing to a particular surgery for their child with a variation in </w:t>
      </w:r>
      <w:r>
        <w:rPr>
          <w:rFonts w:cs="Open Sans"/>
        </w:rPr>
        <w:lastRenderedPageBreak/>
        <w:t>sex characteristics as being to avoid teasing/bullying of their child from other children for looking like an atypical girl.</w:t>
      </w:r>
      <w:r w:rsidRPr="0117CC5D">
        <w:rPr>
          <w:rStyle w:val="EndnoteReference"/>
          <w:rFonts w:cs="Open Sans"/>
        </w:rPr>
        <w:endnoteReference w:id="327"/>
      </w:r>
      <w:r>
        <w:rPr>
          <w:rFonts w:cs="Open Sans"/>
        </w:rPr>
        <w:t xml:space="preserve"> </w:t>
      </w:r>
      <w:r w:rsidRPr="005C324A">
        <w:rPr>
          <w:rFonts w:cs="Open Sans"/>
        </w:rPr>
        <w:t>I</w:t>
      </w:r>
      <w:r>
        <w:rPr>
          <w:rFonts w:cs="Open Sans"/>
        </w:rPr>
        <w:t>n respect of hormone therapy, a parent peer-support group said that</w:t>
      </w:r>
      <w:r w:rsidRPr="005C324A">
        <w:rPr>
          <w:rFonts w:cs="Open Sans"/>
        </w:rPr>
        <w:t xml:space="preserve"> early low dose boosters </w:t>
      </w:r>
      <w:r>
        <w:rPr>
          <w:rFonts w:cs="Open Sans"/>
        </w:rPr>
        <w:t xml:space="preserve">are </w:t>
      </w:r>
      <w:r w:rsidRPr="005C324A">
        <w:rPr>
          <w:rFonts w:cs="Open Sans"/>
        </w:rPr>
        <w:t>administered</w:t>
      </w:r>
      <w:r>
        <w:rPr>
          <w:rFonts w:cs="Open Sans"/>
        </w:rPr>
        <w:t>, among other things</w:t>
      </w:r>
      <w:r w:rsidRPr="005C324A">
        <w:rPr>
          <w:rFonts w:cs="Open Sans"/>
        </w:rPr>
        <w:t xml:space="preserve">, </w:t>
      </w:r>
      <w:r>
        <w:rPr>
          <w:rFonts w:cs="Open Sans"/>
        </w:rPr>
        <w:t>to</w:t>
      </w:r>
      <w:r w:rsidRPr="005C324A">
        <w:rPr>
          <w:rFonts w:cs="Open Sans"/>
        </w:rPr>
        <w:t xml:space="preserve"> allay</w:t>
      </w:r>
      <w:r>
        <w:rPr>
          <w:rFonts w:cs="Open Sans"/>
        </w:rPr>
        <w:t xml:space="preserve"> parental</w:t>
      </w:r>
      <w:r w:rsidRPr="005C324A">
        <w:rPr>
          <w:rFonts w:cs="Open Sans"/>
        </w:rPr>
        <w:t xml:space="preserve"> anxiety </w:t>
      </w:r>
      <w:r>
        <w:rPr>
          <w:rFonts w:cs="Open Sans"/>
        </w:rPr>
        <w:t>about their child’s</w:t>
      </w:r>
      <w:r w:rsidRPr="005C324A">
        <w:rPr>
          <w:rFonts w:cs="Open Sans"/>
        </w:rPr>
        <w:t xml:space="preserve"> micro</w:t>
      </w:r>
      <w:r>
        <w:rPr>
          <w:rFonts w:cs="Open Sans"/>
        </w:rPr>
        <w:t>penis</w:t>
      </w:r>
      <w:r w:rsidRPr="005C324A">
        <w:rPr>
          <w:rFonts w:cs="Open Sans"/>
        </w:rPr>
        <w:t>.</w:t>
      </w:r>
      <w:r w:rsidRPr="0117CC5D">
        <w:rPr>
          <w:rStyle w:val="EndnoteReference"/>
          <w:rFonts w:cs="Open Sans"/>
        </w:rPr>
        <w:endnoteReference w:id="328"/>
      </w:r>
    </w:p>
    <w:p w:rsidR="004D61D2" w:rsidP="004D61D2" w:rsidRDefault="004D61D2" w14:paraId="0E9D31BF" w14:textId="77777777">
      <w:pPr>
        <w:rPr>
          <w:rFonts w:cs="Open Sans"/>
        </w:rPr>
      </w:pPr>
      <w:r>
        <w:rPr>
          <w:rFonts w:cs="Open Sans"/>
        </w:rPr>
        <w:t>One person born with a variation in sex characteristics described the vaginoplasty they experienced as a child as</w:t>
      </w:r>
      <w:r w:rsidRPr="2816C17C" w:rsidDel="00E32C43">
        <w:rPr>
          <w:rFonts w:cs="Open Sans"/>
        </w:rPr>
        <w:t xml:space="preserve"> </w:t>
      </w:r>
      <w:r>
        <w:rPr>
          <w:rFonts w:cs="Open Sans"/>
        </w:rPr>
        <w:t>‘</w:t>
      </w:r>
      <w:r w:rsidRPr="00E309A6">
        <w:rPr>
          <w:rFonts w:cs="Open Sans"/>
        </w:rPr>
        <w:t>allowing me to successfully accommodate a future fictitious husband and hence make me a more normal female</w:t>
      </w:r>
      <w:r>
        <w:rPr>
          <w:rFonts w:cs="Open Sans"/>
        </w:rPr>
        <w:t>’.</w:t>
      </w:r>
      <w:r w:rsidRPr="0117CC5D">
        <w:rPr>
          <w:rStyle w:val="EndnoteReference"/>
          <w:rFonts w:cs="Open Sans"/>
        </w:rPr>
        <w:endnoteReference w:id="329"/>
      </w:r>
    </w:p>
    <w:p w:rsidR="004D61D2" w:rsidP="004D61D2" w:rsidRDefault="004D61D2" w14:paraId="3F8A14B3" w14:textId="77777777">
      <w:pPr>
        <w:rPr>
          <w:rFonts w:cs="Open Sans"/>
        </w:rPr>
      </w:pPr>
      <w:r w:rsidRPr="00A62B79">
        <w:rPr>
          <w:rFonts w:cs="Open Sans"/>
        </w:rPr>
        <w:t>This justification links sex assignment with technical surgical outcomes and relies on the idea that children need sex characteristics that match their assigned sex.</w:t>
      </w:r>
      <w:r w:rsidRPr="0117CC5D">
        <w:rPr>
          <w:rStyle w:val="EndnoteReference"/>
          <w:rFonts w:cs="Open Sans"/>
        </w:rPr>
        <w:endnoteReference w:id="330"/>
      </w:r>
      <w:r w:rsidRPr="00BE23D0">
        <w:rPr>
          <w:rFonts w:cs="Open Sans"/>
          <w:sz w:val="20"/>
          <w:szCs w:val="20"/>
        </w:rPr>
        <w:t xml:space="preserve"> </w:t>
      </w:r>
      <w:r>
        <w:rPr>
          <w:rFonts w:cs="Open Sans"/>
        </w:rPr>
        <w:t xml:space="preserve">In the Family Court decision of </w:t>
      </w:r>
      <w:r w:rsidRPr="2816C17C">
        <w:rPr>
          <w:rFonts w:cs="Open Sans"/>
          <w:i/>
          <w:iCs/>
        </w:rPr>
        <w:t>Re Carla</w:t>
      </w:r>
      <w:r>
        <w:rPr>
          <w:rFonts w:cs="Open Sans"/>
        </w:rPr>
        <w:t>, feminising surgery was partially justified on the basis that it would align Carla’s genitalia with gender-identity, as perceived by the parents and the treating paediatric psychiatrist.</w:t>
      </w:r>
      <w:r w:rsidRPr="0117CC5D">
        <w:rPr>
          <w:rStyle w:val="EndnoteReference"/>
          <w:rFonts w:cs="Open Sans"/>
        </w:rPr>
        <w:endnoteReference w:id="331"/>
      </w:r>
    </w:p>
    <w:p w:rsidRPr="005C324A" w:rsidR="004D61D2" w:rsidP="004D61D2" w:rsidRDefault="004D61D2" w14:paraId="2F48E63A" w14:textId="77777777">
      <w:pPr>
        <w:rPr>
          <w:rFonts w:cs="Open Sans"/>
        </w:rPr>
      </w:pPr>
      <w:r>
        <w:rPr>
          <w:rFonts w:cs="Open Sans"/>
        </w:rPr>
        <w:t>Some c</w:t>
      </w:r>
      <w:r w:rsidRPr="00672C14">
        <w:rPr>
          <w:rFonts w:cs="Open Sans"/>
        </w:rPr>
        <w:t xml:space="preserve">linicians </w:t>
      </w:r>
      <w:r>
        <w:rPr>
          <w:rFonts w:cs="Open Sans"/>
        </w:rPr>
        <w:t xml:space="preserve">stated that they take </w:t>
      </w:r>
      <w:r w:rsidRPr="00672C14">
        <w:rPr>
          <w:rFonts w:cs="Open Sans"/>
        </w:rPr>
        <w:t xml:space="preserve">steps to </w:t>
      </w:r>
      <w:r>
        <w:rPr>
          <w:rFonts w:cs="Open Sans"/>
        </w:rPr>
        <w:t>alleviate</w:t>
      </w:r>
      <w:r w:rsidRPr="00672C14">
        <w:rPr>
          <w:rFonts w:cs="Open Sans"/>
        </w:rPr>
        <w:t xml:space="preserve"> pressure</w:t>
      </w:r>
      <w:r>
        <w:rPr>
          <w:rFonts w:cs="Open Sans"/>
        </w:rPr>
        <w:t xml:space="preserve"> to make decisions about gender assignment. </w:t>
      </w:r>
      <w:r w:rsidRPr="00B40ECC">
        <w:rPr>
          <w:rFonts w:cs="Open Sans"/>
        </w:rPr>
        <w:t>One group of clinicians</w:t>
      </w:r>
      <w:r w:rsidRPr="00B40ECC" w:rsidDel="00B40ECC">
        <w:rPr>
          <w:rStyle w:val="CommentReference"/>
          <w:rFonts w:cs="Open Sans"/>
        </w:rPr>
        <w:t xml:space="preserve"> </w:t>
      </w:r>
      <w:r>
        <w:rPr>
          <w:rFonts w:cs="Open Sans"/>
        </w:rPr>
        <w:t xml:space="preserve">referred to their </w:t>
      </w:r>
      <w:r w:rsidRPr="00672C14">
        <w:rPr>
          <w:rFonts w:cs="Open Sans"/>
        </w:rPr>
        <w:t xml:space="preserve">use </w:t>
      </w:r>
      <w:r>
        <w:rPr>
          <w:rFonts w:cs="Open Sans"/>
        </w:rPr>
        <w:t xml:space="preserve">of </w:t>
      </w:r>
      <w:r w:rsidRPr="00672C14">
        <w:rPr>
          <w:rFonts w:cs="Open Sans"/>
        </w:rPr>
        <w:t>armbands.</w:t>
      </w:r>
      <w:r>
        <w:rPr>
          <w:rFonts w:cs="Open Sans"/>
        </w:rPr>
        <w:t xml:space="preserve"> They</w:t>
      </w:r>
      <w:r w:rsidRPr="00672C14">
        <w:rPr>
          <w:rFonts w:cs="Open Sans"/>
        </w:rPr>
        <w:t xml:space="preserve"> </w:t>
      </w:r>
      <w:r w:rsidRPr="00B34E8C">
        <w:rPr>
          <w:rFonts w:cs="Open Sans"/>
        </w:rPr>
        <w:t xml:space="preserve">stated that </w:t>
      </w:r>
      <w:r w:rsidRPr="005C324A">
        <w:rPr>
          <w:rFonts w:cs="Open Sans"/>
        </w:rPr>
        <w:t xml:space="preserve">they </w:t>
      </w:r>
      <w:r w:rsidRPr="00B34E8C">
        <w:rPr>
          <w:rFonts w:cs="Open Sans"/>
        </w:rPr>
        <w:t xml:space="preserve">use white, rather than pink or blue armbands on infants; </w:t>
      </w:r>
      <w:r w:rsidRPr="005C324A">
        <w:rPr>
          <w:rFonts w:cs="Open Sans"/>
        </w:rPr>
        <w:t xml:space="preserve">and </w:t>
      </w:r>
      <w:r w:rsidRPr="00B34E8C">
        <w:rPr>
          <w:rFonts w:cs="Open Sans"/>
        </w:rPr>
        <w:t>notations may be made to the effect that the child is born ‘intersex’ or of ‘indeterminate’ sex, with the intention of reducing pressure (perceived or actual) to assign a sex as a matter of urgency</w:t>
      </w:r>
      <w:r w:rsidRPr="005C324A">
        <w:rPr>
          <w:rFonts w:cs="Open Sans"/>
        </w:rPr>
        <w:t>.</w:t>
      </w:r>
      <w:r w:rsidRPr="0117CC5D">
        <w:rPr>
          <w:rStyle w:val="EndnoteReference"/>
          <w:rFonts w:cs="Open Sans"/>
        </w:rPr>
        <w:endnoteReference w:id="332"/>
      </w:r>
      <w:r w:rsidRPr="005C324A">
        <w:rPr>
          <w:rFonts w:cs="Open Sans"/>
        </w:rPr>
        <w:t xml:space="preserve"> </w:t>
      </w:r>
      <w:r>
        <w:rPr>
          <w:rFonts w:cs="Open Sans"/>
        </w:rPr>
        <w:t xml:space="preserve"> </w:t>
      </w:r>
    </w:p>
    <w:p w:rsidR="004D61D2" w:rsidP="004D61D2" w:rsidRDefault="004D61D2" w14:paraId="1AB518B0" w14:textId="77777777">
      <w:pPr>
        <w:rPr>
          <w:rFonts w:cs="Open Sans"/>
        </w:rPr>
      </w:pPr>
      <w:r>
        <w:rPr>
          <w:rFonts w:cs="Open Sans"/>
        </w:rPr>
        <w:t>Concerns about dissatisfaction with gender assignments were nevertheless raised. A government agency with relevant expertise submitted that s</w:t>
      </w:r>
      <w:r w:rsidRPr="00A62B79">
        <w:rPr>
          <w:rFonts w:cs="Open Sans"/>
        </w:rPr>
        <w:t>tudies have found rates of gender assignment rejection among intersex children ranging from 5 to 40</w:t>
      </w:r>
      <w:r>
        <w:rPr>
          <w:rFonts w:cs="Open Sans"/>
        </w:rPr>
        <w:t>%</w:t>
      </w:r>
      <w:r w:rsidRPr="00A62B79">
        <w:rPr>
          <w:rFonts w:cs="Open Sans"/>
        </w:rPr>
        <w:t>, depending on the condition</w:t>
      </w:r>
      <w:r>
        <w:rPr>
          <w:rFonts w:cs="Open Sans"/>
        </w:rPr>
        <w:t>, and thus it preferred deferral of such interventions</w:t>
      </w:r>
      <w:r w:rsidRPr="00A62B79">
        <w:rPr>
          <w:rFonts w:cs="Open Sans"/>
        </w:rPr>
        <w:t>.</w:t>
      </w:r>
      <w:r w:rsidRPr="0117CC5D">
        <w:rPr>
          <w:rStyle w:val="EndnoteReference"/>
          <w:rFonts w:cs="Open Sans"/>
        </w:rPr>
        <w:endnoteReference w:id="333"/>
      </w:r>
      <w:r>
        <w:rPr>
          <w:rFonts w:cs="Open Sans"/>
        </w:rPr>
        <w:t xml:space="preserve"> For example, in the 2006 Consensus Statement, a rate of 25% is cited for dissatisfaction with sex of rearing among individuals </w:t>
      </w:r>
      <w:r w:rsidRPr="00B13387">
        <w:rPr>
          <w:rFonts w:cs="Open Sans"/>
        </w:rPr>
        <w:t>with PAIS, androgen biosynthetic defects, and incomplete gonadal dysgenesis</w:t>
      </w:r>
      <w:r>
        <w:rPr>
          <w:rFonts w:cs="Open Sans"/>
        </w:rPr>
        <w:t>.</w:t>
      </w:r>
      <w:r w:rsidRPr="0117CC5D">
        <w:rPr>
          <w:rStyle w:val="EndnoteReference"/>
          <w:rFonts w:cs="Open Sans"/>
        </w:rPr>
        <w:endnoteReference w:id="334"/>
      </w:r>
    </w:p>
    <w:p w:rsidR="004D61D2" w:rsidP="004D61D2" w:rsidRDefault="004D61D2" w14:paraId="3080D4B5" w14:textId="426914B5">
      <w:pPr>
        <w:rPr>
          <w:rFonts w:cs="Open Sans"/>
        </w:rPr>
      </w:pPr>
      <w:r>
        <w:rPr>
          <w:rFonts w:cs="Open Sans"/>
        </w:rPr>
        <w:t>Hypospadias surgeries are a type of ‘normalising’ surgery usually undertaken on individuals when they are children. According to the submission from a hospital multidisciplinary team</w:t>
      </w:r>
    </w:p>
    <w:p w:rsidRPr="002B773A" w:rsidR="004D61D2" w:rsidP="004D61D2" w:rsidRDefault="004D61D2" w14:paraId="596CE324" w14:textId="77777777">
      <w:pPr>
        <w:ind w:left="720"/>
        <w:rPr>
          <w:rFonts w:cs="Open Sans"/>
          <w:sz w:val="22"/>
          <w:szCs w:val="22"/>
        </w:rPr>
      </w:pPr>
      <w:r w:rsidRPr="002B773A">
        <w:rPr>
          <w:rFonts w:cs="Open Sans"/>
          <w:sz w:val="22"/>
          <w:szCs w:val="22"/>
        </w:rPr>
        <w:lastRenderedPageBreak/>
        <w:t>Hypospadias surgery is routinely offered to boys, on the basis that surgery in infancy or early childhood carries better urological outcomes and minimises psychological harm.</w:t>
      </w:r>
      <w:r w:rsidRPr="002B773A">
        <w:rPr>
          <w:rStyle w:val="EndnoteReference"/>
          <w:rFonts w:cs="Open Sans"/>
          <w:sz w:val="22"/>
          <w:szCs w:val="22"/>
        </w:rPr>
        <w:endnoteReference w:id="335"/>
      </w:r>
    </w:p>
    <w:p w:rsidRPr="005C324A" w:rsidR="004D61D2" w:rsidP="004D61D2" w:rsidRDefault="004D61D2" w14:paraId="4152CF8B" w14:textId="77777777">
      <w:pPr>
        <w:rPr>
          <w:rFonts w:cs="Open Sans"/>
        </w:rPr>
      </w:pPr>
      <w:r>
        <w:rPr>
          <w:rFonts w:cs="Open Sans"/>
        </w:rPr>
        <w:t>The evidence from this submitter indicates that they do happen. However, given the lack of systematic data collection, i</w:t>
      </w:r>
      <w:r w:rsidRPr="005C324A">
        <w:rPr>
          <w:rFonts w:cs="Open Sans"/>
        </w:rPr>
        <w:t>t is unclear to what extent</w:t>
      </w:r>
      <w:r>
        <w:rPr>
          <w:rFonts w:cs="Open Sans"/>
        </w:rPr>
        <w:t xml:space="preserve"> interventions on hypospadias persist</w:t>
      </w:r>
      <w:r w:rsidRPr="005C324A">
        <w:rPr>
          <w:rFonts w:cs="Open Sans"/>
        </w:rPr>
        <w:t>.</w:t>
      </w:r>
    </w:p>
    <w:p w:rsidR="004D61D2" w:rsidP="004D61D2" w:rsidRDefault="004D61D2" w14:paraId="20F0DDD1" w14:textId="77777777">
      <w:pPr>
        <w:rPr>
          <w:rFonts w:cs="Open Sans"/>
          <w:lang w:val="en-US"/>
        </w:rPr>
      </w:pPr>
      <w:r w:rsidRPr="008D0A88">
        <w:rPr>
          <w:rFonts w:cs="Open Sans"/>
        </w:rPr>
        <w:t xml:space="preserve">Current medical guidance explicitly contemplates conducting </w:t>
      </w:r>
      <w:r>
        <w:rPr>
          <w:rFonts w:cs="Open Sans"/>
        </w:rPr>
        <w:t xml:space="preserve">normalising </w:t>
      </w:r>
      <w:r w:rsidRPr="008D0A88">
        <w:rPr>
          <w:rFonts w:cs="Open Sans"/>
        </w:rPr>
        <w:t>interventions for psychosocial reasons. For example</w:t>
      </w:r>
      <w:r>
        <w:rPr>
          <w:rFonts w:cs="Open Sans"/>
        </w:rPr>
        <w:t xml:space="preserve">, the 2006 Consensus Statement advises clinicians that </w:t>
      </w:r>
      <w:r>
        <w:rPr>
          <w:rFonts w:cs="Open Sans"/>
          <w:lang w:val="en-US"/>
        </w:rPr>
        <w:t>f</w:t>
      </w:r>
      <w:r w:rsidRPr="009800EF">
        <w:rPr>
          <w:rFonts w:cs="Open Sans"/>
          <w:lang w:val="en-US"/>
        </w:rPr>
        <w:t>actors that influence gende</w:t>
      </w:r>
      <w:r>
        <w:rPr>
          <w:rFonts w:cs="Open Sans"/>
          <w:lang w:val="en-US"/>
        </w:rPr>
        <w:t xml:space="preserve">r </w:t>
      </w:r>
      <w:r w:rsidRPr="009800EF">
        <w:rPr>
          <w:rFonts w:cs="Open Sans"/>
          <w:lang w:val="en-US"/>
        </w:rPr>
        <w:t xml:space="preserve">assignment include </w:t>
      </w:r>
      <w:r>
        <w:rPr>
          <w:rFonts w:cs="Open Sans"/>
          <w:lang w:val="en-US"/>
        </w:rPr>
        <w:t>‘</w:t>
      </w:r>
      <w:r w:rsidRPr="009800EF">
        <w:rPr>
          <w:rFonts w:cs="Open Sans"/>
          <w:lang w:val="en-US"/>
        </w:rPr>
        <w:t>the diagnosis, genital appearance,</w:t>
      </w:r>
      <w:r>
        <w:rPr>
          <w:rFonts w:cs="Open Sans"/>
          <w:lang w:val="en-US"/>
        </w:rPr>
        <w:t xml:space="preserve"> </w:t>
      </w:r>
      <w:r w:rsidRPr="009800EF">
        <w:rPr>
          <w:rFonts w:cs="Open Sans"/>
          <w:lang w:val="en-US"/>
        </w:rPr>
        <w:t>surgical options, need for life-long replacement</w:t>
      </w:r>
      <w:r>
        <w:rPr>
          <w:rFonts w:cs="Open Sans"/>
          <w:lang w:val="en-US"/>
        </w:rPr>
        <w:t xml:space="preserve"> </w:t>
      </w:r>
      <w:r w:rsidRPr="009800EF">
        <w:rPr>
          <w:rFonts w:cs="Open Sans"/>
          <w:lang w:val="en-US"/>
        </w:rPr>
        <w:t>therapy, the potential for fertility, views of</w:t>
      </w:r>
      <w:r>
        <w:rPr>
          <w:rFonts w:cs="Open Sans"/>
          <w:lang w:val="en-US"/>
        </w:rPr>
        <w:t xml:space="preserve"> </w:t>
      </w:r>
      <w:r w:rsidRPr="009800EF">
        <w:rPr>
          <w:rFonts w:cs="Open Sans"/>
          <w:lang w:val="en-US"/>
        </w:rPr>
        <w:t>the family and sometimes, circumstances relating</w:t>
      </w:r>
      <w:r>
        <w:rPr>
          <w:rFonts w:cs="Open Sans"/>
          <w:lang w:val="en-US"/>
        </w:rPr>
        <w:t xml:space="preserve"> </w:t>
      </w:r>
      <w:r w:rsidRPr="009800EF">
        <w:rPr>
          <w:rFonts w:cs="Open Sans"/>
          <w:lang w:val="en-US"/>
        </w:rPr>
        <w:t>to cultural practices</w:t>
      </w:r>
      <w:r>
        <w:rPr>
          <w:rFonts w:cs="Open Sans"/>
          <w:lang w:val="en-US"/>
        </w:rPr>
        <w:t>’</w:t>
      </w:r>
      <w:r w:rsidRPr="009800EF">
        <w:rPr>
          <w:rFonts w:cs="Open Sans"/>
          <w:lang w:val="en-US"/>
        </w:rPr>
        <w:t>.</w:t>
      </w:r>
      <w:r w:rsidRPr="0117CC5D">
        <w:rPr>
          <w:rStyle w:val="EndnoteReference"/>
          <w:rFonts w:cs="Open Sans"/>
          <w:lang w:val="en-US"/>
        </w:rPr>
        <w:endnoteReference w:id="336"/>
      </w:r>
      <w:r>
        <w:rPr>
          <w:rFonts w:cs="Open Sans"/>
          <w:lang w:val="en-US"/>
        </w:rPr>
        <w:t xml:space="preserve"> </w:t>
      </w:r>
    </w:p>
    <w:p w:rsidR="004D61D2" w:rsidP="004D61D2" w:rsidRDefault="004D61D2" w14:paraId="537A57FE" w14:textId="77777777">
      <w:pPr>
        <w:rPr>
          <w:rFonts w:cs="Open Sans"/>
          <w:lang w:val="en-US"/>
        </w:rPr>
      </w:pPr>
      <w:r>
        <w:rPr>
          <w:rFonts w:cs="Open Sans"/>
          <w:lang w:val="en-US"/>
        </w:rPr>
        <w:t>The statement</w:t>
      </w:r>
      <w:r w:rsidRPr="2816C17C">
        <w:rPr>
          <w:rFonts w:cs="Open Sans"/>
          <w:lang w:val="en-US"/>
        </w:rPr>
        <w:t xml:space="preserve"> </w:t>
      </w:r>
      <w:r w:rsidRPr="2816C17C">
        <w:rPr>
          <w:rFonts w:cs="Open Sans"/>
        </w:rPr>
        <w:t>later explains that what is surgically possible is a relevant factor to consider to inform sex of rearing</w:t>
      </w:r>
      <w:r w:rsidRPr="7623DED8">
        <w:rPr>
          <w:rFonts w:cs="Open Sans"/>
          <w:lang w:val="en-US"/>
        </w:rPr>
        <w:t>:</w:t>
      </w:r>
    </w:p>
    <w:p w:rsidRPr="002B773A" w:rsidR="004D61D2" w:rsidP="004D61D2" w:rsidRDefault="004D61D2" w14:paraId="178E868A" w14:textId="77777777">
      <w:pPr>
        <w:ind w:left="720"/>
        <w:rPr>
          <w:rFonts w:cs="Open Sans"/>
          <w:sz w:val="22"/>
          <w:szCs w:val="22"/>
          <w:lang w:val="en-US"/>
        </w:rPr>
      </w:pPr>
      <w:r w:rsidRPr="002B773A">
        <w:rPr>
          <w:rFonts w:cs="Open Sans"/>
          <w:sz w:val="22"/>
          <w:szCs w:val="22"/>
          <w:lang w:val="en-US"/>
        </w:rPr>
        <w:t>The decision on sex of rearing in ovotesticular DSD should consider the potential for fertility based on gonadal differentiation and genital development, and assuming the genitalia are, or can be made, consistent with the chosen sex.</w:t>
      </w:r>
      <w:r w:rsidRPr="002B773A">
        <w:rPr>
          <w:rStyle w:val="EndnoteReference"/>
          <w:rFonts w:cs="Open Sans"/>
          <w:sz w:val="22"/>
          <w:szCs w:val="22"/>
          <w:lang w:val="en-US"/>
        </w:rPr>
        <w:endnoteReference w:id="337"/>
      </w:r>
    </w:p>
    <w:p w:rsidR="004D61D2" w:rsidP="004D61D2" w:rsidRDefault="004D61D2" w14:paraId="51CC18C0" w14:textId="77777777">
      <w:pPr>
        <w:rPr>
          <w:rFonts w:cs="Open Sans"/>
          <w:lang w:val="en-US"/>
        </w:rPr>
      </w:pPr>
      <w:r w:rsidRPr="2816C17C">
        <w:rPr>
          <w:rFonts w:cs="Open Sans"/>
          <w:lang w:val="en-US"/>
        </w:rPr>
        <w:t xml:space="preserve">Along the same lines, it </w:t>
      </w:r>
      <w:r>
        <w:rPr>
          <w:rFonts w:cs="Open Sans"/>
          <w:lang w:val="en-US"/>
        </w:rPr>
        <w:t>states:</w:t>
      </w:r>
      <w:r w:rsidRPr="2816C17C">
        <w:rPr>
          <w:rFonts w:cs="Open Sans"/>
          <w:lang w:val="en-US"/>
        </w:rPr>
        <w:t xml:space="preserve"> </w:t>
      </w:r>
    </w:p>
    <w:p w:rsidRPr="002B773A" w:rsidR="004D61D2" w:rsidP="004D61D2" w:rsidRDefault="004D61D2" w14:paraId="1DDE5592" w14:textId="77777777">
      <w:pPr>
        <w:ind w:left="720"/>
        <w:rPr>
          <w:rFonts w:cs="Open Sans"/>
          <w:sz w:val="22"/>
          <w:szCs w:val="22"/>
          <w:lang w:val="en-US"/>
        </w:rPr>
      </w:pPr>
      <w:r w:rsidRPr="002B773A">
        <w:rPr>
          <w:rFonts w:cs="Open Sans"/>
          <w:sz w:val="22"/>
          <w:szCs w:val="22"/>
          <w:lang w:val="en-US"/>
        </w:rPr>
        <w:t>The magnitude and complexity of phalloplasty in adulthood should be taken into account during the initial counselling period if successful gender assignment is dependent on this procedure. At times this may affect the balance of gender assignment.</w:t>
      </w:r>
      <w:r w:rsidRPr="002B773A">
        <w:rPr>
          <w:rStyle w:val="EndnoteReference"/>
          <w:rFonts w:cs="Open Sans"/>
          <w:sz w:val="22"/>
          <w:szCs w:val="22"/>
          <w:lang w:val="en-US"/>
        </w:rPr>
        <w:endnoteReference w:id="338"/>
      </w:r>
    </w:p>
    <w:p w:rsidRPr="00732B80" w:rsidR="004D61D2" w:rsidP="004D61D2" w:rsidRDefault="004D61D2" w14:paraId="75857104" w14:textId="77777777">
      <w:pPr>
        <w:rPr>
          <w:rFonts w:cs="Open Sans"/>
          <w:lang w:val="en-US"/>
        </w:rPr>
      </w:pPr>
      <w:r w:rsidRPr="2816C17C">
        <w:rPr>
          <w:rFonts w:cs="Open Sans"/>
          <w:lang w:val="en-US"/>
        </w:rPr>
        <w:t>It addresses the view that early intervention is preferrable for psychosocial reasons</w:t>
      </w:r>
      <w:r>
        <w:rPr>
          <w:rFonts w:cs="Open Sans"/>
          <w:lang w:val="en-US"/>
        </w:rPr>
        <w:t>:</w:t>
      </w:r>
    </w:p>
    <w:p w:rsidRPr="002B773A" w:rsidR="004D61D2" w:rsidP="004D61D2" w:rsidRDefault="004D61D2" w14:paraId="1B4DA263" w14:textId="77777777">
      <w:pPr>
        <w:ind w:left="720"/>
        <w:rPr>
          <w:rFonts w:cs="Open Sans"/>
          <w:sz w:val="22"/>
          <w:szCs w:val="22"/>
          <w:lang w:val="en-US"/>
        </w:rPr>
      </w:pPr>
      <w:r w:rsidRPr="002B773A">
        <w:rPr>
          <w:rFonts w:cs="Open Sans"/>
          <w:sz w:val="22"/>
          <w:szCs w:val="22"/>
          <w:lang w:val="en-US"/>
        </w:rPr>
        <w:t>It is generally felt that surgery that is carried out for cosmetic reasons in the first year of life relieves parental distress and improves attachment between the child and the parents. The systematic evidence for this belief is lacking.</w:t>
      </w:r>
      <w:r w:rsidRPr="002B773A">
        <w:rPr>
          <w:rStyle w:val="EndnoteReference"/>
          <w:rFonts w:cs="Open Sans"/>
          <w:sz w:val="22"/>
          <w:szCs w:val="22"/>
          <w:lang w:val="en-US"/>
        </w:rPr>
        <w:endnoteReference w:id="339"/>
      </w:r>
    </w:p>
    <w:p w:rsidR="004D61D2" w:rsidP="004D61D2" w:rsidRDefault="004D61D2" w14:paraId="0C5B743A" w14:textId="77777777">
      <w:pPr>
        <w:rPr>
          <w:rFonts w:cs="Open Sans"/>
        </w:rPr>
      </w:pPr>
      <w:r>
        <w:rPr>
          <w:rFonts w:cs="Open Sans"/>
          <w:lang w:val="en-US"/>
        </w:rPr>
        <w:t xml:space="preserve">In the 2013 Victorian </w:t>
      </w:r>
      <w:r w:rsidRPr="0014675C">
        <w:rPr>
          <w:rFonts w:cs="Open Sans"/>
        </w:rPr>
        <w:t>Decision-</w:t>
      </w:r>
      <w:r>
        <w:rPr>
          <w:rFonts w:cs="Open Sans"/>
        </w:rPr>
        <w:t>M</w:t>
      </w:r>
      <w:r w:rsidRPr="0014675C">
        <w:rPr>
          <w:rFonts w:cs="Open Sans"/>
        </w:rPr>
        <w:t xml:space="preserve">aking </w:t>
      </w:r>
      <w:r>
        <w:rPr>
          <w:rFonts w:cs="Open Sans"/>
        </w:rPr>
        <w:t>P</w:t>
      </w:r>
      <w:r w:rsidRPr="0014675C">
        <w:rPr>
          <w:rFonts w:cs="Open Sans"/>
        </w:rPr>
        <w:t>rinciples</w:t>
      </w:r>
      <w:r>
        <w:rPr>
          <w:rFonts w:cs="Open Sans"/>
        </w:rPr>
        <w:t>, there is a cataloguing of factors relevant to ‘Minimise psychosocial risk to child’.</w:t>
      </w:r>
      <w:r w:rsidRPr="0117CC5D">
        <w:rPr>
          <w:rStyle w:val="EndnoteReference"/>
          <w:rFonts w:cs="Open Sans"/>
          <w:lang w:val="en-US"/>
        </w:rPr>
        <w:endnoteReference w:id="340"/>
      </w:r>
      <w:r>
        <w:rPr>
          <w:rFonts w:cs="Open Sans"/>
        </w:rPr>
        <w:t xml:space="preserve"> It states, for example, that ’</w:t>
      </w:r>
      <w:r w:rsidRPr="006536FF">
        <w:rPr>
          <w:rFonts w:cs="Open Sans"/>
        </w:rPr>
        <w:t>the risk of embarrassment about genital appearance and related stigma should not be given undue weight in the decision-making process at the expense of other human right</w:t>
      </w:r>
      <w:r>
        <w:rPr>
          <w:rFonts w:cs="Open Sans"/>
        </w:rPr>
        <w:t>s’.</w:t>
      </w:r>
    </w:p>
    <w:p w:rsidRPr="00703421" w:rsidR="004D61D2" w:rsidP="004D61D2" w:rsidRDefault="004D61D2" w14:paraId="2B869AC1" w14:textId="78DE1D44">
      <w:pPr>
        <w:rPr>
          <w:rFonts w:cs="Open Sans"/>
          <w:lang w:val="en-US"/>
        </w:rPr>
      </w:pPr>
      <w:r w:rsidRPr="2816C17C">
        <w:rPr>
          <w:rFonts w:cs="Open Sans"/>
          <w:lang w:val="en-US"/>
        </w:rPr>
        <w:lastRenderedPageBreak/>
        <w:t xml:space="preserve">It guides clinicians on factors to consider, relevant to </w:t>
      </w:r>
      <w:r w:rsidRPr="7623DED8">
        <w:rPr>
          <w:rFonts w:cs="Open Sans"/>
          <w:lang w:val="en-US"/>
        </w:rPr>
        <w:t>‘</w:t>
      </w:r>
      <w:r w:rsidRPr="2816C17C">
        <w:rPr>
          <w:rFonts w:cs="Open Sans"/>
          <w:lang w:val="en-US"/>
        </w:rPr>
        <w:t>Leave options open for the future’</w:t>
      </w:r>
      <w:r w:rsidRPr="7623DED8">
        <w:rPr>
          <w:rFonts w:cs="Open Sans"/>
          <w:lang w:val="en-US"/>
        </w:rPr>
        <w:t>.</w:t>
      </w:r>
      <w:r w:rsidRPr="2816C17C">
        <w:rPr>
          <w:rFonts w:cs="Open Sans"/>
          <w:lang w:val="en-US"/>
        </w:rPr>
        <w:t xml:space="preserve"> Three of the four factors relate to familial and social acceptance, which are</w:t>
      </w:r>
      <w:r w:rsidR="00E206B7">
        <w:rPr>
          <w:rFonts w:cs="Open Sans"/>
          <w:lang w:val="en-US"/>
        </w:rPr>
        <w:t xml:space="preserve"> the</w:t>
      </w:r>
      <w:r w:rsidRPr="2816C17C">
        <w:rPr>
          <w:rFonts w:cs="Open Sans"/>
          <w:lang w:val="en-US"/>
        </w:rPr>
        <w:t xml:space="preserve"> </w:t>
      </w:r>
    </w:p>
    <w:p w:rsidRPr="008F3FD6" w:rsidR="004D61D2" w:rsidP="002F7D27" w:rsidRDefault="004D61D2" w14:paraId="65EBB51A" w14:textId="77777777">
      <w:pPr>
        <w:pStyle w:val="ListParagraph"/>
        <w:numPr>
          <w:ilvl w:val="0"/>
          <w:numId w:val="43"/>
        </w:numPr>
        <w:spacing w:before="0" w:after="200" w:line="276" w:lineRule="auto"/>
        <w:contextualSpacing/>
        <w:rPr>
          <w:rFonts w:cs="Open Sans"/>
          <w:lang w:val="en-US"/>
        </w:rPr>
      </w:pPr>
      <w:r w:rsidRPr="008F3FD6">
        <w:rPr>
          <w:rFonts w:cs="Open Sans"/>
          <w:lang w:val="en-US"/>
        </w:rPr>
        <w:t xml:space="preserve">risk that the child will not be accepted by parents in the chosen sex of rearing, leading to impaired bonding and associated negative consequences </w:t>
      </w:r>
    </w:p>
    <w:p w:rsidRPr="008F3FD6" w:rsidR="004D61D2" w:rsidP="002F7D27" w:rsidRDefault="004D61D2" w14:paraId="1E8FA23B" w14:textId="77777777">
      <w:pPr>
        <w:pStyle w:val="ListParagraph"/>
        <w:numPr>
          <w:ilvl w:val="0"/>
          <w:numId w:val="43"/>
        </w:numPr>
        <w:spacing w:before="0" w:after="200" w:line="276" w:lineRule="auto"/>
        <w:contextualSpacing/>
        <w:rPr>
          <w:rFonts w:cs="Open Sans"/>
          <w:lang w:val="en-US"/>
        </w:rPr>
      </w:pPr>
      <w:r w:rsidRPr="008F3FD6">
        <w:rPr>
          <w:rFonts w:cs="Open Sans"/>
          <w:lang w:val="en-US"/>
        </w:rPr>
        <w:t xml:space="preserve">risk of social or cultural disadvantage to the child, for example, reduced opportunities for intimate relationships, or reduced opportunity for meaningful employment and capacity to earn an income </w:t>
      </w:r>
    </w:p>
    <w:p w:rsidRPr="008F3FD6" w:rsidR="004D61D2" w:rsidP="002F7D27" w:rsidRDefault="004D61D2" w14:paraId="074F679C" w14:textId="77777777">
      <w:pPr>
        <w:pStyle w:val="ListParagraph"/>
        <w:numPr>
          <w:ilvl w:val="0"/>
          <w:numId w:val="43"/>
        </w:numPr>
        <w:spacing w:before="0" w:after="200" w:line="276" w:lineRule="auto"/>
        <w:contextualSpacing/>
        <w:rPr>
          <w:rFonts w:cs="Open Sans"/>
          <w:lang w:val="en-US"/>
        </w:rPr>
      </w:pPr>
      <w:r w:rsidRPr="008F3FD6">
        <w:rPr>
          <w:rFonts w:cs="Open Sans"/>
          <w:lang w:val="en-US"/>
        </w:rPr>
        <w:t>risk of social isolation, restrictions or difficulties, for example, caused by embarrassment or social stigma associated with having genitalia that does not match the gender in which the person lives.</w:t>
      </w:r>
      <w:r w:rsidRPr="0117CC5D">
        <w:rPr>
          <w:rStyle w:val="EndnoteReference"/>
          <w:rFonts w:cs="Open Sans"/>
          <w:lang w:val="en-US"/>
        </w:rPr>
        <w:endnoteReference w:id="341"/>
      </w:r>
    </w:p>
    <w:p w:rsidR="004D61D2" w:rsidP="004D61D2" w:rsidRDefault="004D61D2" w14:paraId="0C468BAA" w14:textId="77777777">
      <w:pPr>
        <w:rPr>
          <w:rFonts w:cs="Open Sans"/>
        </w:rPr>
      </w:pPr>
      <w:r w:rsidRPr="2816C17C">
        <w:rPr>
          <w:rFonts w:cs="Open Sans"/>
        </w:rPr>
        <w:t xml:space="preserve">Medical guidance materials issued in relation to specific variations also indicate that psychosocial rationales are used to justify interventions. For instance, draft guidance issued by </w:t>
      </w:r>
      <w:r w:rsidRPr="7623DED8">
        <w:rPr>
          <w:rFonts w:cs="Open Sans"/>
        </w:rPr>
        <w:t>the</w:t>
      </w:r>
      <w:r w:rsidRPr="2816C17C">
        <w:rPr>
          <w:rFonts w:cs="Open Sans"/>
        </w:rPr>
        <w:t xml:space="preserve"> World Health Organization in relation to a variation referred to as 17ß-HSD3 states</w:t>
      </w:r>
      <w:r>
        <w:rPr>
          <w:rFonts w:cs="Open Sans"/>
        </w:rPr>
        <w:t>:</w:t>
      </w:r>
    </w:p>
    <w:p w:rsidRPr="002B773A" w:rsidR="004D61D2" w:rsidP="004D61D2" w:rsidRDefault="004D61D2" w14:paraId="0968B0E2" w14:textId="77777777">
      <w:pPr>
        <w:ind w:left="720"/>
        <w:rPr>
          <w:rFonts w:cs="Open Sans"/>
          <w:sz w:val="22"/>
          <w:szCs w:val="22"/>
        </w:rPr>
      </w:pPr>
      <w:r w:rsidRPr="002B773A">
        <w:rPr>
          <w:rFonts w:cs="Open Sans"/>
          <w:sz w:val="22"/>
          <w:szCs w:val="22"/>
        </w:rPr>
        <w:t>If the diagnosis is made at birth, gender assignment must be discussed, depending on the expected results of masculinizing genitoplasty. If female assignment is selected, feminizing genitoplasty and gonadectomy must be performed.</w:t>
      </w:r>
      <w:r w:rsidRPr="002B773A">
        <w:rPr>
          <w:rStyle w:val="EndnoteReference"/>
          <w:rFonts w:cs="Open Sans"/>
          <w:sz w:val="22"/>
          <w:szCs w:val="22"/>
        </w:rPr>
        <w:endnoteReference w:id="342"/>
      </w:r>
      <w:r w:rsidRPr="002B773A">
        <w:rPr>
          <w:rFonts w:cs="Open Sans"/>
          <w:sz w:val="22"/>
          <w:szCs w:val="22"/>
        </w:rPr>
        <w:t xml:space="preserve"> </w:t>
      </w:r>
    </w:p>
    <w:p w:rsidR="004D61D2" w:rsidP="004D61D2" w:rsidRDefault="004D61D2" w14:paraId="10568374" w14:textId="77777777">
      <w:pPr>
        <w:rPr>
          <w:rFonts w:cs="Open Sans"/>
        </w:rPr>
      </w:pPr>
      <w:r>
        <w:rPr>
          <w:rFonts w:cs="Open Sans"/>
        </w:rPr>
        <w:t>Information provided by</w:t>
      </w:r>
      <w:r w:rsidRPr="2816C17C">
        <w:rPr>
          <w:rFonts w:cs="Open Sans"/>
        </w:rPr>
        <w:t xml:space="preserve"> clinicians and people with lived experience</w:t>
      </w:r>
      <w:r>
        <w:rPr>
          <w:rFonts w:cs="Open Sans"/>
        </w:rPr>
        <w:t xml:space="preserve"> of variations in sex characteristics seems to confirm that </w:t>
      </w:r>
      <w:r w:rsidRPr="2816C17C">
        <w:rPr>
          <w:rFonts w:cs="Open Sans"/>
        </w:rPr>
        <w:t xml:space="preserve">interventions have </w:t>
      </w:r>
      <w:r>
        <w:rPr>
          <w:rFonts w:cs="Open Sans"/>
        </w:rPr>
        <w:t xml:space="preserve">been carried out, </w:t>
      </w:r>
      <w:r w:rsidRPr="2816C17C">
        <w:rPr>
          <w:rFonts w:cs="Open Sans"/>
        </w:rPr>
        <w:t>at least partly</w:t>
      </w:r>
      <w:r>
        <w:rPr>
          <w:rFonts w:cs="Open Sans"/>
        </w:rPr>
        <w:t xml:space="preserve">, for </w:t>
      </w:r>
      <w:r w:rsidRPr="2816C17C">
        <w:rPr>
          <w:rFonts w:cs="Open Sans"/>
        </w:rPr>
        <w:t xml:space="preserve">psychosocial reasons. The </w:t>
      </w:r>
      <w:r>
        <w:rPr>
          <w:rFonts w:cs="Open Sans"/>
        </w:rPr>
        <w:t xml:space="preserve">2013 </w:t>
      </w:r>
      <w:r w:rsidRPr="2816C17C">
        <w:rPr>
          <w:rFonts w:cs="Open Sans"/>
        </w:rPr>
        <w:t>Victorian Decision-</w:t>
      </w:r>
      <w:r>
        <w:rPr>
          <w:rFonts w:cs="Open Sans"/>
        </w:rPr>
        <w:t>M</w:t>
      </w:r>
      <w:r w:rsidRPr="2816C17C">
        <w:rPr>
          <w:rFonts w:cs="Open Sans"/>
        </w:rPr>
        <w:t xml:space="preserve">aking </w:t>
      </w:r>
      <w:r>
        <w:rPr>
          <w:rFonts w:cs="Open Sans"/>
        </w:rPr>
        <w:t>P</w:t>
      </w:r>
      <w:r w:rsidRPr="00F452AF">
        <w:rPr>
          <w:rFonts w:cs="Open Sans"/>
        </w:rPr>
        <w:t>rinciples</w:t>
      </w:r>
      <w:r w:rsidRPr="2816C17C">
        <w:rPr>
          <w:rFonts w:cs="Open Sans"/>
        </w:rPr>
        <w:t xml:space="preserve"> and the World Health </w:t>
      </w:r>
      <w:r w:rsidRPr="006A3344">
        <w:rPr>
          <w:rFonts w:cs="Open Sans"/>
        </w:rPr>
        <w:t>Organization’s ICD-11 beta draft classification for</w:t>
      </w:r>
      <w:r w:rsidRPr="2816C17C">
        <w:rPr>
          <w:rFonts w:cs="Open Sans"/>
        </w:rPr>
        <w:t xml:space="preserve"> 17ß-HSD3 consider psychosocial reasons as a relevant rationale</w:t>
      </w:r>
      <w:r>
        <w:rPr>
          <w:rFonts w:cs="Open Sans"/>
        </w:rPr>
        <w:t xml:space="preserve"> for medical intervention</w:t>
      </w:r>
      <w:r w:rsidRPr="2816C17C">
        <w:rPr>
          <w:rFonts w:cs="Open Sans"/>
        </w:rPr>
        <w:t xml:space="preserve">. </w:t>
      </w:r>
    </w:p>
    <w:p w:rsidRPr="009531E1" w:rsidR="004D61D2" w:rsidP="004D61D2" w:rsidRDefault="004D61D2" w14:paraId="61FDB934" w14:textId="77777777">
      <w:pPr>
        <w:pStyle w:val="Heading4"/>
        <w:rPr>
          <w:lang w:val="en-US"/>
        </w:rPr>
      </w:pPr>
      <w:r>
        <w:lastRenderedPageBreak/>
        <w:t>Perspectives on intervention for psychosocial reasons</w:t>
      </w:r>
      <w:r w:rsidRPr="2816C17C">
        <w:t xml:space="preserve"> </w:t>
      </w:r>
    </w:p>
    <w:p w:rsidR="004D61D2" w:rsidP="004D61D2" w:rsidRDefault="004D61D2" w14:paraId="5DB6E558" w14:textId="77777777">
      <w:pPr>
        <w:rPr>
          <w:rFonts w:cs="Open Sans"/>
        </w:rPr>
      </w:pPr>
      <w:r>
        <w:rPr>
          <w:rFonts w:cs="Open Sans"/>
        </w:rPr>
        <w:t xml:space="preserve">Clinicians expressed a range of views about whether interventions on infants based on ‘normalisation’ should be allowed in future. </w:t>
      </w:r>
    </w:p>
    <w:p w:rsidR="004D61D2" w:rsidP="004D61D2" w:rsidRDefault="004D61D2" w14:paraId="4C89388F" w14:textId="77777777">
      <w:pPr>
        <w:rPr>
          <w:rFonts w:cs="Open Sans"/>
        </w:rPr>
      </w:pPr>
      <w:r w:rsidRPr="008418CA">
        <w:rPr>
          <w:rFonts w:cs="Open Sans"/>
        </w:rPr>
        <w:t>Some clinician</w:t>
      </w:r>
      <w:r>
        <w:rPr>
          <w:rFonts w:cs="Open Sans"/>
        </w:rPr>
        <w:t>s</w:t>
      </w:r>
      <w:r w:rsidRPr="008418CA">
        <w:rPr>
          <w:rFonts w:cs="Open Sans"/>
        </w:rPr>
        <w:t xml:space="preserve"> </w:t>
      </w:r>
      <w:r>
        <w:rPr>
          <w:rFonts w:cs="Open Sans"/>
        </w:rPr>
        <w:t>from outside the fields of psychology and psychiatry</w:t>
      </w:r>
      <w:r w:rsidRPr="008418CA">
        <w:rPr>
          <w:rFonts w:cs="Open Sans"/>
        </w:rPr>
        <w:t xml:space="preserve"> considered psychosocial </w:t>
      </w:r>
      <w:r>
        <w:rPr>
          <w:rFonts w:cs="Open Sans"/>
        </w:rPr>
        <w:t>rationales to be relevant to determining whether a proposed intervention is justified</w:t>
      </w:r>
      <w:r w:rsidRPr="008418CA">
        <w:rPr>
          <w:rFonts w:cs="Open Sans"/>
        </w:rPr>
        <w:t>.</w:t>
      </w:r>
      <w:r w:rsidRPr="003E7957">
        <w:rPr>
          <w:rFonts w:cs="Open Sans"/>
          <w:sz w:val="20"/>
          <w:szCs w:val="20"/>
          <w:vertAlign w:val="superscript"/>
        </w:rPr>
        <w:endnoteReference w:id="343"/>
      </w:r>
      <w:r w:rsidRPr="00AC48E9">
        <w:rPr>
          <w:rFonts w:cs="Open Sans"/>
        </w:rPr>
        <w:t xml:space="preserve"> </w:t>
      </w:r>
      <w:r w:rsidRPr="00A62B79">
        <w:rPr>
          <w:rFonts w:cs="Open Sans"/>
        </w:rPr>
        <w:t xml:space="preserve">One </w:t>
      </w:r>
      <w:r>
        <w:rPr>
          <w:rFonts w:cs="Open Sans"/>
        </w:rPr>
        <w:t xml:space="preserve">specialist </w:t>
      </w:r>
      <w:r w:rsidRPr="00A62B79">
        <w:rPr>
          <w:rFonts w:cs="Open Sans"/>
        </w:rPr>
        <w:t xml:space="preserve">clinical </w:t>
      </w:r>
      <w:r>
        <w:rPr>
          <w:rFonts w:cs="Open Sans"/>
        </w:rPr>
        <w:t>organisation</w:t>
      </w:r>
      <w:r w:rsidRPr="00A62B79">
        <w:rPr>
          <w:rFonts w:cs="Open Sans"/>
        </w:rPr>
        <w:t xml:space="preserve"> stated that </w:t>
      </w:r>
      <w:r>
        <w:rPr>
          <w:rFonts w:cs="Open Sans"/>
        </w:rPr>
        <w:t>c</w:t>
      </w:r>
      <w:r w:rsidRPr="00A62B79">
        <w:rPr>
          <w:rFonts w:cs="Open Sans"/>
        </w:rPr>
        <w:t>urrent recommended medical practice does not see surgery aimed at aligning the genital appearance with the chosen sex-of-rearing as a default option.</w:t>
      </w:r>
      <w:r w:rsidRPr="0117CC5D">
        <w:rPr>
          <w:rStyle w:val="EndnoteReference"/>
          <w:rFonts w:cs="Open Sans"/>
        </w:rPr>
        <w:endnoteReference w:id="344"/>
      </w:r>
      <w:r>
        <w:rPr>
          <w:rFonts w:cs="Open Sans"/>
        </w:rPr>
        <w:t xml:space="preserve"> At the same time, it stated that one reason to intervene is to preserve individuals’ </w:t>
      </w:r>
      <w:r w:rsidRPr="00E10472">
        <w:rPr>
          <w:rFonts w:cs="Open Sans"/>
        </w:rPr>
        <w:t>capacity for satisfying sexual function</w:t>
      </w:r>
      <w:r>
        <w:rPr>
          <w:rFonts w:cs="Open Sans"/>
        </w:rPr>
        <w:t>’.</w:t>
      </w:r>
    </w:p>
    <w:p w:rsidRPr="0062500C" w:rsidR="004D61D2" w:rsidP="004D61D2" w:rsidRDefault="004D61D2" w14:paraId="474BACC0" w14:textId="02255A66">
      <w:pPr>
        <w:rPr>
          <w:rFonts w:cs="Open Sans"/>
        </w:rPr>
      </w:pPr>
      <w:r w:rsidRPr="008418CA">
        <w:rPr>
          <w:rFonts w:cs="Open Sans"/>
        </w:rPr>
        <w:t>Some clinician</w:t>
      </w:r>
      <w:r>
        <w:rPr>
          <w:rFonts w:cs="Open Sans"/>
        </w:rPr>
        <w:t>s</w:t>
      </w:r>
      <w:r w:rsidRPr="008418CA">
        <w:rPr>
          <w:rFonts w:cs="Open Sans"/>
        </w:rPr>
        <w:t xml:space="preserve"> </w:t>
      </w:r>
      <w:r>
        <w:rPr>
          <w:rFonts w:cs="Open Sans"/>
        </w:rPr>
        <w:t>from outside the fields of psychology and psychiatry</w:t>
      </w:r>
      <w:r w:rsidRPr="008418CA">
        <w:rPr>
          <w:rFonts w:cs="Open Sans"/>
        </w:rPr>
        <w:t xml:space="preserve"> </w:t>
      </w:r>
      <w:r w:rsidRPr="2816C17C">
        <w:rPr>
          <w:rFonts w:cs="Open Sans"/>
        </w:rPr>
        <w:t xml:space="preserve">and some parents </w:t>
      </w:r>
      <w:r>
        <w:rPr>
          <w:rFonts w:cs="Open Sans"/>
        </w:rPr>
        <w:t>considered that</w:t>
      </w:r>
      <w:r w:rsidRPr="2816C17C">
        <w:rPr>
          <w:rFonts w:cs="Open Sans"/>
        </w:rPr>
        <w:t xml:space="preserve"> interventions should be allowed to occur where genitalia depart from the medical, binary notions of typical genital appearance</w:t>
      </w:r>
      <w:r>
        <w:rPr>
          <w:rFonts w:cs="Open Sans"/>
        </w:rPr>
        <w:t>. T</w:t>
      </w:r>
      <w:r w:rsidRPr="2816C17C">
        <w:rPr>
          <w:rFonts w:cs="Open Sans"/>
        </w:rPr>
        <w:t>hey argued that such interventions can</w:t>
      </w:r>
    </w:p>
    <w:p w:rsidR="004D61D2" w:rsidP="002F7D27" w:rsidRDefault="004D61D2" w14:paraId="3D2F23AF" w14:textId="77777777">
      <w:pPr>
        <w:pStyle w:val="ListParagraph"/>
        <w:numPr>
          <w:ilvl w:val="0"/>
          <w:numId w:val="42"/>
        </w:numPr>
        <w:spacing w:before="0" w:after="200" w:line="276" w:lineRule="auto"/>
        <w:contextualSpacing/>
        <w:rPr>
          <w:rFonts w:cs="Open Sans"/>
        </w:rPr>
      </w:pPr>
      <w:r w:rsidRPr="009268BE">
        <w:rPr>
          <w:rFonts w:cs="Open Sans"/>
        </w:rPr>
        <w:t>promote and support a child’s integration in family, community and culture</w:t>
      </w:r>
      <w:r w:rsidRPr="0117CC5D">
        <w:rPr>
          <w:rStyle w:val="EndnoteReference"/>
          <w:rFonts w:cs="Open Sans"/>
        </w:rPr>
        <w:endnoteReference w:id="345"/>
      </w:r>
      <w:r w:rsidRPr="001C54A6">
        <w:rPr>
          <w:rFonts w:cs="Open Sans"/>
          <w:sz w:val="20"/>
          <w:szCs w:val="20"/>
        </w:rPr>
        <w:t xml:space="preserve"> </w:t>
      </w:r>
    </w:p>
    <w:p w:rsidRPr="00FD73CD" w:rsidR="004D61D2" w:rsidP="002F7D27" w:rsidRDefault="004D61D2" w14:paraId="5478B38F" w14:textId="77777777">
      <w:pPr>
        <w:pStyle w:val="ListParagraph"/>
        <w:numPr>
          <w:ilvl w:val="0"/>
          <w:numId w:val="42"/>
        </w:numPr>
        <w:spacing w:before="0" w:after="200" w:line="276" w:lineRule="auto"/>
        <w:contextualSpacing/>
        <w:rPr>
          <w:rFonts w:cs="Open Sans"/>
        </w:rPr>
      </w:pPr>
      <w:r w:rsidRPr="009268BE">
        <w:rPr>
          <w:rFonts w:cs="Open Sans"/>
        </w:rPr>
        <w:t>pre-empt potential bullying or stigmatisation, thus promoting their overall wellbeing.</w:t>
      </w:r>
      <w:r w:rsidRPr="0117CC5D">
        <w:rPr>
          <w:rStyle w:val="EndnoteReference"/>
          <w:rFonts w:cs="Open Sans"/>
        </w:rPr>
        <w:endnoteReference w:id="346"/>
      </w:r>
      <w:r w:rsidRPr="009268BE">
        <w:rPr>
          <w:rFonts w:cs="Open Sans"/>
        </w:rPr>
        <w:t xml:space="preserve"> </w:t>
      </w:r>
    </w:p>
    <w:p w:rsidRPr="00741D72" w:rsidR="004D61D2" w:rsidP="004D61D2" w:rsidRDefault="004D61D2" w14:paraId="358D5DA0" w14:textId="77777777">
      <w:pPr>
        <w:rPr>
          <w:rFonts w:cs="Open Sans"/>
        </w:rPr>
      </w:pPr>
      <w:r>
        <w:rPr>
          <w:rFonts w:cs="Open Sans"/>
        </w:rPr>
        <w:t>C</w:t>
      </w:r>
      <w:r w:rsidRPr="005E59CD">
        <w:rPr>
          <w:rFonts w:cs="Open Sans"/>
        </w:rPr>
        <w:t xml:space="preserve">linical experts </w:t>
      </w:r>
      <w:r>
        <w:rPr>
          <w:rFonts w:cs="Open Sans"/>
        </w:rPr>
        <w:t>from specialist bodies in psychiatry and psychology</w:t>
      </w:r>
      <w:r>
        <w:rPr>
          <w:rStyle w:val="Heading1Char"/>
          <w:rFonts w:cs="Open Sans"/>
          <w:b w:val="0"/>
          <w:bCs w:val="0"/>
          <w:sz w:val="24"/>
          <w:szCs w:val="20"/>
        </w:rPr>
        <w:t xml:space="preserve"> </w:t>
      </w:r>
      <w:r>
        <w:rPr>
          <w:rFonts w:cs="Open Sans"/>
        </w:rPr>
        <w:t>rejected the notion</w:t>
      </w:r>
      <w:r w:rsidRPr="005E59CD">
        <w:rPr>
          <w:rFonts w:cs="Open Sans"/>
        </w:rPr>
        <w:t xml:space="preserve"> </w:t>
      </w:r>
      <w:r>
        <w:rPr>
          <w:rFonts w:cs="Open Sans"/>
        </w:rPr>
        <w:t xml:space="preserve">that it is necessary to ‘normalise’ sex characteristics for mental health reasons. One specialist body in psychology </w:t>
      </w:r>
      <w:r w:rsidRPr="00741D72">
        <w:rPr>
          <w:rFonts w:cs="Open Sans"/>
        </w:rPr>
        <w:t>stated:</w:t>
      </w:r>
    </w:p>
    <w:p w:rsidRPr="002B773A" w:rsidR="004D61D2" w:rsidP="004D61D2" w:rsidRDefault="004D61D2" w14:paraId="0B4D9374" w14:textId="77777777">
      <w:pPr>
        <w:ind w:left="720"/>
        <w:rPr>
          <w:rFonts w:cs="Open Sans"/>
          <w:sz w:val="22"/>
          <w:szCs w:val="22"/>
        </w:rPr>
      </w:pPr>
      <w:r w:rsidRPr="002B773A">
        <w:rPr>
          <w:rFonts w:cs="Open Sans"/>
          <w:sz w:val="22"/>
          <w:szCs w:val="22"/>
        </w:rPr>
        <w:t>Having an intersex variation is not a mental health issue in itself, but mental health issues may arise due to perceived conflicts with social and cultural ideas about sex. Additional mental health issues can emerge as a result of surgeries and hormone treatments that may be imposed on infants and young people throughout childhood and adolescence.</w:t>
      </w:r>
      <w:r w:rsidRPr="002B773A">
        <w:rPr>
          <w:rStyle w:val="EndnoteReference"/>
          <w:rFonts w:cs="Open Sans"/>
          <w:sz w:val="22"/>
          <w:szCs w:val="22"/>
        </w:rPr>
        <w:endnoteReference w:id="347"/>
      </w:r>
      <w:r w:rsidRPr="002B773A">
        <w:rPr>
          <w:rFonts w:cs="Open Sans"/>
          <w:sz w:val="22"/>
          <w:szCs w:val="22"/>
        </w:rPr>
        <w:t xml:space="preserve"> </w:t>
      </w:r>
    </w:p>
    <w:p w:rsidRPr="00FB1B82" w:rsidR="004D61D2" w:rsidP="004D61D2" w:rsidRDefault="004D61D2" w14:paraId="3A1E71D4" w14:textId="77777777">
      <w:pPr>
        <w:rPr>
          <w:rFonts w:cs="Open Sans"/>
        </w:rPr>
      </w:pPr>
      <w:r>
        <w:rPr>
          <w:rFonts w:cs="Open Sans"/>
        </w:rPr>
        <w:t>In rejecting psychosocial reasons as grounds for intervention, it continued:</w:t>
      </w:r>
    </w:p>
    <w:p w:rsidRPr="002B773A" w:rsidR="004D61D2" w:rsidP="004D61D2" w:rsidRDefault="004D61D2" w14:paraId="3D019DB2" w14:textId="77777777">
      <w:pPr>
        <w:ind w:left="720"/>
        <w:rPr>
          <w:rFonts w:cs="Open Sans"/>
          <w:sz w:val="22"/>
          <w:szCs w:val="22"/>
        </w:rPr>
      </w:pPr>
      <w:r w:rsidRPr="002B773A">
        <w:rPr>
          <w:rFonts w:cs="Open Sans"/>
          <w:sz w:val="22"/>
          <w:szCs w:val="22"/>
        </w:rPr>
        <w:t>decisions and processes regarding medical intervention need to focus primarily on the individual’s wellbeing, over and above a concern for social integration which often means normalisation.</w:t>
      </w:r>
      <w:r w:rsidRPr="002B773A">
        <w:rPr>
          <w:rStyle w:val="EndnoteReference"/>
          <w:rFonts w:cs="Open Sans"/>
          <w:sz w:val="22"/>
          <w:szCs w:val="22"/>
        </w:rPr>
        <w:endnoteReference w:id="348"/>
      </w:r>
    </w:p>
    <w:p w:rsidR="004D61D2" w:rsidP="004D61D2" w:rsidRDefault="004D61D2" w14:paraId="020B7AAD" w14:textId="77777777">
      <w:pPr>
        <w:rPr>
          <w:rFonts w:cs="Open Sans"/>
        </w:rPr>
      </w:pPr>
      <w:r>
        <w:rPr>
          <w:rFonts w:cs="Open Sans"/>
        </w:rPr>
        <w:lastRenderedPageBreak/>
        <w:t>T</w:t>
      </w:r>
      <w:r w:rsidRPr="002854B9">
        <w:rPr>
          <w:rFonts w:cs="Open Sans"/>
        </w:rPr>
        <w:t xml:space="preserve">he Royal Australian and New Zealand College of Psychiatrists (RANZCP) </w:t>
      </w:r>
      <w:r>
        <w:rPr>
          <w:rFonts w:cs="Open Sans"/>
        </w:rPr>
        <w:t xml:space="preserve">disputed the assertion of positive mental health outcomes following interventions:  </w:t>
      </w:r>
    </w:p>
    <w:p w:rsidRPr="002B773A" w:rsidR="004D61D2" w:rsidP="004D61D2" w:rsidRDefault="004D61D2" w14:paraId="0D6DFD7E" w14:textId="77777777">
      <w:pPr>
        <w:ind w:left="720"/>
        <w:rPr>
          <w:rFonts w:cs="Open Sans"/>
          <w:sz w:val="22"/>
          <w:szCs w:val="22"/>
        </w:rPr>
      </w:pPr>
      <w:r w:rsidRPr="002B773A">
        <w:rPr>
          <w:rFonts w:cs="Open Sans"/>
          <w:sz w:val="22"/>
          <w:szCs w:val="22"/>
        </w:rPr>
        <w:t>There is little evidence for sex assignment therapies leading to positive or negative mental health outcomes. Accordingly, claims that sex assignment therapies are ‘necessary’ or ‘therapeutic’ are dubious. In the absence of such evidence, decisions should be made with the understanding that the patient’s wishes are absolutely paramount.</w:t>
      </w:r>
    </w:p>
    <w:p w:rsidRPr="002B773A" w:rsidR="004D61D2" w:rsidP="004D61D2" w:rsidRDefault="004D61D2" w14:paraId="4FA2788E" w14:textId="77777777">
      <w:pPr>
        <w:ind w:left="720"/>
        <w:rPr>
          <w:rFonts w:cs="Open Sans"/>
          <w:sz w:val="22"/>
          <w:szCs w:val="22"/>
        </w:rPr>
      </w:pPr>
      <w:r w:rsidRPr="002B773A">
        <w:rPr>
          <w:rFonts w:cs="Open Sans"/>
          <w:sz w:val="22"/>
          <w:szCs w:val="22"/>
        </w:rPr>
        <w:t>The family’s belief regarding the psychosocial impacts of intervention or non-intervention are unlikely to be based on medical evidence, and therefore reliance on such beliefs may result in inappropriate decisions being made for individuals whose wishes may ultimately prove counter to their families. In such cases, enforced sex assignment therapies may produce more harm than good. The RANZCP supports a cautious approach to decision making where there is no physical necessity for intervention.</w:t>
      </w:r>
    </w:p>
    <w:p w:rsidRPr="00CA29B4" w:rsidR="004D61D2" w:rsidP="004D61D2" w:rsidRDefault="004D61D2" w14:paraId="26F7CFC1" w14:textId="77777777">
      <w:pPr>
        <w:rPr>
          <w:rFonts w:cs="Open Sans"/>
        </w:rPr>
      </w:pPr>
      <w:r>
        <w:rPr>
          <w:rFonts w:cs="Open Sans"/>
        </w:rPr>
        <w:t xml:space="preserve">In relation to </w:t>
      </w:r>
      <w:r w:rsidRPr="002854B9">
        <w:rPr>
          <w:rFonts w:cs="Open Sans"/>
        </w:rPr>
        <w:t xml:space="preserve">predicting future health and wellbeing, </w:t>
      </w:r>
      <w:r w:rsidRPr="5F726F67">
        <w:rPr>
          <w:rFonts w:cs="Open Sans"/>
        </w:rPr>
        <w:t>the RANZCP</w:t>
      </w:r>
      <w:r>
        <w:rPr>
          <w:rFonts w:cs="Open Sans"/>
        </w:rPr>
        <w:t xml:space="preserve"> stated</w:t>
      </w:r>
      <w:r w:rsidRPr="5F726F67">
        <w:rPr>
          <w:rFonts w:cs="Open Sans"/>
        </w:rPr>
        <w:t xml:space="preserve"> that</w:t>
      </w:r>
      <w:r w:rsidRPr="002854B9">
        <w:rPr>
          <w:rFonts w:cs="Open Sans"/>
        </w:rPr>
        <w:t xml:space="preserve"> </w:t>
      </w:r>
    </w:p>
    <w:p w:rsidRPr="002B773A" w:rsidR="004D61D2" w:rsidP="004D61D2" w:rsidRDefault="004D61D2" w14:paraId="0BE9F5BC" w14:textId="77777777">
      <w:pPr>
        <w:ind w:left="720"/>
        <w:rPr>
          <w:rFonts w:cs="Open Sans"/>
          <w:sz w:val="22"/>
          <w:szCs w:val="22"/>
        </w:rPr>
      </w:pPr>
      <w:r w:rsidRPr="002B773A">
        <w:rPr>
          <w:rFonts w:cs="Open Sans"/>
          <w:sz w:val="22"/>
          <w:szCs w:val="22"/>
        </w:rPr>
        <w:t>decisions should be made taking into account the paramountcy of informed consent and the importance of leaving options open for the future, particularly regarding an individual’s choices with regard to gender identity, fertility and sexual relations which may each prove critical to a person’s life and therefore mental health.</w:t>
      </w:r>
      <w:r w:rsidRPr="002B773A">
        <w:rPr>
          <w:rStyle w:val="EndnoteReference"/>
          <w:rFonts w:cs="Open Sans"/>
          <w:sz w:val="22"/>
          <w:szCs w:val="22"/>
        </w:rPr>
        <w:endnoteReference w:id="349"/>
      </w:r>
      <w:r w:rsidRPr="002B773A">
        <w:rPr>
          <w:rFonts w:cs="Open Sans"/>
          <w:sz w:val="22"/>
          <w:szCs w:val="22"/>
        </w:rPr>
        <w:t xml:space="preserve"> </w:t>
      </w:r>
    </w:p>
    <w:p w:rsidRPr="007C46E6" w:rsidR="004D61D2" w:rsidP="004D61D2" w:rsidRDefault="004D61D2" w14:paraId="2984DFE0" w14:textId="77777777">
      <w:pPr>
        <w:rPr>
          <w:rFonts w:cs="Open Sans"/>
        </w:rPr>
      </w:pPr>
      <w:r w:rsidRPr="007C46E6">
        <w:rPr>
          <w:rFonts w:cs="Open Sans"/>
        </w:rPr>
        <w:t>The RANZCP also expressed concern that</w:t>
      </w:r>
    </w:p>
    <w:p w:rsidRPr="002B773A" w:rsidR="004D61D2" w:rsidP="004D61D2" w:rsidRDefault="004D61D2" w14:paraId="698D5F27" w14:textId="77777777">
      <w:pPr>
        <w:ind w:left="720"/>
        <w:rPr>
          <w:rFonts w:cs="Open Sans"/>
          <w:sz w:val="22"/>
          <w:szCs w:val="22"/>
        </w:rPr>
      </w:pPr>
      <w:r w:rsidRPr="002B773A">
        <w:rPr>
          <w:rFonts w:cs="Open Sans"/>
          <w:sz w:val="22"/>
          <w:szCs w:val="22"/>
        </w:rPr>
        <w:t xml:space="preserve">sex reassignment decisions may be made within an overly narrow frame. </w:t>
      </w:r>
      <w:r w:rsidRPr="002B773A">
        <w:rPr>
          <w:rFonts w:cs="Open Sans"/>
          <w:i/>
          <w:iCs/>
          <w:sz w:val="22"/>
          <w:szCs w:val="22"/>
        </w:rPr>
        <w:t>Primum non nocere</w:t>
      </w:r>
      <w:r w:rsidRPr="002B773A">
        <w:rPr>
          <w:rFonts w:cs="Open Sans"/>
          <w:sz w:val="22"/>
          <w:szCs w:val="22"/>
        </w:rPr>
        <w:t xml:space="preserve"> – do no harm – is central to medical ethics and [carries] with it powerful and longitudinal meaning for this group. Therefore, the RANZCP supports the deferral of sex assignment treatment decisions which have irreversible consequences until the person can provide informed consent, [except] in case of medical necessity.</w:t>
      </w:r>
      <w:r w:rsidRPr="002B773A">
        <w:rPr>
          <w:rStyle w:val="EndnoteReference"/>
          <w:rFonts w:cs="Open Sans"/>
          <w:sz w:val="22"/>
          <w:szCs w:val="22"/>
        </w:rPr>
        <w:endnoteReference w:id="350"/>
      </w:r>
    </w:p>
    <w:p w:rsidR="004D61D2" w:rsidP="004D61D2" w:rsidRDefault="00CD3B3E" w14:paraId="6F883FA5" w14:textId="5D9FEF89">
      <w:pPr>
        <w:rPr>
          <w:rFonts w:cs="Open Sans"/>
        </w:rPr>
      </w:pPr>
      <w:r>
        <w:rPr>
          <w:rFonts w:cs="Open Sans"/>
        </w:rPr>
        <w:t>P</w:t>
      </w:r>
      <w:r w:rsidR="004D61D2">
        <w:rPr>
          <w:rFonts w:cs="Open Sans"/>
        </w:rPr>
        <w:t>eople</w:t>
      </w:r>
      <w:r w:rsidRPr="00832D3B" w:rsidR="004D61D2">
        <w:rPr>
          <w:rFonts w:cs="Open Sans"/>
        </w:rPr>
        <w:t xml:space="preserve"> born with variations in sex characteristics did not support </w:t>
      </w:r>
      <w:r w:rsidR="004D61D2">
        <w:rPr>
          <w:rFonts w:cs="Open Sans"/>
        </w:rPr>
        <w:t xml:space="preserve">normalising interventions on children who were not yet </w:t>
      </w:r>
      <w:r w:rsidRPr="2816C17C" w:rsidR="004D61D2">
        <w:rPr>
          <w:rFonts w:cs="Open Sans"/>
          <w:i/>
          <w:iCs/>
        </w:rPr>
        <w:t>Gillick</w:t>
      </w:r>
      <w:r w:rsidR="004D61D2">
        <w:rPr>
          <w:rFonts w:cs="Open Sans"/>
          <w:i/>
          <w:iCs/>
        </w:rPr>
        <w:t xml:space="preserve"> </w:t>
      </w:r>
      <w:r w:rsidR="004D61D2">
        <w:rPr>
          <w:rFonts w:cs="Open Sans"/>
        </w:rPr>
        <w:t>competent</w:t>
      </w:r>
      <w:r w:rsidRPr="00832D3B" w:rsidR="004D61D2">
        <w:rPr>
          <w:rFonts w:cs="Open Sans"/>
        </w:rPr>
        <w:t xml:space="preserve">. </w:t>
      </w:r>
      <w:r w:rsidR="004D61D2">
        <w:rPr>
          <w:rFonts w:cs="Open Sans"/>
        </w:rPr>
        <w:t xml:space="preserve">They considered that such interventions are not medically necessary and as a result infringe </w:t>
      </w:r>
      <w:r w:rsidR="004D61D2">
        <w:rPr>
          <w:rFonts w:cs="Open Sans"/>
        </w:rPr>
        <w:lastRenderedPageBreak/>
        <w:t>human rights. They expressed the view that only interventions that are medically necessary should be permitted without personal consent.</w:t>
      </w:r>
      <w:r w:rsidRPr="0117CC5D" w:rsidR="004D61D2">
        <w:rPr>
          <w:rStyle w:val="EndnoteReference"/>
          <w:rFonts w:cs="Open Sans"/>
        </w:rPr>
        <w:endnoteReference w:id="351"/>
      </w:r>
      <w:r w:rsidR="004D61D2">
        <w:rPr>
          <w:rFonts w:cs="Open Sans"/>
        </w:rPr>
        <w:t xml:space="preserve"> </w:t>
      </w:r>
    </w:p>
    <w:p w:rsidRPr="00B0024D" w:rsidR="004D61D2" w:rsidP="004D61D2" w:rsidRDefault="004D61D2" w14:paraId="58FE8D08" w14:textId="77777777">
      <w:pPr>
        <w:rPr>
          <w:rFonts w:cs="Open Sans"/>
        </w:rPr>
      </w:pPr>
      <w:r w:rsidRPr="00B0024D">
        <w:rPr>
          <w:rFonts w:cs="Open Sans"/>
        </w:rPr>
        <w:t xml:space="preserve">Some </w:t>
      </w:r>
      <w:r>
        <w:rPr>
          <w:rFonts w:cs="Open Sans"/>
        </w:rPr>
        <w:t>people</w:t>
      </w:r>
      <w:r w:rsidRPr="00B0024D">
        <w:rPr>
          <w:rFonts w:cs="Open Sans"/>
        </w:rPr>
        <w:t xml:space="preserve"> born with variations in sex characteristics </w:t>
      </w:r>
      <w:r>
        <w:rPr>
          <w:rFonts w:cs="Open Sans"/>
        </w:rPr>
        <w:t xml:space="preserve">questioned the capacities of non-psychological/psychiatric clinicians to assess the </w:t>
      </w:r>
      <w:r w:rsidRPr="00B0024D">
        <w:rPr>
          <w:rFonts w:cs="Open Sans"/>
        </w:rPr>
        <w:t xml:space="preserve">psychosocial </w:t>
      </w:r>
      <w:r>
        <w:rPr>
          <w:rFonts w:cs="Open Sans"/>
        </w:rPr>
        <w:t xml:space="preserve">impacts of </w:t>
      </w:r>
      <w:r w:rsidRPr="00B0024D">
        <w:rPr>
          <w:rFonts w:cs="Open Sans"/>
        </w:rPr>
        <w:t>intervention</w:t>
      </w:r>
      <w:r>
        <w:rPr>
          <w:rFonts w:cs="Open Sans"/>
        </w:rPr>
        <w:t xml:space="preserve">. They contended that this </w:t>
      </w:r>
      <w:r w:rsidRPr="2816C17C">
        <w:rPr>
          <w:rFonts w:cs="Open Sans"/>
        </w:rPr>
        <w:t xml:space="preserve">is </w:t>
      </w:r>
      <w:r>
        <w:rPr>
          <w:rFonts w:cs="Open Sans"/>
        </w:rPr>
        <w:t xml:space="preserve">due to the </w:t>
      </w:r>
      <w:r w:rsidRPr="00B0024D">
        <w:rPr>
          <w:rFonts w:cs="Open Sans"/>
        </w:rPr>
        <w:t xml:space="preserve">dominant biomedical framework in which </w:t>
      </w:r>
      <w:r>
        <w:rPr>
          <w:rFonts w:cs="Open Sans"/>
        </w:rPr>
        <w:t xml:space="preserve">key </w:t>
      </w:r>
      <w:r w:rsidRPr="00B0024D">
        <w:rPr>
          <w:rFonts w:cs="Open Sans"/>
        </w:rPr>
        <w:t>clinician</w:t>
      </w:r>
      <w:r>
        <w:rPr>
          <w:rFonts w:cs="Open Sans"/>
        </w:rPr>
        <w:t xml:space="preserve"> specialities such a paediatrics and surgery</w:t>
      </w:r>
      <w:r w:rsidRPr="00B0024D">
        <w:rPr>
          <w:rFonts w:cs="Open Sans"/>
        </w:rPr>
        <w:t xml:space="preserve"> work and their overall lack </w:t>
      </w:r>
      <w:r>
        <w:rPr>
          <w:rFonts w:cs="Open Sans"/>
        </w:rPr>
        <w:t>of understanding of</w:t>
      </w:r>
      <w:r w:rsidRPr="00B0024D">
        <w:rPr>
          <w:rFonts w:cs="Open Sans"/>
        </w:rPr>
        <w:t xml:space="preserve"> all of the psychosocial dimensions that are engaged in interventions that affect sex characteristics.</w:t>
      </w:r>
      <w:r w:rsidRPr="008F4153">
        <w:rPr>
          <w:rFonts w:cs="Open Sans"/>
          <w:sz w:val="20"/>
          <w:szCs w:val="20"/>
          <w:vertAlign w:val="superscript"/>
        </w:rPr>
        <w:endnoteReference w:id="352"/>
      </w:r>
      <w:r w:rsidRPr="008F4153">
        <w:rPr>
          <w:rFonts w:cs="Open Sans"/>
          <w:sz w:val="20"/>
          <w:szCs w:val="20"/>
        </w:rPr>
        <w:t xml:space="preserve"> </w:t>
      </w:r>
    </w:p>
    <w:p w:rsidRPr="00121BD5" w:rsidR="004D61D2" w:rsidP="004D61D2" w:rsidRDefault="004D61D2" w14:paraId="387561EB" w14:textId="77777777">
      <w:r>
        <w:rPr>
          <w:rFonts w:cs="Open Sans"/>
        </w:rPr>
        <w:t xml:space="preserve">Discussions in treating teams benefit from the input of professionals, such as psychologists and psychiatrists, who have expertise in the psychosocial dimensions of any potential intervention. However, treating teams often </w:t>
      </w:r>
      <w:r w:rsidRPr="2816C17C">
        <w:rPr>
          <w:rFonts w:cs="Open Sans"/>
        </w:rPr>
        <w:t xml:space="preserve">do not contain </w:t>
      </w:r>
      <w:r>
        <w:rPr>
          <w:rFonts w:cs="Open Sans"/>
        </w:rPr>
        <w:t xml:space="preserve">psychologists </w:t>
      </w:r>
      <w:r w:rsidRPr="2816C17C">
        <w:rPr>
          <w:rFonts w:cs="Open Sans"/>
        </w:rPr>
        <w:t xml:space="preserve">or </w:t>
      </w:r>
      <w:r>
        <w:rPr>
          <w:rFonts w:cs="Open Sans"/>
        </w:rPr>
        <w:t>psychiatrists.</w:t>
      </w:r>
      <w:r w:rsidRPr="0117CC5D">
        <w:rPr>
          <w:rStyle w:val="EndnoteReference"/>
          <w:rFonts w:cs="Open Sans"/>
        </w:rPr>
        <w:endnoteReference w:id="353"/>
      </w:r>
      <w:r w:rsidRPr="008F4153">
        <w:rPr>
          <w:rFonts w:cs="Open Sans"/>
          <w:sz w:val="20"/>
          <w:szCs w:val="20"/>
        </w:rPr>
        <w:t xml:space="preserve"> </w:t>
      </w:r>
      <w:r>
        <w:rPr>
          <w:rFonts w:cs="Open Sans"/>
        </w:rPr>
        <w:t xml:space="preserve">According to IHRA, even where psychologists and psychiatrists are present, their ability to contribute to treatment recommendations is limited, as argue that the power structures of treating teams </w:t>
      </w:r>
      <w:r w:rsidRPr="004014C6">
        <w:rPr>
          <w:rFonts w:cs="Open Sans"/>
        </w:rPr>
        <w:t>privilege surgeons’ opinions and advice to parents.</w:t>
      </w:r>
      <w:r w:rsidRPr="0117CC5D">
        <w:rPr>
          <w:rStyle w:val="EndnoteReference"/>
          <w:rFonts w:cs="Open Sans"/>
        </w:rPr>
        <w:endnoteReference w:id="354"/>
      </w:r>
      <w:r>
        <w:rPr>
          <w:rFonts w:cs="Open Sans"/>
        </w:rPr>
        <w:t xml:space="preserve"> </w:t>
      </w:r>
    </w:p>
    <w:p w:rsidR="004D61D2" w:rsidP="004D61D2" w:rsidRDefault="004D61D2" w14:paraId="0A3A5170" w14:textId="77777777">
      <w:pPr>
        <w:rPr>
          <w:rFonts w:cs="Open Sans"/>
        </w:rPr>
      </w:pPr>
      <w:r w:rsidRPr="00832D3B">
        <w:rPr>
          <w:rFonts w:cs="Open Sans"/>
        </w:rPr>
        <w:t xml:space="preserve">Some clinicians expressed a view that variations in sex characteristics, if not </w:t>
      </w:r>
      <w:r>
        <w:rPr>
          <w:rFonts w:cs="Open Sans"/>
        </w:rPr>
        <w:t>‘</w:t>
      </w:r>
      <w:r w:rsidRPr="00832D3B">
        <w:rPr>
          <w:rFonts w:cs="Open Sans"/>
        </w:rPr>
        <w:t>normalised</w:t>
      </w:r>
      <w:r>
        <w:rPr>
          <w:rFonts w:cs="Open Sans"/>
        </w:rPr>
        <w:t>’ through medical intervention</w:t>
      </w:r>
      <w:r w:rsidRPr="00832D3B">
        <w:rPr>
          <w:rFonts w:cs="Open Sans"/>
        </w:rPr>
        <w:t>, can disrupt parent/child attachment.</w:t>
      </w:r>
      <w:r w:rsidRPr="0117CC5D">
        <w:rPr>
          <w:rStyle w:val="EndnoteReference"/>
          <w:rFonts w:cs="Open Sans"/>
        </w:rPr>
        <w:endnoteReference w:id="355"/>
      </w:r>
      <w:r w:rsidRPr="00832D3B">
        <w:rPr>
          <w:rFonts w:cs="Open Sans"/>
        </w:rPr>
        <w:t xml:space="preserve"> </w:t>
      </w:r>
    </w:p>
    <w:p w:rsidR="004D61D2" w:rsidP="004D61D2" w:rsidRDefault="004D61D2" w14:paraId="7A52D9BA" w14:textId="77777777">
      <w:pPr>
        <w:rPr>
          <w:rFonts w:cs="Open Sans"/>
        </w:rPr>
      </w:pPr>
      <w:r>
        <w:rPr>
          <w:rFonts w:cs="Open Sans"/>
        </w:rPr>
        <w:t xml:space="preserve">Other clinicians </w:t>
      </w:r>
      <w:r w:rsidRPr="00832D3B">
        <w:rPr>
          <w:rFonts w:cs="Open Sans"/>
        </w:rPr>
        <w:t>expressed willingness to regard parental urgings for intervention as determinative of, or at least relevant to, the question whether and when to intervene.</w:t>
      </w:r>
      <w:r w:rsidRPr="0117CC5D">
        <w:rPr>
          <w:rStyle w:val="EndnoteReference"/>
          <w:rFonts w:cs="Open Sans"/>
        </w:rPr>
        <w:endnoteReference w:id="356"/>
      </w:r>
      <w:r w:rsidRPr="00832D3B">
        <w:rPr>
          <w:rFonts w:cs="Open Sans"/>
        </w:rPr>
        <w:t xml:space="preserve"> This </w:t>
      </w:r>
      <w:r>
        <w:rPr>
          <w:rFonts w:cs="Open Sans"/>
        </w:rPr>
        <w:t xml:space="preserve">is based on regarding </w:t>
      </w:r>
      <w:r w:rsidRPr="00832D3B">
        <w:rPr>
          <w:rFonts w:cs="Open Sans"/>
        </w:rPr>
        <w:t xml:space="preserve">the autonomy of young children </w:t>
      </w:r>
      <w:r>
        <w:rPr>
          <w:rFonts w:cs="Open Sans"/>
        </w:rPr>
        <w:t>as</w:t>
      </w:r>
      <w:r w:rsidRPr="00832D3B">
        <w:rPr>
          <w:rFonts w:cs="Open Sans"/>
        </w:rPr>
        <w:t xml:space="preserve"> purely relational to a child’s family and culture.</w:t>
      </w:r>
      <w:r>
        <w:rPr>
          <w:rFonts w:cs="Open Sans"/>
        </w:rPr>
        <w:t xml:space="preserve"> On</w:t>
      </w:r>
      <w:r w:rsidRPr="2816C17C">
        <w:rPr>
          <w:rFonts w:cs="Open Sans"/>
        </w:rPr>
        <w:t xml:space="preserve"> </w:t>
      </w:r>
      <w:r>
        <w:rPr>
          <w:rFonts w:cs="Open Sans"/>
        </w:rPr>
        <w:t>this</w:t>
      </w:r>
      <w:r w:rsidRPr="2816C17C">
        <w:rPr>
          <w:rFonts w:cs="Open Sans"/>
        </w:rPr>
        <w:t xml:space="preserve"> view,</w:t>
      </w:r>
      <w:r>
        <w:rPr>
          <w:rFonts w:cs="Open Sans"/>
        </w:rPr>
        <w:t xml:space="preserve"> from </w:t>
      </w:r>
      <w:r w:rsidRPr="00502C33">
        <w:rPr>
          <w:rFonts w:cs="Open Sans"/>
        </w:rPr>
        <w:t>early childhood</w:t>
      </w:r>
      <w:r>
        <w:rPr>
          <w:rFonts w:cs="Open Sans"/>
        </w:rPr>
        <w:t xml:space="preserve"> and </w:t>
      </w:r>
      <w:r w:rsidRPr="00502C33">
        <w:rPr>
          <w:rFonts w:cs="Open Sans"/>
        </w:rPr>
        <w:t>progressively lessening</w:t>
      </w:r>
      <w:r>
        <w:rPr>
          <w:rFonts w:cs="Open Sans"/>
        </w:rPr>
        <w:t xml:space="preserve"> overtime</w:t>
      </w:r>
      <w:r w:rsidRPr="00502C33">
        <w:rPr>
          <w:rFonts w:cs="Open Sans"/>
        </w:rPr>
        <w:t xml:space="preserve">, a child’s developing autonomy </w:t>
      </w:r>
      <w:r>
        <w:rPr>
          <w:rFonts w:cs="Open Sans"/>
        </w:rPr>
        <w:t>can</w:t>
      </w:r>
      <w:r w:rsidRPr="2816C17C">
        <w:rPr>
          <w:rFonts w:cs="Open Sans"/>
        </w:rPr>
        <w:t xml:space="preserve"> </w:t>
      </w:r>
      <w:r w:rsidRPr="00502C33">
        <w:rPr>
          <w:rFonts w:cs="Open Sans"/>
        </w:rPr>
        <w:t xml:space="preserve">only be given substance by reference to the family, community and cultural context in which they are being raised. </w:t>
      </w:r>
      <w:r w:rsidRPr="00832D3B">
        <w:rPr>
          <w:rFonts w:cs="Open Sans"/>
        </w:rPr>
        <w:t>In this context, some clinicians regarded religious, cultural and community beliefs about variations in sex characteristics, gender identity and expression, and sexuality</w:t>
      </w:r>
      <w:r w:rsidRPr="00567062">
        <w:rPr>
          <w:rFonts w:cs="Open Sans"/>
        </w:rPr>
        <w:t xml:space="preserve"> </w:t>
      </w:r>
      <w:r w:rsidRPr="00832D3B">
        <w:rPr>
          <w:rFonts w:cs="Open Sans"/>
        </w:rPr>
        <w:t>as relevant</w:t>
      </w:r>
      <w:r>
        <w:rPr>
          <w:rFonts w:cs="Open Sans"/>
        </w:rPr>
        <w:t xml:space="preserve"> to decision making about interventions</w:t>
      </w:r>
      <w:r w:rsidRPr="00832D3B">
        <w:rPr>
          <w:rFonts w:cs="Open Sans"/>
        </w:rPr>
        <w:t>.</w:t>
      </w:r>
      <w:r w:rsidRPr="0117CC5D">
        <w:rPr>
          <w:rStyle w:val="EndnoteReference"/>
          <w:rFonts w:cs="Open Sans"/>
        </w:rPr>
        <w:endnoteReference w:id="357"/>
      </w:r>
    </w:p>
    <w:p w:rsidRPr="006E28A2" w:rsidR="004D61D2" w:rsidP="004D61D2" w:rsidRDefault="004D61D2" w14:paraId="57779C92" w14:textId="77777777">
      <w:pPr>
        <w:rPr>
          <w:rFonts w:cs="Open Sans"/>
          <w:i/>
          <w:iCs/>
        </w:rPr>
      </w:pPr>
      <w:r w:rsidRPr="002119BC">
        <w:rPr>
          <w:rFonts w:cs="Open Sans"/>
        </w:rPr>
        <w:t xml:space="preserve">Some </w:t>
      </w:r>
      <w:r>
        <w:rPr>
          <w:rFonts w:cs="Open Sans"/>
        </w:rPr>
        <w:t>stakeholders</w:t>
      </w:r>
      <w:r w:rsidRPr="002119BC">
        <w:rPr>
          <w:rFonts w:cs="Open Sans"/>
        </w:rPr>
        <w:t xml:space="preserve"> from LGBTI community organisations expressed concern that psychosocial justifications privilege parental, family or community wellbeing and the avoidance of potential discomfort of parents, family, and the community with diverse body shapes.</w:t>
      </w:r>
      <w:r w:rsidRPr="00F331BC">
        <w:rPr>
          <w:rFonts w:cs="Open Sans"/>
          <w:sz w:val="20"/>
          <w:szCs w:val="20"/>
          <w:vertAlign w:val="superscript"/>
        </w:rPr>
        <w:endnoteReference w:id="358"/>
      </w:r>
      <w:r w:rsidRPr="00F331BC">
        <w:rPr>
          <w:rFonts w:cs="Open Sans"/>
          <w:sz w:val="20"/>
          <w:szCs w:val="20"/>
        </w:rPr>
        <w:t xml:space="preserve"> </w:t>
      </w:r>
      <w:r w:rsidRPr="002119BC">
        <w:rPr>
          <w:rFonts w:cs="Open Sans"/>
        </w:rPr>
        <w:t xml:space="preserve"> </w:t>
      </w:r>
    </w:p>
    <w:p w:rsidRPr="00832D3B" w:rsidR="004D61D2" w:rsidP="004D61D2" w:rsidRDefault="004D61D2" w14:paraId="22BE6B60" w14:textId="77777777">
      <w:pPr>
        <w:rPr>
          <w:rFonts w:cs="Open Sans"/>
        </w:rPr>
      </w:pPr>
      <w:r>
        <w:rPr>
          <w:rFonts w:cs="Open Sans"/>
        </w:rPr>
        <w:lastRenderedPageBreak/>
        <w:t>P</w:t>
      </w:r>
      <w:r w:rsidRPr="00832D3B">
        <w:rPr>
          <w:rFonts w:cs="Open Sans"/>
        </w:rPr>
        <w:t>arent</w:t>
      </w:r>
      <w:r>
        <w:rPr>
          <w:rFonts w:cs="Open Sans"/>
        </w:rPr>
        <w:t>s</w:t>
      </w:r>
      <w:r w:rsidRPr="00832D3B">
        <w:rPr>
          <w:rFonts w:cs="Open Sans"/>
        </w:rPr>
        <w:t xml:space="preserve"> and clinician</w:t>
      </w:r>
      <w:r>
        <w:rPr>
          <w:rFonts w:cs="Open Sans"/>
        </w:rPr>
        <w:t>s</w:t>
      </w:r>
      <w:r w:rsidRPr="00832D3B">
        <w:rPr>
          <w:rFonts w:cs="Open Sans"/>
        </w:rPr>
        <w:t xml:space="preserve"> often explained decision</w:t>
      </w:r>
      <w:r>
        <w:rPr>
          <w:rFonts w:cs="Open Sans"/>
        </w:rPr>
        <w:t>s</w:t>
      </w:r>
      <w:r w:rsidRPr="00832D3B">
        <w:rPr>
          <w:rFonts w:cs="Open Sans"/>
        </w:rPr>
        <w:t xml:space="preserve"> to intervene </w:t>
      </w:r>
      <w:r>
        <w:rPr>
          <w:rFonts w:cs="Open Sans"/>
        </w:rPr>
        <w:t>with</w:t>
      </w:r>
      <w:r w:rsidRPr="00832D3B">
        <w:rPr>
          <w:rFonts w:cs="Open Sans"/>
        </w:rPr>
        <w:t xml:space="preserve"> reference to how the child might be treated by others, and preventing poor treatment, such as stigmatisation or bullying, by ‘normalising’ the child</w:t>
      </w:r>
      <w:r>
        <w:rPr>
          <w:rFonts w:cs="Open Sans"/>
        </w:rPr>
        <w:t xml:space="preserve">’s sex characteristics. </w:t>
      </w:r>
    </w:p>
    <w:p w:rsidR="004D61D2" w:rsidP="004D61D2" w:rsidRDefault="004D61D2" w14:paraId="7E2A0FA6" w14:textId="77777777">
      <w:pPr>
        <w:rPr>
          <w:rFonts w:cs="Open Sans"/>
        </w:rPr>
      </w:pPr>
      <w:r>
        <w:rPr>
          <w:rFonts w:cs="Open Sans"/>
        </w:rPr>
        <w:t>In this context, hypospadias surgeries are</w:t>
      </w:r>
      <w:r w:rsidRPr="2816C17C">
        <w:rPr>
          <w:rFonts w:cs="Open Sans"/>
        </w:rPr>
        <w:t xml:space="preserve"> </w:t>
      </w:r>
      <w:r>
        <w:rPr>
          <w:rFonts w:cs="Open Sans"/>
        </w:rPr>
        <w:t>routinely offered during infancy as it produces ‘</w:t>
      </w:r>
      <w:r w:rsidRPr="00967473">
        <w:rPr>
          <w:rFonts w:cs="Open Sans"/>
        </w:rPr>
        <w:t>better urological outcomes and minimises psychological harm</w:t>
      </w:r>
      <w:r>
        <w:rPr>
          <w:rFonts w:cs="Open Sans"/>
        </w:rPr>
        <w:t>’.</w:t>
      </w:r>
      <w:r w:rsidRPr="0117CC5D">
        <w:rPr>
          <w:rStyle w:val="EndnoteReference"/>
          <w:rFonts w:cs="Open Sans"/>
        </w:rPr>
        <w:endnoteReference w:id="359"/>
      </w:r>
      <w:r w:rsidRPr="00E92849">
        <w:rPr>
          <w:rFonts w:cs="Open Sans"/>
          <w:sz w:val="20"/>
          <w:szCs w:val="20"/>
        </w:rPr>
        <w:t xml:space="preserve"> </w:t>
      </w:r>
      <w:r>
        <w:rPr>
          <w:rFonts w:cs="Open Sans"/>
        </w:rPr>
        <w:t>A hospital multi-disciplinary team observed that the ‘</w:t>
      </w:r>
      <w:r w:rsidRPr="00967473">
        <w:rPr>
          <w:rFonts w:cs="Open Sans"/>
        </w:rPr>
        <w:t>evidence for this is incomplete; however so is the evidence to support deferring surgery’</w:t>
      </w:r>
      <w:r>
        <w:rPr>
          <w:rFonts w:cs="Open Sans"/>
        </w:rPr>
        <w:t>.</w:t>
      </w:r>
      <w:r w:rsidRPr="0117CC5D">
        <w:rPr>
          <w:rStyle w:val="EndnoteReference"/>
          <w:rFonts w:cs="Open Sans"/>
        </w:rPr>
        <w:endnoteReference w:id="360"/>
      </w:r>
      <w:r w:rsidRPr="000D7A42">
        <w:rPr>
          <w:rFonts w:cs="Open Sans"/>
          <w:sz w:val="20"/>
          <w:szCs w:val="20"/>
        </w:rPr>
        <w:t xml:space="preserve"> </w:t>
      </w:r>
      <w:r>
        <w:rPr>
          <w:rFonts w:cs="Open Sans"/>
        </w:rPr>
        <w:t>The NHMRC funded research program stated that ’</w:t>
      </w:r>
      <w:r w:rsidRPr="00FE0305">
        <w:rPr>
          <w:rFonts w:cs="Open Sans"/>
        </w:rPr>
        <w:t xml:space="preserve">hypospadias surgery </w:t>
      </w:r>
      <w:r>
        <w:rPr>
          <w:rFonts w:cs="Open Sans"/>
        </w:rPr>
        <w:t>[is]</w:t>
      </w:r>
      <w:r w:rsidRPr="00FE0305" w:rsidDel="000B1A19">
        <w:rPr>
          <w:rFonts w:cs="Open Sans"/>
        </w:rPr>
        <w:t xml:space="preserve"> a</w:t>
      </w:r>
      <w:r w:rsidRPr="00FE0305">
        <w:rPr>
          <w:rFonts w:cs="Open Sans"/>
        </w:rPr>
        <w:t>lmost universally acknowledged to be beneficial’</w:t>
      </w:r>
      <w:r>
        <w:rPr>
          <w:rFonts w:cs="Open Sans"/>
        </w:rPr>
        <w:t>.</w:t>
      </w:r>
      <w:r w:rsidRPr="0117CC5D">
        <w:rPr>
          <w:rStyle w:val="EndnoteReference"/>
          <w:rFonts w:cs="Open Sans"/>
        </w:rPr>
        <w:endnoteReference w:id="361"/>
      </w:r>
      <w:r w:rsidRPr="00FE0305">
        <w:rPr>
          <w:rFonts w:cs="Open Sans"/>
        </w:rPr>
        <w:t xml:space="preserve"> </w:t>
      </w:r>
      <w:r>
        <w:rPr>
          <w:rFonts w:cs="Open Sans"/>
        </w:rPr>
        <w:t xml:space="preserve">Clinicians who supported conducting hypospadias surgery did not articulate the reasoning for why such surgery is considered medically necessary. </w:t>
      </w:r>
    </w:p>
    <w:p w:rsidR="004D61D2" w:rsidP="004D61D2" w:rsidRDefault="004D61D2" w14:paraId="2EA741FA" w14:textId="77777777">
      <w:pPr>
        <w:rPr>
          <w:rFonts w:cs="Open Sans"/>
        </w:rPr>
      </w:pPr>
      <w:r>
        <w:rPr>
          <w:rFonts w:cs="Open Sans"/>
        </w:rPr>
        <w:t>A parent provided an insight into why they wanted their son to have a hypospadias surgery:</w:t>
      </w:r>
    </w:p>
    <w:p w:rsidRPr="002B773A" w:rsidR="004D61D2" w:rsidP="004D61D2" w:rsidRDefault="004D61D2" w14:paraId="619AD23C" w14:textId="77777777">
      <w:pPr>
        <w:ind w:left="720"/>
        <w:rPr>
          <w:rFonts w:cs="Open Sans"/>
          <w:sz w:val="22"/>
          <w:szCs w:val="22"/>
        </w:rPr>
      </w:pPr>
      <w:r w:rsidRPr="002B773A">
        <w:rPr>
          <w:rFonts w:cs="Open Sans"/>
          <w:sz w:val="22"/>
          <w:szCs w:val="22"/>
        </w:rPr>
        <w:t>My son’s severe hypospadia[s] repair requires several surgeries. In non-medical terms, he [was] born with a hole in the middle of his scrotum. … He has had two surgeries so far and will need another one when he is 5 or 6 years old depending on a number of different medical factors. However having completed the two surgeries, I know we’ve made the right decision. He was younger when he had them and does not remember them. He is now at the age where he is becoming increasingly aware of his penis and its purpose, potty training is just around the corner. He now pees through the hole on the head of his penis as opposed to from the hole located underneath his scrotum. … It also meant that if the repair was not done, the functioning of his genitals would not work in a normal way and cause his peers to look at him when the time came, differently. It also would have meant he would not be able to stand and urinate as other males and he would always need to sit and urinate.</w:t>
      </w:r>
      <w:r w:rsidRPr="002B773A">
        <w:rPr>
          <w:rStyle w:val="EndnoteReference"/>
          <w:rFonts w:cs="Open Sans"/>
          <w:sz w:val="22"/>
          <w:szCs w:val="22"/>
        </w:rPr>
        <w:endnoteReference w:id="362"/>
      </w:r>
    </w:p>
    <w:p w:rsidR="004D61D2" w:rsidP="004D61D2" w:rsidRDefault="004D61D2" w14:paraId="0B802D67" w14:textId="77777777">
      <w:pPr>
        <w:rPr>
          <w:rFonts w:cs="Open Sans"/>
        </w:rPr>
      </w:pPr>
      <w:r>
        <w:rPr>
          <w:rFonts w:cs="Open Sans"/>
        </w:rPr>
        <w:t>This objective to enable a boy to stand to urinate is commonly cited, among other reasons, in the medical literature.</w:t>
      </w:r>
      <w:r w:rsidRPr="0117CC5D">
        <w:rPr>
          <w:rStyle w:val="EndnoteReference"/>
          <w:rFonts w:cs="Open Sans"/>
        </w:rPr>
        <w:endnoteReference w:id="363"/>
      </w:r>
      <w:r>
        <w:rPr>
          <w:rFonts w:cs="Open Sans"/>
        </w:rPr>
        <w:t xml:space="preserve"> </w:t>
      </w:r>
    </w:p>
    <w:p w:rsidR="004D61D2" w:rsidP="004D61D2" w:rsidRDefault="004D61D2" w14:paraId="4F5A8795" w14:textId="77777777">
      <w:pPr>
        <w:rPr>
          <w:rFonts w:cs="Open Sans"/>
        </w:rPr>
      </w:pPr>
      <w:r w:rsidRPr="003B123B">
        <w:rPr>
          <w:rFonts w:cs="Open Sans"/>
        </w:rPr>
        <w:t xml:space="preserve">One specialist body in psychology </w:t>
      </w:r>
      <w:r>
        <w:rPr>
          <w:rFonts w:cs="Open Sans"/>
        </w:rPr>
        <w:t xml:space="preserve">rejected the assumption that hypospadias surgeries are medically necessary. It stated: </w:t>
      </w:r>
    </w:p>
    <w:p w:rsidRPr="002B773A" w:rsidR="004D61D2" w:rsidP="004D61D2" w:rsidRDefault="004D61D2" w14:paraId="5F103DB0" w14:textId="77777777">
      <w:pPr>
        <w:ind w:left="720"/>
        <w:rPr>
          <w:rFonts w:cs="Open Sans"/>
          <w:sz w:val="22"/>
          <w:szCs w:val="22"/>
        </w:rPr>
      </w:pPr>
      <w:r w:rsidRPr="002B773A">
        <w:rPr>
          <w:rFonts w:cs="Open Sans"/>
          <w:sz w:val="22"/>
          <w:szCs w:val="22"/>
        </w:rPr>
        <w:lastRenderedPageBreak/>
        <w:t>Importantly, some surgeries are often treated as medically necessary – such as for hypospadias – when in fact perceived complications may self-correct as the child matures. ‘Self-correct’ does not necessarily mean that the issue will go away; rather it means that in many cases the person finds ways to happily live with the variation – an option that is denied if unnecessary treatment occurs.</w:t>
      </w:r>
      <w:r w:rsidRPr="002B773A">
        <w:rPr>
          <w:rStyle w:val="EndnoteReference"/>
          <w:rFonts w:cs="Open Sans"/>
          <w:sz w:val="18"/>
          <w:szCs w:val="22"/>
        </w:rPr>
        <w:endnoteReference w:id="364"/>
      </w:r>
    </w:p>
    <w:p w:rsidRPr="00741D72" w:rsidR="004D61D2" w:rsidP="004D61D2" w:rsidRDefault="004D61D2" w14:paraId="0D1B6B9F" w14:textId="77777777">
      <w:pPr>
        <w:rPr>
          <w:rFonts w:cs="Open Sans"/>
        </w:rPr>
      </w:pPr>
      <w:r w:rsidRPr="00741D72">
        <w:rPr>
          <w:rFonts w:cs="Open Sans"/>
        </w:rPr>
        <w:t xml:space="preserve">Some </w:t>
      </w:r>
      <w:r>
        <w:rPr>
          <w:rFonts w:cs="Open Sans"/>
        </w:rPr>
        <w:t>people</w:t>
      </w:r>
      <w:r w:rsidRPr="00741D72">
        <w:rPr>
          <w:rFonts w:cs="Open Sans"/>
        </w:rPr>
        <w:t xml:space="preserve"> </w:t>
      </w:r>
      <w:r>
        <w:rPr>
          <w:rFonts w:cs="Open Sans"/>
        </w:rPr>
        <w:t>born with variations in sex characteristics disputed that such interventions are medically necessary.</w:t>
      </w:r>
      <w:r w:rsidRPr="0117CC5D">
        <w:rPr>
          <w:rStyle w:val="EndnoteReference"/>
          <w:rFonts w:cs="Open Sans"/>
        </w:rPr>
        <w:endnoteReference w:id="365"/>
      </w:r>
      <w:r>
        <w:rPr>
          <w:rFonts w:cs="Open Sans"/>
        </w:rPr>
        <w:t xml:space="preserve"> They </w:t>
      </w:r>
      <w:r w:rsidRPr="00741D72">
        <w:rPr>
          <w:rFonts w:cs="Open Sans"/>
        </w:rPr>
        <w:t xml:space="preserve">argued </w:t>
      </w:r>
      <w:r>
        <w:rPr>
          <w:rFonts w:cs="Open Sans"/>
        </w:rPr>
        <w:t>against</w:t>
      </w:r>
      <w:r w:rsidRPr="00741D72">
        <w:rPr>
          <w:rFonts w:cs="Open Sans"/>
        </w:rPr>
        <w:t xml:space="preserve"> medical</w:t>
      </w:r>
      <w:r>
        <w:rPr>
          <w:rFonts w:cs="Open Sans"/>
        </w:rPr>
        <w:t xml:space="preserve"> </w:t>
      </w:r>
      <w:r w:rsidRPr="00741D72">
        <w:rPr>
          <w:rFonts w:cs="Open Sans"/>
        </w:rPr>
        <w:t xml:space="preserve">interventions </w:t>
      </w:r>
      <w:r>
        <w:rPr>
          <w:rFonts w:cs="Open Sans"/>
        </w:rPr>
        <w:t xml:space="preserve">as a response to anticipated bullying and stigmatisation. </w:t>
      </w:r>
      <w:r w:rsidRPr="002119BC">
        <w:rPr>
          <w:rFonts w:cs="Open Sans"/>
        </w:rPr>
        <w:t>They</w:t>
      </w:r>
      <w:r w:rsidRPr="000E79D2">
        <w:rPr>
          <w:rFonts w:cs="Open Sans"/>
        </w:rPr>
        <w:t xml:space="preserve"> </w:t>
      </w:r>
      <w:r w:rsidRPr="002119BC">
        <w:rPr>
          <w:rFonts w:cs="Open Sans"/>
        </w:rPr>
        <w:t>rejected the view that parents and clinicians are well-placed to predict what a child will need to attain psychosocial health and wellbeing.</w:t>
      </w:r>
      <w:r w:rsidRPr="004F2FF1">
        <w:rPr>
          <w:rFonts w:cs="Open Sans"/>
          <w:sz w:val="20"/>
          <w:szCs w:val="20"/>
          <w:vertAlign w:val="superscript"/>
        </w:rPr>
        <w:endnoteReference w:id="366"/>
      </w:r>
      <w:r w:rsidRPr="002119BC">
        <w:rPr>
          <w:rFonts w:cs="Open Sans"/>
        </w:rPr>
        <w:t xml:space="preserve">  </w:t>
      </w:r>
    </w:p>
    <w:p w:rsidR="004D61D2" w:rsidP="004D61D2" w:rsidRDefault="004D61D2" w14:paraId="6FFC6EB4" w14:textId="070BAB78">
      <w:pPr>
        <w:rPr>
          <w:rFonts w:cs="Open Sans"/>
        </w:rPr>
      </w:pPr>
      <w:r>
        <w:rPr>
          <w:rFonts w:cs="Open Sans"/>
        </w:rPr>
        <w:t>These stakeholders</w:t>
      </w:r>
      <w:r w:rsidRPr="00741D72">
        <w:rPr>
          <w:rFonts w:cs="Open Sans"/>
        </w:rPr>
        <w:t xml:space="preserve"> expressed a view that intervention</w:t>
      </w:r>
      <w:r>
        <w:rPr>
          <w:rFonts w:cs="Open Sans"/>
        </w:rPr>
        <w:t xml:space="preserve"> in the absence of personal consent</w:t>
      </w:r>
      <w:r w:rsidRPr="00741D72">
        <w:rPr>
          <w:rFonts w:cs="Open Sans"/>
        </w:rPr>
        <w:t xml:space="preserve"> on these grounds perpetuates stigma and discrimination by</w:t>
      </w:r>
    </w:p>
    <w:p w:rsidRPr="00AA576E" w:rsidR="004D61D2" w:rsidP="002F7D27" w:rsidRDefault="004D61D2" w14:paraId="422FD538" w14:textId="77777777">
      <w:pPr>
        <w:pStyle w:val="ListParagraph"/>
        <w:numPr>
          <w:ilvl w:val="0"/>
          <w:numId w:val="48"/>
        </w:numPr>
        <w:spacing w:before="0" w:after="200" w:line="276" w:lineRule="auto"/>
        <w:contextualSpacing/>
        <w:rPr>
          <w:rFonts w:cs="Open Sans"/>
        </w:rPr>
      </w:pPr>
      <w:r w:rsidRPr="00AA576E">
        <w:rPr>
          <w:rFonts w:cs="Open Sans"/>
        </w:rPr>
        <w:t>pathologising variations in sex characteristics</w:t>
      </w:r>
    </w:p>
    <w:p w:rsidRPr="00AA576E" w:rsidR="004D61D2" w:rsidP="002F7D27" w:rsidRDefault="004D61D2" w14:paraId="4013997D" w14:textId="77777777">
      <w:pPr>
        <w:pStyle w:val="ListParagraph"/>
        <w:numPr>
          <w:ilvl w:val="0"/>
          <w:numId w:val="48"/>
        </w:numPr>
        <w:spacing w:before="0" w:after="200" w:line="276" w:lineRule="auto"/>
        <w:contextualSpacing/>
        <w:rPr>
          <w:rFonts w:cs="Open Sans"/>
        </w:rPr>
      </w:pPr>
      <w:r w:rsidRPr="00AA576E">
        <w:rPr>
          <w:rFonts w:cs="Open Sans"/>
        </w:rPr>
        <w:t>‘normalising’ sex characteristics through intervention</w:t>
      </w:r>
    </w:p>
    <w:p w:rsidRPr="00AA576E" w:rsidR="004D61D2" w:rsidP="002F7D27" w:rsidRDefault="004D61D2" w14:paraId="4AF42993" w14:textId="77777777">
      <w:pPr>
        <w:pStyle w:val="ListParagraph"/>
        <w:numPr>
          <w:ilvl w:val="0"/>
          <w:numId w:val="48"/>
        </w:numPr>
        <w:spacing w:before="0" w:after="200" w:line="276" w:lineRule="auto"/>
        <w:contextualSpacing/>
        <w:rPr>
          <w:rFonts w:cs="Open Sans"/>
        </w:rPr>
      </w:pPr>
      <w:r w:rsidRPr="00AA576E">
        <w:rPr>
          <w:rFonts w:cs="Open Sans"/>
        </w:rPr>
        <w:t>erasing diversity of bodies</w:t>
      </w:r>
    </w:p>
    <w:p w:rsidRPr="00AA576E" w:rsidR="004D61D2" w:rsidP="002F7D27" w:rsidRDefault="004D61D2" w14:paraId="13EBCC17" w14:textId="77777777">
      <w:pPr>
        <w:pStyle w:val="ListParagraph"/>
        <w:numPr>
          <w:ilvl w:val="0"/>
          <w:numId w:val="48"/>
        </w:numPr>
        <w:spacing w:before="0" w:after="200" w:line="276" w:lineRule="auto"/>
        <w:contextualSpacing/>
        <w:rPr>
          <w:rFonts w:cs="Open Sans"/>
        </w:rPr>
      </w:pPr>
      <w:r w:rsidRPr="00AA576E">
        <w:rPr>
          <w:rFonts w:cs="Open Sans"/>
        </w:rPr>
        <w:t>not encouraging greater community and professional knowledge and understanding of bodily diversity, including variations in sex characteristics.</w:t>
      </w:r>
      <w:r w:rsidRPr="00402732">
        <w:rPr>
          <w:sz w:val="18"/>
          <w:szCs w:val="18"/>
          <w:vertAlign w:val="superscript"/>
        </w:rPr>
        <w:endnoteReference w:id="367"/>
      </w:r>
    </w:p>
    <w:p w:rsidR="004D61D2" w:rsidP="004D61D2" w:rsidRDefault="004D61D2" w14:paraId="5801401B" w14:textId="383751B6">
      <w:pPr>
        <w:rPr>
          <w:rFonts w:cs="Open Sans"/>
        </w:rPr>
      </w:pPr>
      <w:r w:rsidRPr="002119BC">
        <w:rPr>
          <w:rFonts w:cs="Open Sans"/>
        </w:rPr>
        <w:t xml:space="preserve">Some of these </w:t>
      </w:r>
      <w:r>
        <w:rPr>
          <w:rFonts w:cs="Open Sans"/>
        </w:rPr>
        <w:t>stakeholders</w:t>
      </w:r>
      <w:r w:rsidRPr="002119BC">
        <w:rPr>
          <w:rFonts w:cs="Open Sans"/>
        </w:rPr>
        <w:t xml:space="preserve"> argued for ‘a social model of intersex’, and for community education about bodily diversity, to remedy what they perceive as medical erasure of diversity in sex characteristics.</w:t>
      </w:r>
      <w:r w:rsidRPr="007612B7">
        <w:rPr>
          <w:rFonts w:cs="Open Sans"/>
          <w:sz w:val="20"/>
          <w:szCs w:val="20"/>
          <w:vertAlign w:val="superscript"/>
        </w:rPr>
        <w:endnoteReference w:id="368"/>
      </w:r>
      <w:r w:rsidRPr="002119BC">
        <w:rPr>
          <w:rFonts w:cs="Open Sans"/>
        </w:rPr>
        <w:t xml:space="preserve"> They described the social model of intersex as seeking</w:t>
      </w:r>
    </w:p>
    <w:p w:rsidRPr="002B773A" w:rsidR="004D61D2" w:rsidP="004D61D2" w:rsidRDefault="004D61D2" w14:paraId="43053D06" w14:textId="77777777">
      <w:pPr>
        <w:ind w:left="720"/>
        <w:rPr>
          <w:rFonts w:cs="Open Sans"/>
          <w:sz w:val="22"/>
          <w:szCs w:val="22"/>
        </w:rPr>
      </w:pPr>
      <w:r w:rsidRPr="002B773A">
        <w:rPr>
          <w:rFonts w:cs="Open Sans"/>
          <w:sz w:val="22"/>
          <w:szCs w:val="22"/>
        </w:rPr>
        <w:t>to provide social pathways that enable intersex people and their families to be accepted, protected, self-determining, empowered, resilient, visible, and represented at all levels of society - to share a deep sense pride and belonging in our bodies and community.</w:t>
      </w:r>
      <w:r w:rsidRPr="002B773A">
        <w:rPr>
          <w:rFonts w:cs="Open Sans"/>
          <w:sz w:val="22"/>
          <w:szCs w:val="22"/>
          <w:vertAlign w:val="superscript"/>
        </w:rPr>
        <w:endnoteReference w:id="369"/>
      </w:r>
    </w:p>
    <w:p w:rsidRPr="00354C93" w:rsidR="004D61D2" w:rsidP="004D61D2" w:rsidRDefault="004D61D2" w14:paraId="3B02FAA1" w14:textId="77777777">
      <w:r>
        <w:rPr>
          <w:rFonts w:cs="Open Sans"/>
        </w:rPr>
        <w:t xml:space="preserve">They argued for more </w:t>
      </w:r>
      <w:r w:rsidRPr="00741D72">
        <w:rPr>
          <w:rFonts w:cs="Open Sans"/>
        </w:rPr>
        <w:t>education, information, and counselling.</w:t>
      </w:r>
    </w:p>
    <w:p w:rsidRPr="001A4CC4" w:rsidR="004D61D2" w:rsidP="004D61D2" w:rsidRDefault="004D61D2" w14:paraId="7C55B818" w14:textId="77777777">
      <w:pPr>
        <w:pStyle w:val="Heading4"/>
      </w:pPr>
      <w:r>
        <w:t>Psychosocial rationales and medical interventions modifying sex characteristics</w:t>
      </w:r>
    </w:p>
    <w:p w:rsidRPr="00096884" w:rsidR="004D61D2" w:rsidP="004D61D2" w:rsidRDefault="004D61D2" w14:paraId="2A3B4292" w14:textId="46FA4C18">
      <w:r w:rsidRPr="2816C17C">
        <w:rPr>
          <w:rFonts w:cs="Open Sans"/>
        </w:rPr>
        <w:t>Interventions on</w:t>
      </w:r>
      <w:r>
        <w:rPr>
          <w:rFonts w:cs="Open Sans"/>
        </w:rPr>
        <w:t xml:space="preserve"> people born with variations in</w:t>
      </w:r>
      <w:r w:rsidRPr="2816C17C">
        <w:rPr>
          <w:rFonts w:cs="Open Sans"/>
        </w:rPr>
        <w:t xml:space="preserve"> sex characteristics for psychosocial reasons was contested by a range of </w:t>
      </w:r>
      <w:r>
        <w:rPr>
          <w:rFonts w:cs="Open Sans"/>
        </w:rPr>
        <w:t>stakeholders</w:t>
      </w:r>
      <w:r w:rsidRPr="2816C17C">
        <w:rPr>
          <w:rFonts w:cs="Open Sans"/>
        </w:rPr>
        <w:t xml:space="preserve">, with </w:t>
      </w:r>
      <w:r>
        <w:rPr>
          <w:rFonts w:cs="Open Sans"/>
        </w:rPr>
        <w:t>most</w:t>
      </w:r>
      <w:r w:rsidRPr="2816C17C">
        <w:rPr>
          <w:rFonts w:cs="Open Sans"/>
        </w:rPr>
        <w:t xml:space="preserve"> </w:t>
      </w:r>
      <w:r w:rsidRPr="2816C17C">
        <w:rPr>
          <w:rFonts w:cs="Open Sans"/>
        </w:rPr>
        <w:lastRenderedPageBreak/>
        <w:t xml:space="preserve">clinicians and some parents arguing that </w:t>
      </w:r>
      <w:r>
        <w:rPr>
          <w:rFonts w:cs="Open Sans"/>
        </w:rPr>
        <w:t>it is a relevant</w:t>
      </w:r>
      <w:r w:rsidRPr="2816C17C">
        <w:rPr>
          <w:rFonts w:cs="Open Sans"/>
        </w:rPr>
        <w:t xml:space="preserve"> rationale</w:t>
      </w:r>
      <w:r w:rsidRPr="340166C3">
        <w:rPr>
          <w:rFonts w:cs="Open Sans"/>
        </w:rPr>
        <w:t xml:space="preserve">. </w:t>
      </w:r>
      <w:r w:rsidRPr="2816C17C">
        <w:rPr>
          <w:rFonts w:cs="Open Sans"/>
        </w:rPr>
        <w:t>Clinic</w:t>
      </w:r>
      <w:r>
        <w:rPr>
          <w:rFonts w:cs="Open Sans"/>
        </w:rPr>
        <w:t>ians</w:t>
      </w:r>
      <w:r w:rsidRPr="2816C17C">
        <w:rPr>
          <w:rFonts w:cs="Open Sans"/>
        </w:rPr>
        <w:t xml:space="preserve"> </w:t>
      </w:r>
      <w:r>
        <w:rPr>
          <w:rFonts w:cs="Open Sans"/>
        </w:rPr>
        <w:t xml:space="preserve">from specialist bodies in </w:t>
      </w:r>
      <w:r w:rsidRPr="2816C17C">
        <w:rPr>
          <w:rFonts w:cs="Open Sans"/>
        </w:rPr>
        <w:t>psychiatr</w:t>
      </w:r>
      <w:r>
        <w:rPr>
          <w:rFonts w:cs="Open Sans"/>
        </w:rPr>
        <w:t xml:space="preserve">y and </w:t>
      </w:r>
      <w:r w:rsidRPr="2816C17C">
        <w:rPr>
          <w:rFonts w:cs="Open Sans"/>
        </w:rPr>
        <w:t>psycholog</w:t>
      </w:r>
      <w:r>
        <w:rPr>
          <w:rFonts w:cs="Open Sans"/>
        </w:rPr>
        <w:t xml:space="preserve">y </w:t>
      </w:r>
      <w:r w:rsidRPr="2816C17C">
        <w:rPr>
          <w:rFonts w:cs="Open Sans"/>
        </w:rPr>
        <w:t>stated that there is no evidence that interventions on this basis provide better psychosocial outcomes. They argue</w:t>
      </w:r>
      <w:r>
        <w:rPr>
          <w:rFonts w:cs="Open Sans"/>
        </w:rPr>
        <w:t>d</w:t>
      </w:r>
      <w:r w:rsidRPr="2816C17C">
        <w:rPr>
          <w:rFonts w:cs="Open Sans"/>
        </w:rPr>
        <w:t xml:space="preserve"> that such interventions can in fact cause psychological </w:t>
      </w:r>
      <w:r>
        <w:rPr>
          <w:rFonts w:cs="Open Sans"/>
        </w:rPr>
        <w:t>problems</w:t>
      </w:r>
      <w:r w:rsidRPr="2816C17C">
        <w:rPr>
          <w:rFonts w:cs="Open Sans"/>
        </w:rPr>
        <w:t xml:space="preserve">. People born with variations in sex characteristics, regulators, </w:t>
      </w:r>
      <w:r>
        <w:rPr>
          <w:rFonts w:cs="Open Sans"/>
        </w:rPr>
        <w:t xml:space="preserve">and </w:t>
      </w:r>
      <w:r w:rsidRPr="2816C17C">
        <w:rPr>
          <w:rFonts w:cs="Open Sans"/>
        </w:rPr>
        <w:t xml:space="preserve">legal and human rights organisations, all opposed surgical or hormonal interventions based on psychosocial rationales. </w:t>
      </w:r>
      <w:r>
        <w:rPr>
          <w:rFonts w:cs="Open Sans"/>
        </w:rPr>
        <w:t>P</w:t>
      </w:r>
      <w:r w:rsidRPr="2816C17C">
        <w:rPr>
          <w:rFonts w:cs="Open Sans"/>
        </w:rPr>
        <w:t xml:space="preserve">eople born with variations in sex characteristics who had interventions on this basis did not report good psychological outcomes. </w:t>
      </w:r>
      <w:r>
        <w:rPr>
          <w:rFonts w:cs="Open Sans"/>
        </w:rPr>
        <w:t>Nevertheless, various other clinicians argued that ‘normalisation’ can be justified, at least partially, based on mental health benefits. The Commission has not been presented with compelling evidence to support this justification. The 2006 Consensus Statement says that there is no systematic evidence to support the assertion that early surgical interventions are more effective.</w:t>
      </w:r>
      <w:r w:rsidRPr="0117CC5D">
        <w:rPr>
          <w:rStyle w:val="EndnoteReference"/>
          <w:rFonts w:cs="Open Sans"/>
        </w:rPr>
        <w:endnoteReference w:id="370"/>
      </w:r>
    </w:p>
    <w:p w:rsidRPr="00E033C9" w:rsidR="004D61D2" w:rsidP="004D61D2" w:rsidRDefault="004D61D2" w14:paraId="3E75A585" w14:textId="77777777">
      <w:pPr>
        <w:rPr>
          <w:rFonts w:cs="Open Sans"/>
        </w:rPr>
      </w:pPr>
      <w:r>
        <w:rPr>
          <w:rFonts w:cs="Open Sans"/>
        </w:rPr>
        <w:t>Making a</w:t>
      </w:r>
      <w:r w:rsidRPr="00E033C9">
        <w:rPr>
          <w:rFonts w:cs="Open Sans"/>
        </w:rPr>
        <w:t xml:space="preserve"> decision about </w:t>
      </w:r>
      <w:r>
        <w:rPr>
          <w:rFonts w:cs="Open Sans"/>
        </w:rPr>
        <w:t xml:space="preserve">the </w:t>
      </w:r>
      <w:r w:rsidRPr="00E033C9">
        <w:rPr>
          <w:rFonts w:cs="Open Sans"/>
        </w:rPr>
        <w:t xml:space="preserve">gender </w:t>
      </w:r>
      <w:r>
        <w:rPr>
          <w:rFonts w:cs="Open Sans"/>
        </w:rPr>
        <w:t xml:space="preserve">or sex characteristics </w:t>
      </w:r>
      <w:r w:rsidRPr="00E033C9">
        <w:rPr>
          <w:rFonts w:cs="Open Sans"/>
        </w:rPr>
        <w:t>of a</w:t>
      </w:r>
      <w:r>
        <w:rPr>
          <w:rFonts w:cs="Open Sans"/>
        </w:rPr>
        <w:t>nother</w:t>
      </w:r>
      <w:r w:rsidRPr="00E033C9">
        <w:rPr>
          <w:rFonts w:cs="Open Sans"/>
        </w:rPr>
        <w:t xml:space="preserve"> person</w:t>
      </w:r>
      <w:r>
        <w:rPr>
          <w:rFonts w:cs="Open Sans"/>
        </w:rPr>
        <w:t>, without their consent,</w:t>
      </w:r>
      <w:r w:rsidRPr="00E033C9">
        <w:rPr>
          <w:rFonts w:cs="Open Sans"/>
        </w:rPr>
        <w:t xml:space="preserve"> is a </w:t>
      </w:r>
      <w:r>
        <w:rPr>
          <w:rFonts w:cs="Open Sans"/>
        </w:rPr>
        <w:t>significant</w:t>
      </w:r>
      <w:r w:rsidRPr="00E033C9">
        <w:rPr>
          <w:rFonts w:cs="Open Sans"/>
        </w:rPr>
        <w:t xml:space="preserve"> intrusion on their right to </w:t>
      </w:r>
      <w:r>
        <w:rPr>
          <w:rFonts w:cs="Open Sans"/>
        </w:rPr>
        <w:t xml:space="preserve">bodily autonomy and integrity. </w:t>
      </w:r>
    </w:p>
    <w:p w:rsidRPr="00832D3B" w:rsidR="004D61D2" w:rsidP="004D61D2" w:rsidRDefault="004D61D2" w14:paraId="425BA7EC" w14:textId="77777777">
      <w:pPr>
        <w:rPr>
          <w:rFonts w:cs="Open Sans"/>
        </w:rPr>
      </w:pPr>
      <w:r w:rsidRPr="008A7EC7">
        <w:rPr>
          <w:rFonts w:cs="Open Sans"/>
        </w:rPr>
        <w:t>The Commission notes that surgeries and other interventions that occur for psychosocial reasons are generally intended to erase visible signs of variation in sex characteristics and acknowledges the part of parents in urging such interventions.</w:t>
      </w:r>
      <w:r w:rsidRPr="008A7EC7">
        <w:rPr>
          <w:rStyle w:val="EndnoteReference"/>
          <w:rFonts w:cs="Open Sans"/>
        </w:rPr>
        <w:endnoteReference w:id="371"/>
      </w:r>
      <w:r w:rsidRPr="008A7EC7">
        <w:rPr>
          <w:rFonts w:cs="Open Sans"/>
        </w:rPr>
        <w:t xml:space="preserve"> However there is the potential to mix considerations about the child’s health and wellbeing with considerations that relate more to those people around the child, such as parents and other caregivers.</w:t>
      </w:r>
      <w:r w:rsidRPr="00832D3B">
        <w:rPr>
          <w:rFonts w:cs="Open Sans"/>
        </w:rPr>
        <w:t xml:space="preserve">  </w:t>
      </w:r>
    </w:p>
    <w:p w:rsidRPr="00832D3B" w:rsidR="004D61D2" w:rsidP="004D61D2" w:rsidRDefault="004D61D2" w14:paraId="5145E2F3" w14:textId="77777777">
      <w:pPr>
        <w:rPr>
          <w:rFonts w:cs="Open Sans"/>
        </w:rPr>
      </w:pPr>
      <w:r w:rsidRPr="2816C17C">
        <w:rPr>
          <w:rFonts w:cs="Open Sans"/>
        </w:rPr>
        <w:t xml:space="preserve">As </w:t>
      </w:r>
      <w:r>
        <w:rPr>
          <w:rFonts w:cs="Open Sans"/>
        </w:rPr>
        <w:t>discussed</w:t>
      </w:r>
      <w:r w:rsidRPr="2816C17C">
        <w:rPr>
          <w:rFonts w:cs="Open Sans"/>
        </w:rPr>
        <w:t xml:space="preserve"> </w:t>
      </w:r>
      <w:r w:rsidRPr="00FE7186">
        <w:rPr>
          <w:rFonts w:cs="Open Sans"/>
        </w:rPr>
        <w:t xml:space="preserve">in Chapter 3 – Lived </w:t>
      </w:r>
      <w:r>
        <w:rPr>
          <w:rFonts w:cs="Open Sans"/>
        </w:rPr>
        <w:t>e</w:t>
      </w:r>
      <w:r w:rsidRPr="00FE7186">
        <w:rPr>
          <w:rFonts w:cs="Open Sans"/>
        </w:rPr>
        <w:t>xperience, people</w:t>
      </w:r>
      <w:r w:rsidRPr="2816C17C">
        <w:rPr>
          <w:rFonts w:cs="Open Sans"/>
        </w:rPr>
        <w:t xml:space="preserve"> born with variations in sex characteristics reported experiences of stigma and discrimination associated with interventions. ’Normalising’ interventions</w:t>
      </w:r>
      <w:r w:rsidRPr="2816C17C" w:rsidDel="00972DAE">
        <w:rPr>
          <w:rFonts w:cs="Open Sans"/>
        </w:rPr>
        <w:t xml:space="preserve"> </w:t>
      </w:r>
      <w:r w:rsidRPr="2816C17C">
        <w:rPr>
          <w:rFonts w:cs="Open Sans"/>
        </w:rPr>
        <w:t xml:space="preserve">have been understood by both people born with variations in sex characteristics and those around </w:t>
      </w:r>
      <w:r>
        <w:rPr>
          <w:rFonts w:cs="Open Sans"/>
        </w:rPr>
        <w:t xml:space="preserve">them </w:t>
      </w:r>
      <w:r w:rsidRPr="2816C17C">
        <w:rPr>
          <w:rFonts w:cs="Open Sans"/>
        </w:rPr>
        <w:t>as meaning that their bodies are undesirable</w:t>
      </w:r>
      <w:r>
        <w:rPr>
          <w:rFonts w:cs="Open Sans"/>
        </w:rPr>
        <w:t xml:space="preserve"> or </w:t>
      </w:r>
      <w:r w:rsidRPr="2816C17C">
        <w:rPr>
          <w:rFonts w:cs="Open Sans"/>
        </w:rPr>
        <w:t>problematic</w:t>
      </w:r>
      <w:r>
        <w:rPr>
          <w:rFonts w:cs="Open Sans"/>
        </w:rPr>
        <w:t>. This can</w:t>
      </w:r>
      <w:r w:rsidRPr="2816C17C">
        <w:rPr>
          <w:rFonts w:cs="Open Sans"/>
        </w:rPr>
        <w:t xml:space="preserve"> fuel</w:t>
      </w:r>
      <w:r>
        <w:rPr>
          <w:rFonts w:cs="Open Sans"/>
        </w:rPr>
        <w:t xml:space="preserve"> stigma and</w:t>
      </w:r>
      <w:r w:rsidRPr="2816C17C">
        <w:rPr>
          <w:rFonts w:cs="Open Sans"/>
        </w:rPr>
        <w:t xml:space="preserve"> shame. </w:t>
      </w:r>
    </w:p>
    <w:p w:rsidRPr="00832D3B" w:rsidR="004D61D2" w:rsidP="004D61D2" w:rsidRDefault="004D61D2" w14:paraId="0120526F" w14:textId="77777777">
      <w:pPr>
        <w:rPr>
          <w:rFonts w:cs="Open Sans"/>
        </w:rPr>
      </w:pPr>
      <w:r w:rsidRPr="2816C17C">
        <w:rPr>
          <w:rFonts w:cs="Open Sans"/>
        </w:rPr>
        <w:t>The Commission agrees that</w:t>
      </w:r>
      <w:r w:rsidRPr="2816C17C" w:rsidDel="00D967C2">
        <w:rPr>
          <w:rFonts w:cs="Open Sans"/>
        </w:rPr>
        <w:t xml:space="preserve"> </w:t>
      </w:r>
      <w:r w:rsidRPr="2816C17C">
        <w:rPr>
          <w:rFonts w:cs="Open Sans"/>
        </w:rPr>
        <w:t xml:space="preserve">‘normalising’ interventions appear to </w:t>
      </w:r>
      <w:r w:rsidRPr="5F726F67">
        <w:rPr>
          <w:rFonts w:cs="Open Sans"/>
        </w:rPr>
        <w:t>exacerbate</w:t>
      </w:r>
      <w:r w:rsidRPr="2816C17C">
        <w:rPr>
          <w:rFonts w:cs="Open Sans"/>
        </w:rPr>
        <w:t xml:space="preserve"> a cycle of stigma about bodily diversity, thereby being used to </w:t>
      </w:r>
      <w:r w:rsidRPr="00832D3B">
        <w:rPr>
          <w:rFonts w:cs="Open Sans"/>
        </w:rPr>
        <w:t>justify</w:t>
      </w:r>
      <w:r w:rsidRPr="2816C17C">
        <w:rPr>
          <w:rFonts w:cs="Open Sans"/>
        </w:rPr>
        <w:t xml:space="preserve"> further medical interventions. </w:t>
      </w:r>
      <w:r>
        <w:rPr>
          <w:rFonts w:cs="Open Sans"/>
        </w:rPr>
        <w:t xml:space="preserve">Some </w:t>
      </w:r>
      <w:r w:rsidRPr="2816C17C">
        <w:rPr>
          <w:rFonts w:cs="Open Sans"/>
        </w:rPr>
        <w:t xml:space="preserve">people born with variations in sex characteristics </w:t>
      </w:r>
      <w:r>
        <w:rPr>
          <w:rFonts w:cs="Open Sans"/>
        </w:rPr>
        <w:lastRenderedPageBreak/>
        <w:t>considered that r</w:t>
      </w:r>
      <w:r w:rsidRPr="2816C17C">
        <w:rPr>
          <w:rFonts w:cs="Open Sans"/>
        </w:rPr>
        <w:t>epeated early</w:t>
      </w:r>
      <w:r>
        <w:rPr>
          <w:rFonts w:cs="Open Sans"/>
        </w:rPr>
        <w:t xml:space="preserve"> medical</w:t>
      </w:r>
      <w:r w:rsidRPr="2816C17C">
        <w:rPr>
          <w:rFonts w:cs="Open Sans"/>
        </w:rPr>
        <w:t xml:space="preserve"> intervention to prevent bullying and isolation, led to them becoming adults who feel that they have been deprived of agency over their bodies and their health</w:t>
      </w:r>
      <w:r>
        <w:rPr>
          <w:rFonts w:cs="Open Sans"/>
        </w:rPr>
        <w:t xml:space="preserve">. They </w:t>
      </w:r>
      <w:r w:rsidRPr="2816C17C">
        <w:rPr>
          <w:rFonts w:cs="Open Sans"/>
        </w:rPr>
        <w:t>report</w:t>
      </w:r>
      <w:r>
        <w:rPr>
          <w:rFonts w:cs="Open Sans"/>
        </w:rPr>
        <w:t>ed</w:t>
      </w:r>
      <w:r w:rsidRPr="2816C17C">
        <w:rPr>
          <w:rFonts w:cs="Open Sans"/>
        </w:rPr>
        <w:t xml:space="preserve"> poor mental health related to </w:t>
      </w:r>
      <w:r>
        <w:rPr>
          <w:rFonts w:cs="Open Sans"/>
        </w:rPr>
        <w:t>this</w:t>
      </w:r>
      <w:r w:rsidRPr="2816C17C">
        <w:rPr>
          <w:rFonts w:cs="Open Sans"/>
        </w:rPr>
        <w:t xml:space="preserve"> deprivation of agency</w:t>
      </w:r>
      <w:r>
        <w:rPr>
          <w:rFonts w:cs="Open Sans"/>
        </w:rPr>
        <w:t xml:space="preserve"> (and </w:t>
      </w:r>
      <w:r w:rsidRPr="2816C17C">
        <w:rPr>
          <w:rFonts w:cs="Open Sans"/>
        </w:rPr>
        <w:t xml:space="preserve">to other aspects of their variation). </w:t>
      </w:r>
    </w:p>
    <w:p w:rsidRPr="00B23A19" w:rsidR="004D61D2" w:rsidP="004D61D2" w:rsidRDefault="004D61D2" w14:paraId="50070ABF" w14:textId="3690D711">
      <w:pPr>
        <w:rPr>
          <w:rFonts w:cs="Open Sans"/>
        </w:rPr>
      </w:pPr>
      <w:r w:rsidRPr="2816C17C">
        <w:rPr>
          <w:rFonts w:cs="Open Sans"/>
        </w:rPr>
        <w:t xml:space="preserve">While human rights law permits parents to consent to certain medical interventions </w:t>
      </w:r>
      <w:r>
        <w:rPr>
          <w:rFonts w:cs="Open Sans"/>
        </w:rPr>
        <w:t>on behalf of</w:t>
      </w:r>
      <w:r w:rsidRPr="2816C17C">
        <w:rPr>
          <w:rFonts w:cs="Open Sans"/>
        </w:rPr>
        <w:t xml:space="preserve"> their children, this is not an open-ended right to consent to any intervention whatsoeve</w:t>
      </w:r>
      <w:r w:rsidRPr="000F1616">
        <w:rPr>
          <w:rFonts w:cs="Open Sans"/>
        </w:rPr>
        <w:t>r.</w:t>
      </w:r>
      <w:r w:rsidRPr="00096884">
        <w:rPr>
          <w:rStyle w:val="CommentReference"/>
          <w:sz w:val="24"/>
          <w:szCs w:val="24"/>
        </w:rPr>
        <w:t xml:space="preserve"> In cases of medical intervention to </w:t>
      </w:r>
      <w:r w:rsidR="00B57B75">
        <w:rPr>
          <w:rStyle w:val="CommentReference"/>
          <w:sz w:val="24"/>
          <w:szCs w:val="24"/>
        </w:rPr>
        <w:t>modify</w:t>
      </w:r>
      <w:r w:rsidRPr="00096884">
        <w:rPr>
          <w:rStyle w:val="CommentReference"/>
          <w:sz w:val="24"/>
          <w:szCs w:val="24"/>
        </w:rPr>
        <w:t xml:space="preserve"> a child’s sex characteristics, </w:t>
      </w:r>
      <w:r w:rsidRPr="000F1616">
        <w:rPr>
          <w:rFonts w:cs="Open Sans"/>
        </w:rPr>
        <w:t xml:space="preserve">the child’s </w:t>
      </w:r>
      <w:r w:rsidRPr="0026545A">
        <w:rPr>
          <w:rFonts w:cs="Open Sans"/>
        </w:rPr>
        <w:t>autonomy</w:t>
      </w:r>
      <w:r w:rsidRPr="0117CC5D">
        <w:rPr>
          <w:rFonts w:cs="Open Sans"/>
        </w:rPr>
        <w:t xml:space="preserve"> can be limited</w:t>
      </w:r>
      <w:r w:rsidRPr="2816C17C">
        <w:rPr>
          <w:rFonts w:cs="Open Sans"/>
        </w:rPr>
        <w:t xml:space="preserve"> </w:t>
      </w:r>
      <w:r w:rsidRPr="00305F2F">
        <w:rPr>
          <w:rFonts w:cs="Open Sans"/>
        </w:rPr>
        <w:t xml:space="preserve">only where </w:t>
      </w:r>
      <w:r>
        <w:rPr>
          <w:rFonts w:cs="Open Sans"/>
        </w:rPr>
        <w:t xml:space="preserve">the proposed intervention </w:t>
      </w:r>
      <w:r w:rsidRPr="00305F2F">
        <w:rPr>
          <w:rFonts w:cs="Open Sans"/>
        </w:rPr>
        <w:t>meets the standard of medical necessity</w:t>
      </w:r>
      <w:r w:rsidRPr="2816C17C">
        <w:rPr>
          <w:rFonts w:cs="Open Sans"/>
        </w:rPr>
        <w:t>.</w:t>
      </w:r>
    </w:p>
    <w:p w:rsidR="004D61D2" w:rsidP="004D61D2" w:rsidRDefault="004D61D2" w14:paraId="3934117D" w14:textId="77777777">
      <w:pPr>
        <w:rPr>
          <w:rFonts w:cs="Open Sans"/>
        </w:rPr>
      </w:pPr>
      <w:r w:rsidRPr="2816C17C">
        <w:rPr>
          <w:rFonts w:cs="Open Sans"/>
        </w:rPr>
        <w:t xml:space="preserve">Intervention based on </w:t>
      </w:r>
      <w:r w:rsidRPr="7623DED8">
        <w:rPr>
          <w:rFonts w:cs="Open Sans"/>
        </w:rPr>
        <w:t>psycho</w:t>
      </w:r>
      <w:r w:rsidRPr="2816C17C">
        <w:rPr>
          <w:rFonts w:cs="Open Sans"/>
        </w:rPr>
        <w:t xml:space="preserve">social grounds frequently involves </w:t>
      </w:r>
      <w:r w:rsidRPr="7623DED8">
        <w:rPr>
          <w:rFonts w:cs="Open Sans"/>
        </w:rPr>
        <w:t>giving</w:t>
      </w:r>
      <w:r w:rsidRPr="2816C17C">
        <w:rPr>
          <w:rFonts w:cs="Open Sans"/>
        </w:rPr>
        <w:t xml:space="preserve"> undue weight to factors such as </w:t>
      </w:r>
      <w:r>
        <w:rPr>
          <w:rFonts w:cs="Open Sans"/>
        </w:rPr>
        <w:t xml:space="preserve">the </w:t>
      </w:r>
      <w:r w:rsidRPr="2816C17C">
        <w:rPr>
          <w:rFonts w:cs="Open Sans"/>
        </w:rPr>
        <w:t>preferences of parents</w:t>
      </w:r>
      <w:r>
        <w:rPr>
          <w:rFonts w:cs="Open Sans"/>
        </w:rPr>
        <w:t xml:space="preserve"> or the wider family</w:t>
      </w:r>
      <w:r w:rsidRPr="2816C17C">
        <w:rPr>
          <w:rFonts w:cs="Open Sans"/>
        </w:rPr>
        <w:t xml:space="preserve">. Those </w:t>
      </w:r>
      <w:r>
        <w:rPr>
          <w:rFonts w:cs="Open Sans"/>
        </w:rPr>
        <w:t xml:space="preserve">factors alone </w:t>
      </w:r>
      <w:r w:rsidRPr="7623DED8">
        <w:rPr>
          <w:rFonts w:cs="Open Sans"/>
        </w:rPr>
        <w:t>cannot</w:t>
      </w:r>
      <w:r w:rsidRPr="2816C17C">
        <w:rPr>
          <w:rFonts w:cs="Open Sans"/>
        </w:rPr>
        <w:t xml:space="preserve"> justify non-consensual intervention. </w:t>
      </w:r>
    </w:p>
    <w:p w:rsidRPr="00B23A19" w:rsidR="004D61D2" w:rsidP="004D61D2" w:rsidRDefault="004D61D2" w14:paraId="1D8FAE05" w14:textId="6B33586D">
      <w:pPr>
        <w:rPr>
          <w:rFonts w:cs="Open Sans"/>
        </w:rPr>
      </w:pPr>
      <w:r>
        <w:rPr>
          <w:rFonts w:cs="Open Sans"/>
        </w:rPr>
        <w:t xml:space="preserve">It was </w:t>
      </w:r>
      <w:r w:rsidRPr="2816C17C">
        <w:rPr>
          <w:rFonts w:cs="Open Sans"/>
        </w:rPr>
        <w:t>argued by some clinicians t</w:t>
      </w:r>
      <w:r w:rsidRPr="2816C17C" w:rsidDel="00B23A19">
        <w:rPr>
          <w:rFonts w:cs="Open Sans"/>
        </w:rPr>
        <w:t>hat interventions are needed to protect psychological health</w:t>
      </w:r>
      <w:r w:rsidRPr="2816C17C">
        <w:rPr>
          <w:rFonts w:cs="Open Sans"/>
        </w:rPr>
        <w:t xml:space="preserve">. </w:t>
      </w:r>
      <w:r>
        <w:rPr>
          <w:rFonts w:cs="Open Sans"/>
        </w:rPr>
        <w:t>T</w:t>
      </w:r>
      <w:r w:rsidRPr="2816C17C">
        <w:rPr>
          <w:rFonts w:cs="Open Sans"/>
        </w:rPr>
        <w:t xml:space="preserve">he Commission is not </w:t>
      </w:r>
      <w:r>
        <w:rPr>
          <w:rFonts w:cs="Open Sans"/>
        </w:rPr>
        <w:t>persuaded</w:t>
      </w:r>
      <w:r w:rsidRPr="2816C17C">
        <w:rPr>
          <w:rFonts w:cs="Open Sans"/>
        </w:rPr>
        <w:t xml:space="preserve"> t</w:t>
      </w:r>
      <w:r w:rsidRPr="2816C17C">
        <w:rPr>
          <w:rFonts w:eastAsia="Open Sans" w:cs="Open Sans"/>
        </w:rPr>
        <w:t>hat interventions</w:t>
      </w:r>
      <w:r w:rsidR="00096884">
        <w:rPr>
          <w:rFonts w:eastAsia="Open Sans" w:cs="Open Sans"/>
        </w:rPr>
        <w:t xml:space="preserve"> without personal con</w:t>
      </w:r>
      <w:r w:rsidR="00AF153B">
        <w:rPr>
          <w:rFonts w:eastAsia="Open Sans" w:cs="Open Sans"/>
        </w:rPr>
        <w:t>s</w:t>
      </w:r>
      <w:r w:rsidR="00096884">
        <w:rPr>
          <w:rFonts w:eastAsia="Open Sans" w:cs="Open Sans"/>
        </w:rPr>
        <w:t>ent</w:t>
      </w:r>
      <w:r w:rsidRPr="2816C17C">
        <w:rPr>
          <w:rFonts w:eastAsia="Open Sans" w:cs="Open Sans"/>
        </w:rPr>
        <w:t xml:space="preserve"> are needed to protect psychological health</w:t>
      </w:r>
      <w:r w:rsidRPr="2816C17C" w:rsidDel="0046005E">
        <w:rPr>
          <w:rFonts w:cs="Open Sans"/>
        </w:rPr>
        <w:t xml:space="preserve"> </w:t>
      </w:r>
      <w:r w:rsidRPr="2816C17C">
        <w:rPr>
          <w:rFonts w:cs="Open Sans"/>
        </w:rPr>
        <w:t>for the following reasons:</w:t>
      </w:r>
    </w:p>
    <w:p w:rsidRPr="00722254" w:rsidR="004D61D2" w:rsidP="002F7D27" w:rsidRDefault="004D61D2" w14:paraId="2C13C5D7" w14:textId="77777777">
      <w:pPr>
        <w:pStyle w:val="ListParagraph"/>
        <w:numPr>
          <w:ilvl w:val="0"/>
          <w:numId w:val="44"/>
        </w:numPr>
        <w:spacing w:before="0" w:after="200" w:line="276" w:lineRule="auto"/>
        <w:contextualSpacing/>
        <w:rPr>
          <w:rFonts w:cs="Open Sans"/>
        </w:rPr>
      </w:pPr>
      <w:r>
        <w:rPr>
          <w:rFonts w:cs="Open Sans"/>
        </w:rPr>
        <w:t>interventions</w:t>
      </w:r>
      <w:r w:rsidRPr="00072A2C">
        <w:rPr>
          <w:rFonts w:cs="Open Sans"/>
        </w:rPr>
        <w:t xml:space="preserve"> can lead and have led to psychological harm</w:t>
      </w:r>
      <w:r>
        <w:rPr>
          <w:rFonts w:cs="Open Sans"/>
        </w:rPr>
        <w:t xml:space="preserve"> and mental anguish related to feelings of stigma and shame</w:t>
      </w:r>
    </w:p>
    <w:p w:rsidRPr="00722254" w:rsidR="004D61D2" w:rsidP="002F7D27" w:rsidRDefault="004D61D2" w14:paraId="0D99A2A6" w14:textId="77777777">
      <w:pPr>
        <w:pStyle w:val="ListParagraph"/>
        <w:numPr>
          <w:ilvl w:val="0"/>
          <w:numId w:val="44"/>
        </w:numPr>
        <w:spacing w:before="0" w:after="200" w:line="276" w:lineRule="auto"/>
        <w:contextualSpacing/>
        <w:rPr>
          <w:rFonts w:cs="Open Sans"/>
        </w:rPr>
      </w:pPr>
      <w:r>
        <w:rPr>
          <w:rFonts w:cs="Open Sans"/>
        </w:rPr>
        <w:t>t</w:t>
      </w:r>
      <w:r w:rsidRPr="00722254">
        <w:rPr>
          <w:rFonts w:cs="Open Sans"/>
        </w:rPr>
        <w:t>here</w:t>
      </w:r>
      <w:r w:rsidRPr="2816C17C">
        <w:rPr>
          <w:rFonts w:cs="Open Sans"/>
        </w:rPr>
        <w:t xml:space="preserve"> is mixed evidence about whether </w:t>
      </w:r>
      <w:r>
        <w:rPr>
          <w:rFonts w:cs="Open Sans"/>
        </w:rPr>
        <w:t xml:space="preserve">interventions </w:t>
      </w:r>
      <w:r w:rsidRPr="2816C17C">
        <w:rPr>
          <w:rFonts w:cs="Open Sans"/>
        </w:rPr>
        <w:t>prevent harm</w:t>
      </w:r>
      <w:r>
        <w:rPr>
          <w:rFonts w:cs="Open Sans"/>
        </w:rPr>
        <w:t xml:space="preserve"> to the individual in a way that is proportionate to the harm that the interventions may cause</w:t>
      </w:r>
    </w:p>
    <w:p w:rsidRPr="00722254" w:rsidR="004D61D2" w:rsidP="002F7D27" w:rsidRDefault="004D61D2" w14:paraId="5A01701A" w14:textId="77777777">
      <w:pPr>
        <w:pStyle w:val="ListParagraph"/>
        <w:numPr>
          <w:ilvl w:val="0"/>
          <w:numId w:val="44"/>
        </w:numPr>
        <w:spacing w:before="0" w:after="200" w:line="276" w:lineRule="auto"/>
        <w:contextualSpacing/>
        <w:rPr>
          <w:rFonts w:cs="Open Sans"/>
        </w:rPr>
      </w:pPr>
      <w:r>
        <w:rPr>
          <w:rFonts w:cs="Open Sans"/>
        </w:rPr>
        <w:t>e</w:t>
      </w:r>
      <w:r w:rsidRPr="00722254">
        <w:rPr>
          <w:rFonts w:cs="Open Sans"/>
        </w:rPr>
        <w:t>xpert medical opinion before the Commission (from psychologists and psychiatrists) is that that the interventions are</w:t>
      </w:r>
      <w:r>
        <w:rPr>
          <w:rFonts w:cs="Open Sans"/>
        </w:rPr>
        <w:t xml:space="preserve"> </w:t>
      </w:r>
      <w:r w:rsidRPr="00722254">
        <w:rPr>
          <w:rFonts w:cs="Open Sans"/>
        </w:rPr>
        <w:t>n</w:t>
      </w:r>
      <w:r>
        <w:rPr>
          <w:rFonts w:cs="Open Sans"/>
        </w:rPr>
        <w:t>o</w:t>
      </w:r>
      <w:r w:rsidRPr="00722254">
        <w:rPr>
          <w:rFonts w:cs="Open Sans"/>
        </w:rPr>
        <w:t>t needed to prevent these claimed harms</w:t>
      </w:r>
    </w:p>
    <w:p w:rsidRPr="00722254" w:rsidR="004D61D2" w:rsidP="002F7D27" w:rsidRDefault="004D61D2" w14:paraId="04367F53" w14:textId="77777777">
      <w:pPr>
        <w:pStyle w:val="ListParagraph"/>
        <w:numPr>
          <w:ilvl w:val="0"/>
          <w:numId w:val="44"/>
        </w:numPr>
        <w:spacing w:before="0" w:after="200" w:line="276" w:lineRule="auto"/>
        <w:contextualSpacing/>
        <w:rPr>
          <w:rFonts w:cs="Open Sans"/>
        </w:rPr>
      </w:pPr>
      <w:r>
        <w:rPr>
          <w:rFonts w:cs="Open Sans"/>
        </w:rPr>
        <w:t>evidence</w:t>
      </w:r>
      <w:r w:rsidDel="0046005E">
        <w:rPr>
          <w:rFonts w:cs="Open Sans"/>
        </w:rPr>
        <w:t xml:space="preserve"> </w:t>
      </w:r>
      <w:r>
        <w:rPr>
          <w:rFonts w:cs="Open Sans"/>
        </w:rPr>
        <w:t>from people with lived experience indicates the variations</w:t>
      </w:r>
      <w:r w:rsidRPr="00722254">
        <w:rPr>
          <w:rFonts w:cs="Open Sans"/>
        </w:rPr>
        <w:t xml:space="preserve"> themselves do</w:t>
      </w:r>
      <w:r>
        <w:rPr>
          <w:rFonts w:cs="Open Sans"/>
        </w:rPr>
        <w:t xml:space="preserve"> </w:t>
      </w:r>
      <w:r w:rsidRPr="00722254">
        <w:rPr>
          <w:rFonts w:cs="Open Sans"/>
        </w:rPr>
        <w:t>n</w:t>
      </w:r>
      <w:r>
        <w:rPr>
          <w:rFonts w:cs="Open Sans"/>
        </w:rPr>
        <w:t>o</w:t>
      </w:r>
      <w:r w:rsidRPr="00722254">
        <w:rPr>
          <w:rFonts w:cs="Open Sans"/>
        </w:rPr>
        <w:t>t lead to these harms – parental, clinical, and social attitudes do</w:t>
      </w:r>
    </w:p>
    <w:p w:rsidRPr="00722254" w:rsidR="004D61D2" w:rsidP="002F7D27" w:rsidRDefault="004D61D2" w14:paraId="39BF3984" w14:textId="77777777">
      <w:pPr>
        <w:pStyle w:val="ListParagraph"/>
        <w:numPr>
          <w:ilvl w:val="0"/>
          <w:numId w:val="44"/>
        </w:numPr>
        <w:spacing w:before="0" w:after="200" w:line="276" w:lineRule="auto"/>
        <w:contextualSpacing/>
        <w:rPr>
          <w:rFonts w:cs="Open Sans"/>
        </w:rPr>
      </w:pPr>
      <w:r>
        <w:rPr>
          <w:rFonts w:cs="Open Sans"/>
        </w:rPr>
        <w:t>t</w:t>
      </w:r>
      <w:r w:rsidRPr="00722254">
        <w:rPr>
          <w:rFonts w:cs="Open Sans"/>
        </w:rPr>
        <w:t>here</w:t>
      </w:r>
      <w:r w:rsidRPr="2816C17C">
        <w:rPr>
          <w:rFonts w:cs="Open Sans"/>
        </w:rPr>
        <w:t xml:space="preserve"> are other</w:t>
      </w:r>
      <w:r>
        <w:rPr>
          <w:rFonts w:cs="Open Sans"/>
        </w:rPr>
        <w:t>, less human rights intrusive</w:t>
      </w:r>
      <w:r w:rsidRPr="2816C17C">
        <w:rPr>
          <w:rFonts w:cs="Open Sans"/>
        </w:rPr>
        <w:t xml:space="preserve"> ways to address these harms (</w:t>
      </w:r>
      <w:r>
        <w:rPr>
          <w:rFonts w:cs="Open Sans"/>
        </w:rPr>
        <w:t xml:space="preserve">especially </w:t>
      </w:r>
      <w:r w:rsidRPr="2816C17C">
        <w:rPr>
          <w:rFonts w:cs="Open Sans"/>
        </w:rPr>
        <w:t>education, counselling</w:t>
      </w:r>
      <w:r>
        <w:rPr>
          <w:rFonts w:cs="Open Sans"/>
        </w:rPr>
        <w:t xml:space="preserve"> and</w:t>
      </w:r>
      <w:r w:rsidRPr="2816C17C">
        <w:rPr>
          <w:rFonts w:cs="Open Sans"/>
        </w:rPr>
        <w:t xml:space="preserve"> peer support). </w:t>
      </w:r>
    </w:p>
    <w:p w:rsidR="004D61D2" w:rsidP="004D61D2" w:rsidRDefault="004D61D2" w14:paraId="780E56CA" w14:textId="77777777">
      <w:pPr>
        <w:rPr>
          <w:rFonts w:cs="Open Sans"/>
        </w:rPr>
      </w:pPr>
      <w:r w:rsidRPr="2816C17C">
        <w:rPr>
          <w:rFonts w:cs="Open Sans"/>
        </w:rPr>
        <w:t>Thus, the Commission considers that interventions based on notions of normalising sex characteristics and other psychosocial rationale</w:t>
      </w:r>
      <w:r>
        <w:rPr>
          <w:rFonts w:cs="Open Sans"/>
        </w:rPr>
        <w:t>s</w:t>
      </w:r>
      <w:r w:rsidRPr="2816C17C">
        <w:rPr>
          <w:rFonts w:cs="Open Sans"/>
        </w:rPr>
        <w:t xml:space="preserve"> do not meet </w:t>
      </w:r>
      <w:r w:rsidRPr="00305F2F">
        <w:rPr>
          <w:rFonts w:cs="Open Sans"/>
        </w:rPr>
        <w:t>the standard of medical necessity</w:t>
      </w:r>
      <w:r w:rsidRPr="2816C17C">
        <w:rPr>
          <w:rFonts w:cs="Open Sans"/>
        </w:rPr>
        <w:t xml:space="preserve">. </w:t>
      </w:r>
    </w:p>
    <w:p w:rsidRPr="004E1B63" w:rsidR="004D61D2" w:rsidP="004E1B63" w:rsidRDefault="004D61D2" w14:paraId="59247B6B" w14:textId="6EB5B653">
      <w:pPr>
        <w:pStyle w:val="AHRCHeading2"/>
      </w:pPr>
      <w:bookmarkStart w:name="_Toc79596607" w:id="305"/>
      <w:bookmarkStart w:name="_Toc85541434" w:id="306"/>
      <w:r w:rsidRPr="004E1B63">
        <w:lastRenderedPageBreak/>
        <w:t>At what point of time is an intervention necessary?</w:t>
      </w:r>
      <w:bookmarkEnd w:id="305"/>
      <w:bookmarkEnd w:id="306"/>
      <w:r w:rsidRPr="004E1B63">
        <w:t xml:space="preserve">  </w:t>
      </w:r>
    </w:p>
    <w:p w:rsidR="004D61D2" w:rsidP="004D61D2" w:rsidRDefault="004D61D2" w14:paraId="679F9169" w14:textId="77777777">
      <w:pPr>
        <w:rPr>
          <w:rFonts w:cs="Open Sans"/>
        </w:rPr>
      </w:pPr>
      <w:r>
        <w:rPr>
          <w:rFonts w:cs="Open Sans"/>
        </w:rPr>
        <w:t xml:space="preserve">A </w:t>
      </w:r>
      <w:r w:rsidRPr="2816C17C">
        <w:rPr>
          <w:rFonts w:cs="Open Sans"/>
        </w:rPr>
        <w:t xml:space="preserve">critical element of the concept of medical necessity is understanding the justification for the timing of an intervention. For example, can the condition be monitored until a child is at a later age or reaches an age where they can provide their </w:t>
      </w:r>
      <w:r>
        <w:rPr>
          <w:rFonts w:cs="Open Sans"/>
        </w:rPr>
        <w:t>personal consent</w:t>
      </w:r>
      <w:r w:rsidRPr="2816C17C">
        <w:rPr>
          <w:rFonts w:cs="Open Sans"/>
        </w:rPr>
        <w:t xml:space="preserve">? Is it feasible that less intrusive medical options may be possible if interventions are left until a future time? Alternatively, does earlier surgical intervention reduce the complexity of the surgery or increase the chance of optional functioning? </w:t>
      </w:r>
    </w:p>
    <w:p w:rsidR="004D61D2" w:rsidP="004D61D2" w:rsidRDefault="004D61D2" w14:paraId="6F9A454E" w14:textId="77777777">
      <w:pPr>
        <w:rPr>
          <w:rFonts w:cs="Open Sans"/>
        </w:rPr>
      </w:pPr>
      <w:r w:rsidRPr="2816C17C">
        <w:rPr>
          <w:rFonts w:cs="Open Sans"/>
        </w:rPr>
        <w:t xml:space="preserve">There was </w:t>
      </w:r>
      <w:r>
        <w:rPr>
          <w:rFonts w:cs="Open Sans"/>
        </w:rPr>
        <w:t xml:space="preserve">a </w:t>
      </w:r>
      <w:r w:rsidRPr="2816C17C">
        <w:rPr>
          <w:rFonts w:cs="Open Sans"/>
        </w:rPr>
        <w:t xml:space="preserve">divergence of views on the weight that should be placed on early interventions to prevent serious consequences at some time in the future. </w:t>
      </w:r>
      <w:bookmarkStart w:name="_Hlk48744946" w:id="307"/>
    </w:p>
    <w:p w:rsidR="004D61D2" w:rsidP="004D61D2" w:rsidRDefault="004D61D2" w14:paraId="0C61AB37" w14:textId="77777777">
      <w:pPr>
        <w:pStyle w:val="Heading3"/>
      </w:pPr>
      <w:bookmarkStart w:name="_Toc79596608" w:id="308"/>
      <w:bookmarkStart w:name="_Toc85541435" w:id="309"/>
      <w:bookmarkEnd w:id="307"/>
      <w:r>
        <w:t>Support</w:t>
      </w:r>
      <w:r w:rsidRPr="2816C17C">
        <w:t xml:space="preserve"> for early interventions</w:t>
      </w:r>
      <w:bookmarkEnd w:id="308"/>
      <w:bookmarkEnd w:id="309"/>
    </w:p>
    <w:p w:rsidR="004D61D2" w:rsidP="004D61D2" w:rsidRDefault="004D61D2" w14:paraId="19F2036C" w14:textId="77777777">
      <w:pPr>
        <w:rPr>
          <w:rFonts w:cs="Open Sans"/>
        </w:rPr>
      </w:pPr>
      <w:r>
        <w:rPr>
          <w:rFonts w:cs="Open Sans"/>
        </w:rPr>
        <w:t>Most p</w:t>
      </w:r>
      <w:r w:rsidRPr="00832D3B">
        <w:rPr>
          <w:rFonts w:cs="Open Sans"/>
        </w:rPr>
        <w:t>arents and clinician</w:t>
      </w:r>
      <w:r>
        <w:rPr>
          <w:rFonts w:cs="Open Sans"/>
        </w:rPr>
        <w:t>s</w:t>
      </w:r>
      <w:r w:rsidRPr="00832D3B">
        <w:rPr>
          <w:rFonts w:cs="Open Sans"/>
        </w:rPr>
        <w:t xml:space="preserve"> supported </w:t>
      </w:r>
      <w:r>
        <w:rPr>
          <w:rFonts w:cs="Open Sans"/>
        </w:rPr>
        <w:t xml:space="preserve">‘early’ interventions, in circumstances where they believed that it would be less complex to achieve the desired outcome. Support for early interventions was based on the belief that this was in the child’s best interests. </w:t>
      </w:r>
    </w:p>
    <w:p w:rsidR="004D61D2" w:rsidP="004D61D2" w:rsidRDefault="004D61D2" w14:paraId="747A00AD" w14:textId="77777777">
      <w:pPr>
        <w:rPr>
          <w:rFonts w:cs="Open Sans"/>
        </w:rPr>
      </w:pPr>
      <w:r w:rsidRPr="00832D3B">
        <w:rPr>
          <w:rFonts w:cs="Open Sans"/>
        </w:rPr>
        <w:t>Parents told the Commission that authorising such interventions fulfils their parental responsibilities by protecting their children’s rights to attain the highest possible standard of health and wellbeing.</w:t>
      </w:r>
      <w:r w:rsidRPr="0117CC5D">
        <w:rPr>
          <w:rStyle w:val="EndnoteReference"/>
          <w:rFonts w:cs="Open Sans"/>
        </w:rPr>
        <w:endnoteReference w:id="372"/>
      </w:r>
      <w:r w:rsidRPr="00832D3B">
        <w:rPr>
          <w:rFonts w:cs="Open Sans"/>
        </w:rPr>
        <w:t xml:space="preserve"> </w:t>
      </w:r>
    </w:p>
    <w:p w:rsidR="004D61D2" w:rsidP="004D61D2" w:rsidRDefault="004D61D2" w14:paraId="0778E0C4" w14:textId="5C3E8918">
      <w:pPr>
        <w:rPr>
          <w:rFonts w:cs="Open Sans"/>
        </w:rPr>
      </w:pPr>
      <w:r>
        <w:rPr>
          <w:rFonts w:cs="Open Sans"/>
        </w:rPr>
        <w:t>One clinician cited the example of performing h</w:t>
      </w:r>
      <w:r w:rsidRPr="00371282">
        <w:rPr>
          <w:rFonts w:cs="Open Sans"/>
        </w:rPr>
        <w:t>ypospadias surgery</w:t>
      </w:r>
      <w:r>
        <w:rPr>
          <w:rFonts w:cs="Open Sans"/>
        </w:rPr>
        <w:t>, stating that it</w:t>
      </w:r>
    </w:p>
    <w:p w:rsidRPr="002B773A" w:rsidR="004D61D2" w:rsidP="004D61D2" w:rsidRDefault="004D61D2" w14:paraId="435372AE" w14:textId="77777777">
      <w:pPr>
        <w:ind w:left="720"/>
        <w:rPr>
          <w:rFonts w:cs="Open Sans"/>
          <w:sz w:val="22"/>
          <w:szCs w:val="22"/>
        </w:rPr>
      </w:pPr>
      <w:r w:rsidRPr="002B773A">
        <w:rPr>
          <w:rFonts w:cs="Open Sans"/>
          <w:sz w:val="22"/>
          <w:szCs w:val="22"/>
        </w:rPr>
        <w:t>is routinely offered to boys, on the basis that surgery in infancy or early childhood carries better urological outcomes and minimises psychological harm. The evidence for this is incomplete; however so is the evidence to support deferring surgery.</w:t>
      </w:r>
      <w:r w:rsidRPr="002B773A">
        <w:rPr>
          <w:rStyle w:val="EndnoteReference"/>
          <w:rFonts w:cs="Open Sans"/>
          <w:sz w:val="16"/>
          <w:szCs w:val="16"/>
        </w:rPr>
        <w:endnoteReference w:id="373"/>
      </w:r>
      <w:r w:rsidRPr="002B773A">
        <w:rPr>
          <w:rFonts w:cs="Open Sans"/>
          <w:sz w:val="16"/>
          <w:szCs w:val="16"/>
        </w:rPr>
        <w:t xml:space="preserve"> </w:t>
      </w:r>
    </w:p>
    <w:p w:rsidR="004D61D2" w:rsidP="004D61D2" w:rsidRDefault="004D61D2" w14:paraId="73634EE1" w14:textId="77777777">
      <w:pPr>
        <w:rPr>
          <w:rFonts w:cs="Open Sans"/>
        </w:rPr>
      </w:pPr>
      <w:r>
        <w:rPr>
          <w:rFonts w:cs="Open Sans"/>
        </w:rPr>
        <w:t>This clinician goes on to say that ‘t</w:t>
      </w:r>
      <w:r w:rsidRPr="00AF5EF8">
        <w:rPr>
          <w:rFonts w:cs="Open Sans"/>
        </w:rPr>
        <w:t>here is little evidence to support the long term psychological effect of early or delayed surgery</w:t>
      </w:r>
      <w:r>
        <w:rPr>
          <w:rFonts w:cs="Open Sans"/>
        </w:rPr>
        <w:t>’</w:t>
      </w:r>
      <w:r w:rsidRPr="00AF5EF8">
        <w:rPr>
          <w:rFonts w:cs="Open Sans"/>
        </w:rPr>
        <w:t>.</w:t>
      </w:r>
      <w:r w:rsidRPr="0117CC5D">
        <w:rPr>
          <w:rStyle w:val="EndnoteReference"/>
          <w:rFonts w:cs="Open Sans"/>
        </w:rPr>
        <w:endnoteReference w:id="374"/>
      </w:r>
      <w:r>
        <w:rPr>
          <w:rFonts w:cs="Open Sans"/>
        </w:rPr>
        <w:t xml:space="preserve"> </w:t>
      </w:r>
    </w:p>
    <w:p w:rsidR="004D61D2" w:rsidP="004D61D2" w:rsidRDefault="004D61D2" w14:paraId="43D60D7E" w14:textId="77777777">
      <w:pPr>
        <w:rPr>
          <w:rFonts w:cs="Open Sans"/>
        </w:rPr>
      </w:pPr>
      <w:r>
        <w:rPr>
          <w:rFonts w:cs="Open Sans"/>
        </w:rPr>
        <w:lastRenderedPageBreak/>
        <w:t>Some p</w:t>
      </w:r>
      <w:r w:rsidRPr="00832D3B">
        <w:rPr>
          <w:rFonts w:cs="Open Sans"/>
        </w:rPr>
        <w:t>arent</w:t>
      </w:r>
      <w:r>
        <w:rPr>
          <w:rFonts w:cs="Open Sans"/>
        </w:rPr>
        <w:t>s</w:t>
      </w:r>
      <w:r w:rsidRPr="00832D3B">
        <w:rPr>
          <w:rFonts w:cs="Open Sans"/>
        </w:rPr>
        <w:t xml:space="preserve"> and clinician</w:t>
      </w:r>
      <w:r>
        <w:rPr>
          <w:rFonts w:cs="Open Sans"/>
        </w:rPr>
        <w:t>s</w:t>
      </w:r>
      <w:r w:rsidRPr="00832D3B">
        <w:rPr>
          <w:rFonts w:cs="Open Sans"/>
        </w:rPr>
        <w:t xml:space="preserve"> supported</w:t>
      </w:r>
      <w:r>
        <w:rPr>
          <w:rFonts w:cs="Open Sans"/>
        </w:rPr>
        <w:t xml:space="preserve"> early</w:t>
      </w:r>
      <w:r w:rsidRPr="00832D3B">
        <w:rPr>
          <w:rFonts w:cs="Open Sans"/>
        </w:rPr>
        <w:t xml:space="preserve"> intervention </w:t>
      </w:r>
      <w:r>
        <w:rPr>
          <w:rFonts w:cs="Open Sans"/>
        </w:rPr>
        <w:t>based on</w:t>
      </w:r>
      <w:r w:rsidRPr="00832D3B">
        <w:rPr>
          <w:rFonts w:cs="Open Sans"/>
        </w:rPr>
        <w:t xml:space="preserve"> </w:t>
      </w:r>
      <w:r>
        <w:rPr>
          <w:rFonts w:cs="Open Sans"/>
        </w:rPr>
        <w:t>the assertion that it is better as a child cannot remember the interventions.</w:t>
      </w:r>
      <w:r w:rsidRPr="0117CC5D">
        <w:rPr>
          <w:rStyle w:val="EndnoteReference"/>
          <w:rFonts w:cs="Open Sans"/>
        </w:rPr>
        <w:endnoteReference w:id="375"/>
      </w:r>
      <w:r w:rsidRPr="003229AF">
        <w:rPr>
          <w:rFonts w:cs="Open Sans"/>
        </w:rPr>
        <w:t xml:space="preserve"> </w:t>
      </w:r>
    </w:p>
    <w:p w:rsidR="004D61D2" w:rsidP="004D61D2" w:rsidRDefault="004D61D2" w14:paraId="05D06914" w14:textId="77777777">
      <w:pPr>
        <w:rPr>
          <w:rFonts w:cs="Open Sans"/>
        </w:rPr>
      </w:pPr>
      <w:r>
        <w:rPr>
          <w:rFonts w:cs="Open Sans"/>
        </w:rPr>
        <w:t>One parent clarified that having her son’s hypospadias surgery early was of benefit as they believed their child doesn’t remember ‘the surgery or pain’.</w:t>
      </w:r>
      <w:r w:rsidRPr="0117CC5D">
        <w:rPr>
          <w:rStyle w:val="EndnoteReference"/>
          <w:rFonts w:cs="Open Sans"/>
        </w:rPr>
        <w:endnoteReference w:id="376"/>
      </w:r>
      <w:r>
        <w:rPr>
          <w:rFonts w:cs="Open Sans"/>
        </w:rPr>
        <w:t xml:space="preserve"> </w:t>
      </w:r>
    </w:p>
    <w:p w:rsidR="004D61D2" w:rsidP="004D61D2" w:rsidRDefault="004D61D2" w14:paraId="275BD0A0" w14:textId="77777777">
      <w:pPr>
        <w:pStyle w:val="Heading3"/>
      </w:pPr>
      <w:bookmarkStart w:name="_Toc79596609" w:id="310"/>
      <w:bookmarkStart w:name="_Toc85541436" w:id="311"/>
      <w:r w:rsidRPr="2816C17C">
        <w:t>Opposition to early interventions</w:t>
      </w:r>
      <w:bookmarkEnd w:id="310"/>
      <w:bookmarkEnd w:id="311"/>
    </w:p>
    <w:p w:rsidR="004D61D2" w:rsidP="004D61D2" w:rsidRDefault="004D61D2" w14:paraId="085F51FC" w14:textId="77777777">
      <w:pPr>
        <w:rPr>
          <w:rFonts w:cs="Open Sans"/>
        </w:rPr>
      </w:pPr>
      <w:r w:rsidRPr="2816C17C">
        <w:rPr>
          <w:rFonts w:cs="Open Sans"/>
        </w:rPr>
        <w:t xml:space="preserve">Opposition to early interventions was based on the view that only interventions that are medically necessary at the present moment should occur without </w:t>
      </w:r>
      <w:r>
        <w:rPr>
          <w:rFonts w:cs="Open Sans"/>
        </w:rPr>
        <w:t>personal consent</w:t>
      </w:r>
      <w:r w:rsidRPr="2816C17C">
        <w:rPr>
          <w:rFonts w:cs="Open Sans"/>
        </w:rPr>
        <w:t xml:space="preserve">. They also argued that parents and clinicians </w:t>
      </w:r>
      <w:r>
        <w:rPr>
          <w:rFonts w:cs="Open Sans"/>
        </w:rPr>
        <w:t>are</w:t>
      </w:r>
      <w:r w:rsidRPr="2816C17C">
        <w:rPr>
          <w:rFonts w:cs="Open Sans"/>
        </w:rPr>
        <w:t xml:space="preserve"> not in a position to evaluate what </w:t>
      </w:r>
      <w:r>
        <w:rPr>
          <w:rFonts w:cs="Open Sans"/>
        </w:rPr>
        <w:t>would be</w:t>
      </w:r>
      <w:r w:rsidRPr="2816C17C">
        <w:rPr>
          <w:rFonts w:cs="Open Sans"/>
        </w:rPr>
        <w:t xml:space="preserve"> in the child’s best interests at some future point. </w:t>
      </w:r>
    </w:p>
    <w:p w:rsidR="004D61D2" w:rsidP="004D61D2" w:rsidRDefault="004D61D2" w14:paraId="4BD8EB71" w14:textId="77777777">
      <w:pPr>
        <w:rPr>
          <w:rFonts w:cs="Open Sans"/>
        </w:rPr>
      </w:pPr>
      <w:r>
        <w:rPr>
          <w:rFonts w:cs="Open Sans"/>
        </w:rPr>
        <w:t>Specialist</w:t>
      </w:r>
      <w:r w:rsidRPr="00407A0A">
        <w:rPr>
          <w:rFonts w:cs="Open Sans"/>
        </w:rPr>
        <w:t xml:space="preserve"> bodies in psychiatry  and psychology</w:t>
      </w:r>
      <w:r>
        <w:rPr>
          <w:rFonts w:cs="Open Sans"/>
        </w:rPr>
        <w:t xml:space="preserve">, including </w:t>
      </w:r>
      <w:r w:rsidRPr="00D50F6E">
        <w:rPr>
          <w:rFonts w:cs="Open Sans"/>
        </w:rPr>
        <w:t>RANZCP</w:t>
      </w:r>
      <w:r>
        <w:rPr>
          <w:rFonts w:cs="Open Sans"/>
        </w:rPr>
        <w:t>,</w:t>
      </w:r>
      <w:r w:rsidRPr="00D50F6E">
        <w:rPr>
          <w:rFonts w:cs="Open Sans"/>
        </w:rPr>
        <w:t xml:space="preserve"> </w:t>
      </w:r>
      <w:r>
        <w:rPr>
          <w:rFonts w:cs="Open Sans"/>
        </w:rPr>
        <w:t>opposed</w:t>
      </w:r>
      <w:r w:rsidRPr="00D50F6E">
        <w:rPr>
          <w:rFonts w:cs="Open Sans"/>
        </w:rPr>
        <w:t xml:space="preserve"> early intervention </w:t>
      </w:r>
      <w:r>
        <w:rPr>
          <w:rFonts w:cs="Open Sans"/>
        </w:rPr>
        <w:t xml:space="preserve">for </w:t>
      </w:r>
      <w:r w:rsidRPr="00D50F6E">
        <w:rPr>
          <w:rFonts w:cs="Open Sans"/>
        </w:rPr>
        <w:t>‘sex assignment’ surgeries</w:t>
      </w:r>
      <w:r>
        <w:rPr>
          <w:rFonts w:cs="Open Sans"/>
        </w:rPr>
        <w:t>, arguing that they should not be</w:t>
      </w:r>
      <w:r w:rsidRPr="00D50F6E">
        <w:rPr>
          <w:rFonts w:cs="Open Sans"/>
        </w:rPr>
        <w:t xml:space="preserve"> undertaken before the person </w:t>
      </w:r>
      <w:r>
        <w:rPr>
          <w:rFonts w:cs="Open Sans"/>
        </w:rPr>
        <w:t>is considered</w:t>
      </w:r>
      <w:r w:rsidRPr="00D50F6E">
        <w:rPr>
          <w:rFonts w:cs="Open Sans"/>
        </w:rPr>
        <w:t xml:space="preserve"> </w:t>
      </w:r>
      <w:r w:rsidRPr="001941DC">
        <w:rPr>
          <w:rFonts w:cs="Open Sans"/>
          <w:i/>
          <w:iCs/>
        </w:rPr>
        <w:t>Gillick</w:t>
      </w:r>
      <w:r w:rsidRPr="00D50F6E">
        <w:rPr>
          <w:rFonts w:cs="Open Sans"/>
        </w:rPr>
        <w:t xml:space="preserve"> </w:t>
      </w:r>
      <w:r>
        <w:rPr>
          <w:rFonts w:cs="Open Sans"/>
        </w:rPr>
        <w:t>competent</w:t>
      </w:r>
      <w:r w:rsidRPr="00D50F6E">
        <w:rPr>
          <w:rFonts w:cs="Open Sans"/>
        </w:rPr>
        <w:t>.</w:t>
      </w:r>
      <w:r w:rsidRPr="0117CC5D">
        <w:rPr>
          <w:rStyle w:val="EndnoteReference"/>
          <w:rFonts w:cs="Open Sans"/>
        </w:rPr>
        <w:endnoteReference w:id="377"/>
      </w:r>
      <w:r>
        <w:rPr>
          <w:rFonts w:cs="Open Sans"/>
        </w:rPr>
        <w:t xml:space="preserve"> </w:t>
      </w:r>
      <w:r w:rsidRPr="00832D3B">
        <w:rPr>
          <w:rFonts w:cs="Open Sans"/>
        </w:rPr>
        <w:t>People born with variations in sex characteristics consistently rejected</w:t>
      </w:r>
      <w:r>
        <w:rPr>
          <w:rFonts w:cs="Open Sans"/>
        </w:rPr>
        <w:t xml:space="preserve"> arguments in support of </w:t>
      </w:r>
      <w:r w:rsidRPr="00832D3B">
        <w:rPr>
          <w:rFonts w:cs="Open Sans"/>
        </w:rPr>
        <w:t>early intervention</w:t>
      </w:r>
      <w:r>
        <w:rPr>
          <w:rFonts w:cs="Open Sans"/>
        </w:rPr>
        <w:t xml:space="preserve"> based on interventions being less complex or being more likely to yield optimal functional outcomes</w:t>
      </w:r>
      <w:r w:rsidRPr="00832D3B">
        <w:rPr>
          <w:rFonts w:cs="Open Sans"/>
        </w:rPr>
        <w:t>.</w:t>
      </w:r>
      <w:r w:rsidRPr="0117CC5D">
        <w:rPr>
          <w:rStyle w:val="EndnoteReference"/>
          <w:rFonts w:cs="Open Sans"/>
        </w:rPr>
        <w:endnoteReference w:id="378"/>
      </w:r>
      <w:r>
        <w:rPr>
          <w:rFonts w:cs="Open Sans"/>
        </w:rPr>
        <w:t xml:space="preserve"> They</w:t>
      </w:r>
      <w:r w:rsidRPr="00832D3B">
        <w:rPr>
          <w:rFonts w:cs="Open Sans"/>
        </w:rPr>
        <w:t xml:space="preserve"> advocated for deferral until a child is old enough to define and voice their own understanding of their rights and interests.</w:t>
      </w:r>
      <w:r w:rsidRPr="0117CC5D">
        <w:rPr>
          <w:rStyle w:val="EndnoteReference"/>
          <w:rFonts w:cs="Open Sans"/>
        </w:rPr>
        <w:endnoteReference w:id="379"/>
      </w:r>
      <w:r w:rsidRPr="00832D3B">
        <w:rPr>
          <w:rFonts w:cs="Open Sans"/>
        </w:rPr>
        <w:t xml:space="preserve"> </w:t>
      </w:r>
    </w:p>
    <w:p w:rsidR="004D61D2" w:rsidP="004D61D2" w:rsidRDefault="004D61D2" w14:paraId="5BCD1F0C" w14:textId="77777777">
      <w:pPr>
        <w:rPr>
          <w:rFonts w:cs="Open Sans"/>
        </w:rPr>
      </w:pPr>
      <w:r>
        <w:rPr>
          <w:rFonts w:cs="Open Sans"/>
        </w:rPr>
        <w:t>Human rights groups rejected the argument about the ‘benefit’ of not being able to recall surgical or other painful interventions</w:t>
      </w:r>
      <w:r w:rsidRPr="00832D3B">
        <w:rPr>
          <w:rFonts w:cs="Open Sans"/>
        </w:rPr>
        <w:t xml:space="preserve">. </w:t>
      </w:r>
      <w:r>
        <w:rPr>
          <w:rFonts w:cs="Open Sans"/>
        </w:rPr>
        <w:t>They</w:t>
      </w:r>
      <w:r w:rsidRPr="00832D3B">
        <w:rPr>
          <w:rFonts w:cs="Open Sans"/>
        </w:rPr>
        <w:t xml:space="preserve"> felt that </w:t>
      </w:r>
      <w:r>
        <w:rPr>
          <w:rFonts w:cs="Open Sans"/>
        </w:rPr>
        <w:t>individuals’</w:t>
      </w:r>
      <w:r w:rsidRPr="00832D3B">
        <w:rPr>
          <w:rFonts w:cs="Open Sans"/>
        </w:rPr>
        <w:t xml:space="preserve"> developing sense of self was impaired by early intervention, and that this was compounded where they did not receive timely, developmentally appropriate information about interventions that had </w:t>
      </w:r>
      <w:r>
        <w:rPr>
          <w:rFonts w:cs="Open Sans"/>
        </w:rPr>
        <w:t xml:space="preserve">previously </w:t>
      </w:r>
      <w:r w:rsidRPr="00832D3B">
        <w:rPr>
          <w:rFonts w:cs="Open Sans"/>
        </w:rPr>
        <w:t>been undertaken.</w:t>
      </w:r>
      <w:r w:rsidRPr="0117CC5D">
        <w:rPr>
          <w:rStyle w:val="EndnoteReference"/>
          <w:rFonts w:cs="Open Sans"/>
        </w:rPr>
        <w:endnoteReference w:id="380"/>
      </w:r>
    </w:p>
    <w:p w:rsidRPr="00B0029F" w:rsidR="004D61D2" w:rsidP="004D61D2" w:rsidRDefault="004D61D2" w14:paraId="672CF6C2" w14:textId="77777777">
      <w:pPr>
        <w:pStyle w:val="Heading3"/>
      </w:pPr>
      <w:bookmarkStart w:name="_Toc79596610" w:id="312"/>
      <w:bookmarkStart w:name="_Toc85541437" w:id="313"/>
      <w:r>
        <w:t>Timing of interventions</w:t>
      </w:r>
      <w:bookmarkEnd w:id="312"/>
      <w:bookmarkEnd w:id="313"/>
      <w:r>
        <w:t xml:space="preserve"> </w:t>
      </w:r>
    </w:p>
    <w:p w:rsidR="004D61D2" w:rsidP="004D61D2" w:rsidRDefault="004D61D2" w14:paraId="430363CB" w14:textId="77777777">
      <w:pPr>
        <w:rPr>
          <w:rFonts w:cs="Open Sans"/>
        </w:rPr>
      </w:pPr>
      <w:r>
        <w:rPr>
          <w:rFonts w:cs="Open Sans"/>
        </w:rPr>
        <w:t xml:space="preserve">The 2016 update to the Consensus Statement makes clear that timing of interventions is not settled, stating: </w:t>
      </w:r>
    </w:p>
    <w:p w:rsidRPr="002B773A" w:rsidR="004D61D2" w:rsidP="004D61D2" w:rsidRDefault="004D61D2" w14:paraId="74182B20" w14:textId="77777777">
      <w:pPr>
        <w:ind w:left="720"/>
        <w:rPr>
          <w:rFonts w:cs="Open Sans"/>
          <w:sz w:val="22"/>
          <w:szCs w:val="22"/>
        </w:rPr>
      </w:pPr>
      <w:r w:rsidRPr="002B773A">
        <w:rPr>
          <w:rFonts w:cs="Open Sans"/>
          <w:sz w:val="22"/>
          <w:szCs w:val="22"/>
        </w:rPr>
        <w:t>There is still no consensual attitude regarding indications, timing, procedure and evaluation of outcome of DSD surgery … Timing, choice of the individual and irreversibility of surgical procedures are sources of concerns.</w:t>
      </w:r>
      <w:r w:rsidRPr="002B773A">
        <w:rPr>
          <w:rStyle w:val="EndnoteReference"/>
          <w:rFonts w:cs="Open Sans"/>
          <w:sz w:val="22"/>
          <w:szCs w:val="22"/>
        </w:rPr>
        <w:endnoteReference w:id="381"/>
      </w:r>
    </w:p>
    <w:p w:rsidR="004D61D2" w:rsidP="004D61D2" w:rsidRDefault="004D61D2" w14:paraId="5E3B564C" w14:textId="77777777">
      <w:pPr>
        <w:rPr>
          <w:rFonts w:cs="Open Sans"/>
        </w:rPr>
      </w:pPr>
      <w:r>
        <w:rPr>
          <w:rFonts w:cs="Open Sans"/>
        </w:rPr>
        <w:lastRenderedPageBreak/>
        <w:t xml:space="preserve">One specialist body in psychology cited </w:t>
      </w:r>
      <w:r>
        <w:rPr>
          <w:rFonts w:cs="Open Sans"/>
          <w:i/>
          <w:iCs/>
        </w:rPr>
        <w:t>Intersex: Stories and statistics from Australia</w:t>
      </w:r>
      <w:r>
        <w:rPr>
          <w:rFonts w:cs="Open Sans"/>
        </w:rPr>
        <w:t>,</w:t>
      </w:r>
      <w:r w:rsidDel="000002B8">
        <w:rPr>
          <w:rFonts w:cs="Open Sans"/>
        </w:rPr>
        <w:t xml:space="preserve"> </w:t>
      </w:r>
      <w:r>
        <w:rPr>
          <w:rFonts w:cs="Open Sans"/>
        </w:rPr>
        <w:t>which</w:t>
      </w:r>
      <w:r w:rsidRPr="00371282">
        <w:rPr>
          <w:rFonts w:cs="Open Sans"/>
        </w:rPr>
        <w:t xml:space="preserve"> </w:t>
      </w:r>
      <w:r>
        <w:rPr>
          <w:rFonts w:cs="Open Sans"/>
        </w:rPr>
        <w:t>states:</w:t>
      </w:r>
    </w:p>
    <w:p w:rsidRPr="002B773A" w:rsidR="004D61D2" w:rsidP="004D61D2" w:rsidRDefault="004D61D2" w14:paraId="256A7C33" w14:textId="77777777">
      <w:pPr>
        <w:ind w:left="720"/>
        <w:rPr>
          <w:rFonts w:cs="Open Sans"/>
          <w:sz w:val="22"/>
          <w:szCs w:val="22"/>
        </w:rPr>
      </w:pPr>
      <w:bookmarkStart w:name="_Hlk28943305" w:id="314"/>
      <w:r w:rsidRPr="002B773A">
        <w:rPr>
          <w:rFonts w:cs="Open Sans"/>
          <w:sz w:val="22"/>
          <w:szCs w:val="22"/>
        </w:rPr>
        <w:t xml:space="preserve">People with intersex variations may experience mental health concerns arising from the effects of early surgeries undertaken </w:t>
      </w:r>
      <w:bookmarkEnd w:id="314"/>
      <w:r w:rsidRPr="002B773A">
        <w:rPr>
          <w:rFonts w:cs="Open Sans"/>
          <w:sz w:val="22"/>
          <w:szCs w:val="22"/>
        </w:rPr>
        <w:t>when they were infants that affect them throughout their life (e.g., in terms of sexual functioning, fertility, continence) … Young people with intersex variations may also be given hormones to impose physical characteristics expected of the sex they were assigned. Unnecessary hormone treatments can also have negative impacts on people with intersex variations throughout life.</w:t>
      </w:r>
      <w:r w:rsidRPr="002B773A">
        <w:rPr>
          <w:rStyle w:val="EndnoteReference"/>
          <w:rFonts w:cs="Open Sans"/>
          <w:sz w:val="22"/>
          <w:szCs w:val="22"/>
        </w:rPr>
        <w:endnoteReference w:id="382"/>
      </w:r>
      <w:r w:rsidRPr="002B773A">
        <w:rPr>
          <w:rFonts w:cs="Open Sans"/>
          <w:sz w:val="22"/>
          <w:szCs w:val="22"/>
        </w:rPr>
        <w:t xml:space="preserve"> </w:t>
      </w:r>
    </w:p>
    <w:p w:rsidR="004D61D2" w:rsidP="004D61D2" w:rsidRDefault="004D61D2" w14:paraId="012B7B29" w14:textId="77777777">
      <w:pPr>
        <w:rPr>
          <w:rFonts w:cs="Open Sans"/>
        </w:rPr>
      </w:pPr>
      <w:r w:rsidRPr="00C30F61">
        <w:rPr>
          <w:rFonts w:cs="Open Sans"/>
        </w:rPr>
        <w:t>Fagerholm</w:t>
      </w:r>
      <w:r>
        <w:rPr>
          <w:rFonts w:cs="Open Sans"/>
        </w:rPr>
        <w:t xml:space="preserve"> and others argue that</w:t>
      </w:r>
      <w:r w:rsidRPr="00371282">
        <w:rPr>
          <w:rFonts w:cs="Open Sans"/>
        </w:rPr>
        <w:t xml:space="preserve"> differences in mental wellbeing</w:t>
      </w:r>
      <w:r>
        <w:rPr>
          <w:rFonts w:cs="Open Sans"/>
        </w:rPr>
        <w:t xml:space="preserve"> outcomes</w:t>
      </w:r>
      <w:r w:rsidRPr="00371282">
        <w:rPr>
          <w:rFonts w:cs="Open Sans"/>
        </w:rPr>
        <w:t xml:space="preserve"> between people born with and without intersex variations may only become apparent as people grow older</w:t>
      </w:r>
      <w:r>
        <w:rPr>
          <w:rFonts w:cs="Open Sans"/>
        </w:rPr>
        <w:t xml:space="preserve">. Their research indicates that the impact of </w:t>
      </w:r>
      <w:r w:rsidRPr="00371282">
        <w:rPr>
          <w:rFonts w:cs="Open Sans"/>
        </w:rPr>
        <w:t xml:space="preserve">early surgeries </w:t>
      </w:r>
      <w:r>
        <w:rPr>
          <w:rFonts w:cs="Open Sans"/>
        </w:rPr>
        <w:t>on</w:t>
      </w:r>
      <w:r w:rsidRPr="00C30F61">
        <w:rPr>
          <w:rFonts w:cs="Open Sans"/>
        </w:rPr>
        <w:t xml:space="preserve"> overall</w:t>
      </w:r>
      <w:r>
        <w:rPr>
          <w:rFonts w:cs="Open Sans"/>
        </w:rPr>
        <w:t xml:space="preserve"> </w:t>
      </w:r>
      <w:r w:rsidRPr="00C30F61">
        <w:rPr>
          <w:rFonts w:cs="Open Sans"/>
        </w:rPr>
        <w:t>mental health, quality of life, and health-related quality of life was good for most participants, but for a significant minority there were concerns relating to unhappiness with the outcome of their surgery or current poor sexual function</w:t>
      </w:r>
      <w:r>
        <w:rPr>
          <w:rFonts w:cs="Open Sans"/>
        </w:rPr>
        <w:t>.</w:t>
      </w:r>
      <w:r w:rsidRPr="0117CC5D">
        <w:rPr>
          <w:rStyle w:val="EndnoteReference"/>
          <w:rFonts w:cs="Open Sans"/>
        </w:rPr>
        <w:endnoteReference w:id="383"/>
      </w:r>
    </w:p>
    <w:p w:rsidR="004D61D2" w:rsidP="004D61D2" w:rsidRDefault="004D61D2" w14:paraId="7C208412" w14:textId="77777777">
      <w:pPr>
        <w:rPr>
          <w:rFonts w:cs="Open Sans"/>
        </w:rPr>
      </w:pPr>
      <w:r w:rsidRPr="00832D3B">
        <w:rPr>
          <w:rFonts w:cs="Open Sans"/>
        </w:rPr>
        <w:t>The divergence of view</w:t>
      </w:r>
      <w:r>
        <w:rPr>
          <w:rFonts w:cs="Open Sans"/>
        </w:rPr>
        <w:t>s</w:t>
      </w:r>
      <w:r w:rsidRPr="00832D3B">
        <w:rPr>
          <w:rFonts w:cs="Open Sans"/>
        </w:rPr>
        <w:t xml:space="preserve"> </w:t>
      </w:r>
      <w:r>
        <w:rPr>
          <w:rFonts w:cs="Open Sans"/>
        </w:rPr>
        <w:t>about the timing of interventions stems</w:t>
      </w:r>
      <w:r w:rsidRPr="00832D3B">
        <w:rPr>
          <w:rFonts w:cs="Open Sans"/>
        </w:rPr>
        <w:t xml:space="preserve"> </w:t>
      </w:r>
      <w:r>
        <w:rPr>
          <w:rFonts w:cs="Open Sans"/>
        </w:rPr>
        <w:t xml:space="preserve">partially from </w:t>
      </w:r>
      <w:r w:rsidRPr="00832D3B">
        <w:rPr>
          <w:rFonts w:cs="Open Sans"/>
        </w:rPr>
        <w:t xml:space="preserve">how a child’s current and future rights and interests are understood. </w:t>
      </w:r>
    </w:p>
    <w:p w:rsidR="004D61D2" w:rsidP="004D61D2" w:rsidRDefault="004D61D2" w14:paraId="06779EE1" w14:textId="77777777">
      <w:pPr>
        <w:rPr>
          <w:rFonts w:cs="Open Sans"/>
        </w:rPr>
      </w:pPr>
      <w:r w:rsidRPr="00832D3B">
        <w:rPr>
          <w:rFonts w:cs="Open Sans"/>
        </w:rPr>
        <w:t>Parents and</w:t>
      </w:r>
      <w:r>
        <w:rPr>
          <w:rFonts w:cs="Open Sans"/>
        </w:rPr>
        <w:t xml:space="preserve"> many</w:t>
      </w:r>
      <w:r w:rsidRPr="00832D3B">
        <w:rPr>
          <w:rFonts w:cs="Open Sans"/>
        </w:rPr>
        <w:t xml:space="preserve"> </w:t>
      </w:r>
      <w:r>
        <w:rPr>
          <w:rFonts w:cs="Open Sans"/>
        </w:rPr>
        <w:t>c</w:t>
      </w:r>
      <w:r w:rsidRPr="00832D3B">
        <w:rPr>
          <w:rFonts w:cs="Open Sans"/>
        </w:rPr>
        <w:t>linicians argu</w:t>
      </w:r>
      <w:r>
        <w:rPr>
          <w:rFonts w:cs="Open Sans"/>
        </w:rPr>
        <w:t>e</w:t>
      </w:r>
      <w:r w:rsidRPr="00832D3B">
        <w:rPr>
          <w:rFonts w:cs="Open Sans"/>
        </w:rPr>
        <w:t xml:space="preserve"> that early intervention is justifiable on the basis </w:t>
      </w:r>
      <w:r>
        <w:rPr>
          <w:rFonts w:cs="Open Sans"/>
        </w:rPr>
        <w:t>that parents are acting in the best interests of their</w:t>
      </w:r>
      <w:r w:rsidRPr="00832D3B">
        <w:rPr>
          <w:rFonts w:cs="Open Sans"/>
        </w:rPr>
        <w:t xml:space="preserve"> children, understood through the prism of family and community relationships, norms and expectations.</w:t>
      </w:r>
      <w:r w:rsidRPr="0117CC5D">
        <w:rPr>
          <w:rStyle w:val="EndnoteReference"/>
          <w:rFonts w:cs="Open Sans"/>
        </w:rPr>
        <w:endnoteReference w:id="384"/>
      </w:r>
      <w:r>
        <w:rPr>
          <w:rFonts w:cs="Open Sans"/>
        </w:rPr>
        <w:t xml:space="preserve"> From this stems a view that they are in a unique position to make decisions about timing of interventions, premised on assertions that early interventions achieve more optimal outcomes for infants. </w:t>
      </w:r>
    </w:p>
    <w:p w:rsidR="004D61D2" w:rsidP="004D61D2" w:rsidRDefault="004D61D2" w14:paraId="3616D1D0" w14:textId="77777777">
      <w:pPr>
        <w:rPr>
          <w:rFonts w:cs="Open Sans"/>
        </w:rPr>
      </w:pPr>
      <w:r w:rsidRPr="2816C17C">
        <w:rPr>
          <w:rFonts w:cs="Open Sans"/>
        </w:rPr>
        <w:t>People born with variation in sex characteristics dispute this characterisation of more optimal outcomes, citing, for example, research indicating that early interventions do not always have the positive outcomes claimed.</w:t>
      </w:r>
      <w:r w:rsidRPr="0117CC5D">
        <w:rPr>
          <w:rStyle w:val="EndnoteReference"/>
          <w:rFonts w:cs="Open Sans"/>
        </w:rPr>
        <w:endnoteReference w:id="385"/>
      </w:r>
      <w:r w:rsidRPr="00230BA0">
        <w:rPr>
          <w:rFonts w:cs="Open Sans"/>
          <w:sz w:val="20"/>
          <w:szCs w:val="20"/>
        </w:rPr>
        <w:t xml:space="preserve"> </w:t>
      </w:r>
    </w:p>
    <w:p w:rsidR="004D61D2" w:rsidP="004D61D2" w:rsidRDefault="004D61D2" w14:paraId="247BFB9F" w14:textId="77777777">
      <w:pPr>
        <w:rPr>
          <w:rFonts w:cs="Open Sans"/>
        </w:rPr>
      </w:pPr>
      <w:r w:rsidRPr="2816C17C">
        <w:rPr>
          <w:rFonts w:cs="Open Sans"/>
        </w:rPr>
        <w:t>Significantly, as cited earlier</w:t>
      </w:r>
      <w:r w:rsidRPr="5F726F67">
        <w:rPr>
          <w:rFonts w:cs="Open Sans"/>
        </w:rPr>
        <w:t>,</w:t>
      </w:r>
      <w:r w:rsidRPr="2816C17C">
        <w:rPr>
          <w:rFonts w:cs="Open Sans"/>
        </w:rPr>
        <w:t xml:space="preserve"> the evidence that procedures such as hypospadias </w:t>
      </w:r>
      <w:r>
        <w:rPr>
          <w:rFonts w:cs="Open Sans"/>
        </w:rPr>
        <w:t>surgeries</w:t>
      </w:r>
      <w:r w:rsidRPr="2816C17C">
        <w:rPr>
          <w:rFonts w:cs="Open Sans"/>
        </w:rPr>
        <w:t xml:space="preserve"> result in better urological outcomes and minimise psychological harm is incomplete (as is the evidence to support deferring surgery). In respect of data </w:t>
      </w:r>
      <w:r w:rsidRPr="2816C17C">
        <w:rPr>
          <w:rFonts w:cs="Open Sans"/>
        </w:rPr>
        <w:lastRenderedPageBreak/>
        <w:t xml:space="preserve">relating to optimal timing of surgical interventions generally, the 2016 Consensus </w:t>
      </w:r>
      <w:r>
        <w:rPr>
          <w:rFonts w:cs="Open Sans"/>
        </w:rPr>
        <w:t>S</w:t>
      </w:r>
      <w:r w:rsidRPr="2816C17C">
        <w:rPr>
          <w:rFonts w:cs="Open Sans"/>
        </w:rPr>
        <w:t>tatement update states:</w:t>
      </w:r>
    </w:p>
    <w:p w:rsidRPr="007B5929" w:rsidR="004D61D2" w:rsidP="004D61D2" w:rsidRDefault="004D61D2" w14:paraId="4370BB2F" w14:textId="77777777">
      <w:pPr>
        <w:ind w:left="720"/>
        <w:rPr>
          <w:rFonts w:cs="Open Sans"/>
        </w:rPr>
      </w:pPr>
      <w:r w:rsidRPr="007B5929">
        <w:rPr>
          <w:rFonts w:cs="Open Sans"/>
        </w:rPr>
        <w:t>Timing, choice of the individual and irreversibility of surgical procedures are sources of concerns. There is no evidence regarding the impact of surgically treated or non-treated DSDs during childhood for the individual, the parents, society or the risk of stigmatization.</w:t>
      </w:r>
      <w:r w:rsidRPr="0117CC5D">
        <w:rPr>
          <w:rStyle w:val="EndnoteReference"/>
          <w:rFonts w:cs="Open Sans"/>
        </w:rPr>
        <w:endnoteReference w:id="386"/>
      </w:r>
    </w:p>
    <w:p w:rsidRPr="00832D3B" w:rsidR="004D61D2" w:rsidP="004D61D2" w:rsidRDefault="004D61D2" w14:paraId="56C9CB4C" w14:textId="77777777">
      <w:pPr>
        <w:rPr>
          <w:rFonts w:cs="Open Sans"/>
        </w:rPr>
      </w:pPr>
      <w:r>
        <w:rPr>
          <w:rFonts w:cs="Open Sans"/>
        </w:rPr>
        <w:t>This echoes the position expressed in the 2006 Consensus Statement</w:t>
      </w:r>
      <w:r w:rsidRPr="007B5929">
        <w:rPr>
          <w:rFonts w:cs="Open Sans"/>
        </w:rPr>
        <w:t>.</w:t>
      </w:r>
      <w:r w:rsidRPr="0117CC5D">
        <w:rPr>
          <w:rStyle w:val="EndnoteReference"/>
          <w:rFonts w:cs="Open Sans"/>
        </w:rPr>
        <w:endnoteReference w:id="387"/>
      </w:r>
    </w:p>
    <w:p w:rsidR="004D61D2" w:rsidP="004D61D2" w:rsidRDefault="004D61D2" w14:paraId="1688F88E" w14:textId="77777777">
      <w:pPr>
        <w:rPr>
          <w:rFonts w:cs="Open Sans"/>
        </w:rPr>
      </w:pPr>
      <w:r w:rsidRPr="00832D3B">
        <w:rPr>
          <w:rFonts w:cs="Open Sans"/>
        </w:rPr>
        <w:t xml:space="preserve">The Commission notes that, since the High Court’s decision in </w:t>
      </w:r>
      <w:r w:rsidRPr="00832D3B">
        <w:rPr>
          <w:rFonts w:cs="Open Sans"/>
          <w:i/>
        </w:rPr>
        <w:t>Marion</w:t>
      </w:r>
      <w:r>
        <w:rPr>
          <w:rFonts w:cs="Open Sans"/>
          <w:i/>
        </w:rPr>
        <w:t>’s case</w:t>
      </w:r>
      <w:r w:rsidRPr="00832D3B">
        <w:rPr>
          <w:rFonts w:cs="Open Sans"/>
        </w:rPr>
        <w:t>, it has been accepted as part of Australian law that the interests of a child are not necessarily fully congruent with the interests of other family members, or the family as a whole.</w:t>
      </w:r>
    </w:p>
    <w:p w:rsidR="004D61D2" w:rsidP="004D61D2" w:rsidRDefault="004D61D2" w14:paraId="1FB4202D" w14:textId="77777777">
      <w:pPr>
        <w:rPr>
          <w:rFonts w:cs="Open Sans"/>
        </w:rPr>
      </w:pPr>
      <w:r w:rsidRPr="2816C17C">
        <w:rPr>
          <w:rFonts w:cs="Open Sans"/>
        </w:rPr>
        <w:t xml:space="preserve">The Commission is cautious about arguments about better ‘psychological outcomes’ from early interventions, given what the Commission heard of the experiences of people born with variations in sex characteristics that the results of early interventions have not been universally optimal. </w:t>
      </w:r>
    </w:p>
    <w:p w:rsidRPr="00A27235" w:rsidR="004D61D2" w:rsidP="004D61D2" w:rsidRDefault="004D61D2" w14:paraId="5C4327DA" w14:textId="77777777">
      <w:pPr>
        <w:rPr>
          <w:rFonts w:cs="Open Sans"/>
        </w:rPr>
      </w:pPr>
      <w:r w:rsidRPr="2816C17C">
        <w:rPr>
          <w:rFonts w:cs="Open Sans"/>
        </w:rPr>
        <w:t xml:space="preserve">Caution also stems from the fact that even those clinicians who support early </w:t>
      </w:r>
      <w:r w:rsidRPr="00A27235">
        <w:rPr>
          <w:rFonts w:cs="Open Sans"/>
        </w:rPr>
        <w:t>interventions as producing better outcomes concede that evidence is incomplete. A human rights-based approach, reflected in the Precautionary principle,</w:t>
      </w:r>
      <w:r w:rsidRPr="00A27235">
        <w:rPr>
          <w:rFonts w:cs="Open Sans"/>
          <w:i/>
          <w:iCs/>
        </w:rPr>
        <w:t xml:space="preserve"> </w:t>
      </w:r>
      <w:r w:rsidRPr="00A27235">
        <w:rPr>
          <w:rFonts w:cs="Open Sans"/>
        </w:rPr>
        <w:t>would be to defer interventions where safe to do so until the individual concerned can engage in the decision-making process.</w:t>
      </w:r>
    </w:p>
    <w:p w:rsidRPr="00A27235" w:rsidR="004D61D2" w:rsidP="004E1B63" w:rsidRDefault="004D61D2" w14:paraId="175CB74E" w14:textId="43F07B79">
      <w:pPr>
        <w:pStyle w:val="AHRCHeading2"/>
      </w:pPr>
      <w:bookmarkStart w:name="_Toc79596611" w:id="315"/>
      <w:bookmarkStart w:name="_Toc85541438" w:id="316"/>
      <w:r w:rsidRPr="00A27235">
        <w:t>Human rights approach</w:t>
      </w:r>
      <w:bookmarkEnd w:id="315"/>
      <w:bookmarkEnd w:id="316"/>
      <w:r w:rsidRPr="00A27235">
        <w:t xml:space="preserve"> </w:t>
      </w:r>
    </w:p>
    <w:p w:rsidRPr="00604ED8" w:rsidR="004D61D2" w:rsidP="004D61D2" w:rsidRDefault="004D61D2" w14:paraId="5AF0EE65" w14:textId="30C4963D">
      <w:pPr>
        <w:rPr>
          <w:rFonts w:cs="Open Sans"/>
          <w:b/>
          <w:bCs/>
        </w:rPr>
      </w:pPr>
      <w:r w:rsidRPr="00A27235">
        <w:rPr>
          <w:rFonts w:cs="Open Sans"/>
          <w:b/>
          <w:bCs/>
        </w:rPr>
        <w:t>Recommendation 4</w:t>
      </w:r>
      <w:r w:rsidR="007C248F">
        <w:rPr>
          <w:rFonts w:cs="Open Sans"/>
          <w:b/>
          <w:bCs/>
        </w:rPr>
        <w:t>:</w:t>
      </w:r>
      <w:r w:rsidRPr="00A27235">
        <w:rPr>
          <w:rFonts w:cs="Open Sans"/>
          <w:b/>
          <w:bCs/>
        </w:rPr>
        <w:t xml:space="preserve"> Medical interventions </w:t>
      </w:r>
      <w:r w:rsidR="00440DFD">
        <w:rPr>
          <w:rFonts w:cs="Open Sans"/>
          <w:b/>
          <w:bCs/>
        </w:rPr>
        <w:t>modifying</w:t>
      </w:r>
      <w:r w:rsidRPr="00A27235">
        <w:rPr>
          <w:rFonts w:cs="Open Sans"/>
          <w:b/>
          <w:bCs/>
        </w:rPr>
        <w:t xml:space="preserve"> sex characteristics of children born with variations may be conducted without</w:t>
      </w:r>
      <w:r w:rsidRPr="00604ED8">
        <w:rPr>
          <w:rFonts w:cs="Open Sans"/>
          <w:b/>
          <w:bCs/>
        </w:rPr>
        <w:t xml:space="preserve"> personal consent only in circumstances of medical necessity</w:t>
      </w:r>
      <w:r>
        <w:rPr>
          <w:rFonts w:cs="Open Sans"/>
          <w:b/>
          <w:bCs/>
        </w:rPr>
        <w:t xml:space="preserve">. </w:t>
      </w:r>
      <w:r w:rsidRPr="00604ED8">
        <w:rPr>
          <w:rFonts w:cs="Open Sans"/>
          <w:b/>
          <w:bCs/>
        </w:rPr>
        <w:t>Circumstances of medical necessity exist only where all of the following factors are present:</w:t>
      </w:r>
    </w:p>
    <w:p w:rsidRPr="00604ED8" w:rsidR="004D61D2" w:rsidP="004D61D2" w:rsidRDefault="004D61D2" w14:paraId="67F68855" w14:textId="429350EF">
      <w:pPr>
        <w:rPr>
          <w:rFonts w:cs="Open Sans"/>
          <w:b/>
          <w:bCs/>
        </w:rPr>
      </w:pPr>
      <w:r>
        <w:rPr>
          <w:rFonts w:cs="Open Sans"/>
          <w:b/>
          <w:bCs/>
        </w:rPr>
        <w:t xml:space="preserve">(a) </w:t>
      </w:r>
      <w:r w:rsidRPr="00604ED8">
        <w:rPr>
          <w:rFonts w:cs="Open Sans"/>
          <w:b/>
          <w:bCs/>
        </w:rPr>
        <w:t>the medical intervention is required urgently to avoid serious harm</w:t>
      </w:r>
    </w:p>
    <w:p w:rsidRPr="00604ED8" w:rsidR="004D61D2" w:rsidP="004D61D2" w:rsidRDefault="004D61D2" w14:paraId="77D91771" w14:textId="77777777">
      <w:pPr>
        <w:rPr>
          <w:rFonts w:cs="Open Sans"/>
          <w:b/>
          <w:bCs/>
        </w:rPr>
      </w:pPr>
      <w:r>
        <w:rPr>
          <w:rFonts w:cs="Open Sans"/>
          <w:b/>
          <w:bCs/>
        </w:rPr>
        <w:t xml:space="preserve">(b) </w:t>
      </w:r>
      <w:r w:rsidRPr="00604ED8">
        <w:rPr>
          <w:rFonts w:cs="Open Sans"/>
          <w:b/>
          <w:bCs/>
        </w:rPr>
        <w:t>the risk of harm cannot be mitigated in another less intrusive way, and intervention cannot be further delayed</w:t>
      </w:r>
    </w:p>
    <w:p w:rsidRPr="00604ED8" w:rsidR="004D61D2" w:rsidP="004D61D2" w:rsidRDefault="004D61D2" w14:paraId="5E653FD6" w14:textId="77777777">
      <w:pPr>
        <w:rPr>
          <w:rFonts w:cs="Open Sans"/>
          <w:b/>
          <w:bCs/>
        </w:rPr>
      </w:pPr>
      <w:r>
        <w:rPr>
          <w:rFonts w:cs="Open Sans"/>
          <w:b/>
          <w:bCs/>
        </w:rPr>
        <w:t xml:space="preserve">(c) </w:t>
      </w:r>
      <w:r w:rsidRPr="00604ED8">
        <w:rPr>
          <w:rFonts w:cs="Open Sans"/>
          <w:b/>
          <w:bCs/>
        </w:rPr>
        <w:t>the risk of harm outweighs the significant limitation on human rights that is occasioned by medical intervention without personal consent.</w:t>
      </w:r>
    </w:p>
    <w:p w:rsidR="004D61D2" w:rsidP="004D61D2" w:rsidRDefault="004D61D2" w14:paraId="6D4EE342" w14:textId="77777777">
      <w:pPr>
        <w:rPr>
          <w:rFonts w:cs="Open Sans"/>
        </w:rPr>
      </w:pPr>
      <w:r w:rsidRPr="00096164">
        <w:rPr>
          <w:rFonts w:cs="Open Sans"/>
        </w:rPr>
        <w:lastRenderedPageBreak/>
        <w:t xml:space="preserve">International human </w:t>
      </w:r>
      <w:r w:rsidRPr="00A87398">
        <w:rPr>
          <w:rFonts w:cs="Open Sans"/>
        </w:rPr>
        <w:t>rights law recognises that there will be some limited and narrowly defined situations where it is permissible to perform medical interventions without the consent of the affected individual—under the Medical necessity principle.</w:t>
      </w:r>
      <w:r w:rsidRPr="2816C17C">
        <w:rPr>
          <w:rFonts w:cs="Open Sans"/>
        </w:rPr>
        <w:t xml:space="preserve"> </w:t>
      </w:r>
    </w:p>
    <w:p w:rsidR="004D61D2" w:rsidP="004D61D2" w:rsidRDefault="004D61D2" w14:paraId="0671581C" w14:textId="77777777">
      <w:pPr>
        <w:rPr>
          <w:rFonts w:cs="Open Sans"/>
        </w:rPr>
      </w:pPr>
      <w:r w:rsidRPr="004A4134">
        <w:rPr>
          <w:rFonts w:cs="Open Sans"/>
        </w:rPr>
        <w:t xml:space="preserve">In the Commission’s view, this relates to the situation of </w:t>
      </w:r>
      <w:r w:rsidRPr="004A4134">
        <w:rPr>
          <w:rFonts w:cs="Open Sans"/>
          <w:i/>
        </w:rPr>
        <w:t>medical necessity</w:t>
      </w:r>
      <w:r w:rsidRPr="004A4134">
        <w:rPr>
          <w:rFonts w:cs="Open Sans"/>
        </w:rPr>
        <w:t>—that is,</w:t>
      </w:r>
      <w:r w:rsidRPr="00C84394">
        <w:rPr>
          <w:rFonts w:cs="Open Sans"/>
        </w:rPr>
        <w:t xml:space="preserve"> where </w:t>
      </w:r>
      <w:r>
        <w:rPr>
          <w:rFonts w:cs="Open Sans"/>
        </w:rPr>
        <w:t xml:space="preserve">medical intervention is required urgently </w:t>
      </w:r>
      <w:r w:rsidRPr="00D52463">
        <w:rPr>
          <w:rFonts w:cs="Open Sans"/>
        </w:rPr>
        <w:t>to avoid serious harm to the person concerned.</w:t>
      </w:r>
      <w:r>
        <w:rPr>
          <w:rFonts w:cs="Open Sans"/>
        </w:rPr>
        <w:t xml:space="preserve"> </w:t>
      </w:r>
      <w:r w:rsidRPr="00384510">
        <w:rPr>
          <w:rFonts w:cs="Open Sans"/>
        </w:rPr>
        <w:t>In this context, an intervention is ‘required urgently’ if it cannot be deferred without a significant risk of serious harm.</w:t>
      </w:r>
    </w:p>
    <w:p w:rsidRPr="000F07DB" w:rsidR="004D61D2" w:rsidP="004D61D2" w:rsidRDefault="004D61D2" w14:paraId="454DEAD6" w14:textId="77777777">
      <w:pPr>
        <w:rPr>
          <w:rFonts w:eastAsiaTheme="minorEastAsia"/>
        </w:rPr>
      </w:pPr>
      <w:r w:rsidRPr="00FA11A0">
        <w:rPr>
          <w:rFonts w:cs="Open Sans"/>
        </w:rPr>
        <w:t xml:space="preserve">Evidence of current and past practice suggests that medical interventions have been undertaken on people </w:t>
      </w:r>
      <w:r w:rsidRPr="00FA11A0">
        <w:rPr>
          <w:rFonts w:eastAsia="Open Sans" w:cs="Open Sans"/>
        </w:rPr>
        <w:t>born with variation in sex characteristi</w:t>
      </w:r>
      <w:r w:rsidRPr="00395D2B">
        <w:rPr>
          <w:rFonts w:eastAsia="Open Sans" w:cs="Open Sans"/>
        </w:rPr>
        <w:t>cs in circumstances that do not always constitute medical necessity</w:t>
      </w:r>
      <w:r w:rsidRPr="007E1A34">
        <w:rPr>
          <w:rFonts w:eastAsia="Open Sans" w:cs="Open Sans"/>
        </w:rPr>
        <w:t>.</w:t>
      </w:r>
    </w:p>
    <w:p w:rsidRPr="00A939B6" w:rsidR="004D61D2" w:rsidP="004D61D2" w:rsidRDefault="004D61D2" w14:paraId="5936E437" w14:textId="77777777">
      <w:pPr>
        <w:rPr>
          <w:rFonts w:cs="Open Sans"/>
        </w:rPr>
      </w:pPr>
      <w:r w:rsidRPr="2816C17C">
        <w:rPr>
          <w:rFonts w:cs="Open Sans"/>
        </w:rPr>
        <w:t xml:space="preserve">Current clinical guidelines permit such </w:t>
      </w:r>
      <w:r w:rsidRPr="00A939B6">
        <w:rPr>
          <w:rFonts w:cs="Open Sans"/>
        </w:rPr>
        <w:t xml:space="preserve">medical interventions on children without personal consent in circumstances where these interventions do not constitute a medical necessity. </w:t>
      </w:r>
    </w:p>
    <w:p w:rsidRPr="00A939B6" w:rsidR="004D61D2" w:rsidP="004D61D2" w:rsidRDefault="004D61D2" w14:paraId="29DDEEF8" w14:textId="77777777">
      <w:pPr>
        <w:rPr>
          <w:rFonts w:cs="Open Sans"/>
        </w:rPr>
      </w:pPr>
      <w:r w:rsidRPr="00A939B6">
        <w:rPr>
          <w:rFonts w:cs="Open Sans"/>
        </w:rPr>
        <w:t xml:space="preserve">New </w:t>
      </w:r>
      <w:r w:rsidRPr="00A939B6">
        <w:rPr>
          <w:rFonts w:cs="Open Sans"/>
          <w:i/>
          <w:iCs/>
        </w:rPr>
        <w:t>National Guidelines on medical interventions for people born with variations in sex characteristics</w:t>
      </w:r>
      <w:r w:rsidRPr="00A939B6">
        <w:rPr>
          <w:rFonts w:cs="Open Sans"/>
        </w:rPr>
        <w:t xml:space="preserve"> (see Recommendation 6) are needed to explain the application of the Medical necessity principle in complex decision-making environments. This would include explanation and guidance on concepts like proportionality, and the need to adopt the least intrusive intervention.</w:t>
      </w:r>
    </w:p>
    <w:p w:rsidRPr="00A939B6" w:rsidR="004D61D2" w:rsidP="004D61D2" w:rsidRDefault="004D61D2" w14:paraId="42256388" w14:textId="77777777">
      <w:pPr>
        <w:rPr>
          <w:rFonts w:cs="Open Sans"/>
        </w:rPr>
      </w:pPr>
      <w:r w:rsidRPr="00A939B6">
        <w:rPr>
          <w:rFonts w:cs="Open Sans"/>
        </w:rPr>
        <w:t xml:space="preserve">These guidelines should, for example, explain that psychosocial rationales are not a permissible basis for intervention without personal consent and highlight where there is incomplete evidence—for example, in respect of certain cancer risks. </w:t>
      </w:r>
    </w:p>
    <w:p w:rsidR="004D61D2" w:rsidP="004D61D2" w:rsidRDefault="004D61D2" w14:paraId="2F681E2A" w14:textId="77777777">
      <w:pPr>
        <w:rPr>
          <w:rFonts w:cs="Open Sans"/>
        </w:rPr>
      </w:pPr>
      <w:r w:rsidRPr="00A939B6">
        <w:rPr>
          <w:rFonts w:cs="Open Sans"/>
        </w:rPr>
        <w:t>These guidelines should also emphasise the need for robust evidence that any proposed intrusion on rights is rational and can be expected to be effective in realising the legitimate purpose of promoting health.</w:t>
      </w:r>
      <w:r w:rsidRPr="2816C17C">
        <w:rPr>
          <w:rFonts w:cs="Open Sans"/>
        </w:rPr>
        <w:t xml:space="preserve"> </w:t>
      </w:r>
    </w:p>
    <w:p w:rsidRPr="00092B9C" w:rsidR="004D61D2" w:rsidP="004D61D2" w:rsidRDefault="004D61D2" w14:paraId="485A0F38" w14:textId="77777777">
      <w:pPr>
        <w:rPr>
          <w:rFonts w:cs="Open Sans"/>
        </w:rPr>
      </w:pPr>
      <w:r>
        <w:rPr>
          <w:rFonts w:cs="Open Sans"/>
        </w:rPr>
        <w:t>Independent scrutiny is also needed t</w:t>
      </w:r>
      <w:r w:rsidRPr="00092B9C">
        <w:rPr>
          <w:rFonts w:cs="Open Sans"/>
        </w:rPr>
        <w:t>o ensure proposals for intervention meet the standard of medical necessity</w:t>
      </w:r>
      <w:r w:rsidRPr="00291899">
        <w:rPr>
          <w:rStyle w:val="Heading1Char"/>
          <w:rFonts w:cs="Open Sans"/>
          <w:b w:val="0"/>
          <w:bCs w:val="0"/>
          <w:sz w:val="24"/>
          <w:szCs w:val="20"/>
        </w:rPr>
        <w:t>—</w:t>
      </w:r>
      <w:r w:rsidRPr="00092B9C">
        <w:rPr>
          <w:rFonts w:cs="Open Sans"/>
        </w:rPr>
        <w:t>particularly in areas of ambiguity such as risk of impairment to organ or biological function, or cancer risk</w:t>
      </w:r>
      <w:r>
        <w:rPr>
          <w:rFonts w:cs="Open Sans"/>
        </w:rPr>
        <w:t>.</w:t>
      </w:r>
      <w:r w:rsidRPr="00092B9C">
        <w:rPr>
          <w:rFonts w:cs="Open Sans"/>
        </w:rPr>
        <w:t xml:space="preserve"> </w:t>
      </w:r>
      <w:r>
        <w:rPr>
          <w:rFonts w:cs="Open Sans"/>
        </w:rPr>
        <w:t xml:space="preserve">Such independent </w:t>
      </w:r>
      <w:r>
        <w:rPr>
          <w:rFonts w:cs="Open Sans"/>
        </w:rPr>
        <w:lastRenderedPageBreak/>
        <w:t>scrutiny would manage the significant risk of making a decision about the ‘best interests’ of a child where the child is not yet able to consent, and where,</w:t>
      </w:r>
      <w:r w:rsidRPr="000E3D63">
        <w:rPr>
          <w:rFonts w:cs="Open Sans"/>
        </w:rPr>
        <w:t xml:space="preserve"> given the nature of many of these interventions, the consequences of making a wrong decision are particularly </w:t>
      </w:r>
      <w:r>
        <w:rPr>
          <w:rFonts w:cs="Open Sans"/>
        </w:rPr>
        <w:t>serious.</w:t>
      </w:r>
    </w:p>
    <w:p w:rsidRPr="00A45753" w:rsidR="00810FD7" w:rsidP="004E1B63" w:rsidRDefault="00810FD7" w14:paraId="64259671" w14:textId="257472C5">
      <w:pPr>
        <w:pStyle w:val="AHRCHeading1"/>
        <w:rPr>
          <w:rFonts w:eastAsia="Open Sans" w:cs="Open Sans"/>
          <w:szCs w:val="36"/>
        </w:rPr>
      </w:pPr>
      <w:bookmarkStart w:name="_Toc42167935" w:id="317"/>
      <w:bookmarkStart w:name="_Toc79700359" w:id="318"/>
      <w:bookmarkStart w:name="_Toc85541439" w:id="319"/>
      <w:r w:rsidRPr="00A45753">
        <w:t xml:space="preserve">Clinical </w:t>
      </w:r>
      <w:r>
        <w:t>practice and new National Guidelines</w:t>
      </w:r>
      <w:bookmarkEnd w:id="317"/>
      <w:bookmarkEnd w:id="318"/>
      <w:bookmarkEnd w:id="319"/>
      <w:r w:rsidRPr="00A45753">
        <w:t xml:space="preserve"> </w:t>
      </w:r>
    </w:p>
    <w:p w:rsidRPr="00A45753" w:rsidR="00810FD7" w:rsidP="00810FD7" w:rsidRDefault="00810FD7" w14:paraId="110961F1" w14:textId="77777777">
      <w:r>
        <w:t xml:space="preserve">This chapter discusses how clinical care is provided to people born with variations in sex characteristics, and how decisions about medical interventions are made. A variety of clinical management practices were identified by stakeholders as being significant in this context. Multidisciplinary care is the preferred model of care, although the extent to which it is available varies across the country. </w:t>
      </w:r>
    </w:p>
    <w:p w:rsidRPr="00A45753" w:rsidR="00810FD7" w:rsidP="00810FD7" w:rsidRDefault="00810FD7" w14:paraId="2FFF1BD1" w14:textId="77777777">
      <w:r>
        <w:t xml:space="preserve">At present, clinical management occurs within a framework of non-binding international and jurisdiction-specific guidelines. In the Commission’s view, these guidelines should be augmented by new National </w:t>
      </w:r>
      <w:r w:rsidRPr="005E55F8">
        <w:t>Guidelines informed by the human rights framework in this report.</w:t>
      </w:r>
      <w:r>
        <w:t xml:space="preserve"> </w:t>
      </w:r>
    </w:p>
    <w:p w:rsidRPr="00A45753" w:rsidR="00810FD7" w:rsidP="00810FD7" w:rsidRDefault="00810FD7" w14:paraId="68DADC6B" w14:textId="661E493D">
      <w:r>
        <w:t>The National Guidelines should guide decision-making processes to ensure that medical interventions modifying sex characteristics are not undertaken unless intervention is a medical necessity. The recommended National Guidelines should include guidance on</w:t>
      </w:r>
    </w:p>
    <w:p w:rsidRPr="00A45753" w:rsidR="00810FD7" w:rsidP="002F7D27" w:rsidRDefault="00810FD7" w14:paraId="2F46D741" w14:textId="77777777">
      <w:pPr>
        <w:pStyle w:val="ListParagraph"/>
        <w:numPr>
          <w:ilvl w:val="0"/>
          <w:numId w:val="56"/>
        </w:numPr>
        <w:rPr>
          <w:rFonts w:cs="Open Sans"/>
        </w:rPr>
      </w:pPr>
      <w:r w:rsidRPr="18B294E8">
        <w:rPr>
          <w:rFonts w:cs="Open Sans"/>
        </w:rPr>
        <w:t xml:space="preserve">obtaining informed consent and ensuring affected children and younger people are involved in decisions </w:t>
      </w:r>
      <w:r w:rsidRPr="005E55F8">
        <w:rPr>
          <w:rFonts w:cs="Open Sans"/>
        </w:rPr>
        <w:t>– consistent with the Children’s agency principle</w:t>
      </w:r>
      <w:r>
        <w:rPr>
          <w:rFonts w:cs="Open Sans"/>
        </w:rPr>
        <w:t xml:space="preserve"> (see Chapter 4)</w:t>
      </w:r>
    </w:p>
    <w:p w:rsidRPr="00A45753" w:rsidR="00810FD7" w:rsidP="002F7D27" w:rsidRDefault="00810FD7" w14:paraId="4BBC9F0C" w14:textId="77777777">
      <w:pPr>
        <w:pStyle w:val="ListParagraph"/>
        <w:numPr>
          <w:ilvl w:val="0"/>
          <w:numId w:val="56"/>
        </w:numPr>
        <w:rPr>
          <w:rFonts w:cs="Open Sans"/>
        </w:rPr>
      </w:pPr>
      <w:r>
        <w:t xml:space="preserve">the application of human rights principles in determining whether a medical intervention is a medical necessity – </w:t>
      </w:r>
      <w:r w:rsidRPr="005E55F8">
        <w:t>as expressed in the Medical necessity principle</w:t>
      </w:r>
      <w:r>
        <w:t xml:space="preserve"> (see Chapter 5), and </w:t>
      </w:r>
    </w:p>
    <w:p w:rsidRPr="00A45753" w:rsidR="00810FD7" w:rsidP="002F7D27" w:rsidRDefault="00810FD7" w14:paraId="1E2E5F4F" w14:textId="77777777">
      <w:pPr>
        <w:pStyle w:val="ListParagraph"/>
        <w:numPr>
          <w:ilvl w:val="0"/>
          <w:numId w:val="56"/>
        </w:numPr>
        <w:rPr>
          <w:rFonts w:cs="Open Sans"/>
        </w:rPr>
      </w:pPr>
      <w:r>
        <w:t xml:space="preserve">requirements for independent authorisation of certain medical interventions – </w:t>
      </w:r>
      <w:r w:rsidRPr="005E55F8">
        <w:t>consistent with the Independent oversight principle</w:t>
      </w:r>
      <w:r>
        <w:t xml:space="preserve"> (see Chapter 7).</w:t>
      </w:r>
    </w:p>
    <w:p w:rsidRPr="00A45753" w:rsidR="00810FD7" w:rsidP="00810FD7" w:rsidRDefault="00810FD7" w14:paraId="740B2C44" w14:textId="77777777">
      <w:r>
        <w:t xml:space="preserve">The Commission recommends that the National Guidelines be developed by a national multidisciplinary expert group convened by the Australian Government </w:t>
      </w:r>
      <w:r w:rsidRPr="00E30380">
        <w:lastRenderedPageBreak/>
        <w:t xml:space="preserve">(see Recommendation 6) and </w:t>
      </w:r>
      <w:r w:rsidRPr="00707D5C">
        <w:t xml:space="preserve">they should complement </w:t>
      </w:r>
      <w:r>
        <w:t xml:space="preserve">legislative </w:t>
      </w:r>
      <w:r w:rsidRPr="00707D5C">
        <w:t xml:space="preserve">reforms recommended in </w:t>
      </w:r>
      <w:r w:rsidRPr="00E30380">
        <w:t>Chapter 7</w:t>
      </w:r>
      <w:r>
        <w:t xml:space="preserve">. </w:t>
      </w:r>
    </w:p>
    <w:p w:rsidRPr="00A45753" w:rsidR="00810FD7" w:rsidP="00810FD7" w:rsidRDefault="00810FD7" w14:paraId="6BAE3359" w14:textId="77777777">
      <w:r>
        <w:t>These latter reforms would require that certain medical interventions modifying variations in sex characteristics must be subject to authorisation by an Independent Panel. Decisions about which medical interventions require authorisation would be informed by the National Guidelines.</w:t>
      </w:r>
    </w:p>
    <w:p w:rsidRPr="00A45753" w:rsidR="00810FD7" w:rsidP="00810FD7" w:rsidRDefault="00810FD7" w14:paraId="14F4C6E9" w14:textId="77777777">
      <w:pPr>
        <w:rPr>
          <w:rFonts w:cs="Open Sans"/>
        </w:rPr>
      </w:pPr>
      <w:r w:rsidRPr="18B294E8">
        <w:rPr>
          <w:rFonts w:cs="Open Sans"/>
        </w:rPr>
        <w:t xml:space="preserve">The </w:t>
      </w:r>
      <w:r>
        <w:rPr>
          <w:rFonts w:cs="Open Sans"/>
        </w:rPr>
        <w:t>recommended</w:t>
      </w:r>
      <w:r w:rsidRPr="18B294E8">
        <w:rPr>
          <w:rFonts w:cs="Open Sans"/>
        </w:rPr>
        <w:t xml:space="preserve"> </w:t>
      </w:r>
      <w:r>
        <w:rPr>
          <w:rFonts w:cs="Open Sans"/>
        </w:rPr>
        <w:t>National Guidelines</w:t>
      </w:r>
      <w:r w:rsidRPr="18B294E8">
        <w:rPr>
          <w:rFonts w:cs="Open Sans"/>
        </w:rPr>
        <w:t xml:space="preserve"> </w:t>
      </w:r>
      <w:r>
        <w:rPr>
          <w:rFonts w:cs="Open Sans"/>
        </w:rPr>
        <w:t>sh</w:t>
      </w:r>
      <w:r w:rsidRPr="18B294E8">
        <w:rPr>
          <w:rFonts w:cs="Open Sans"/>
        </w:rPr>
        <w:t>ould also promote the best standards of clinical care generally. The national multidisciplinary expert group should develop clinical guidelines</w:t>
      </w:r>
      <w:r>
        <w:rPr>
          <w:rFonts w:cs="Open Sans"/>
        </w:rPr>
        <w:t xml:space="preserve"> and</w:t>
      </w:r>
      <w:r w:rsidRPr="18B294E8">
        <w:rPr>
          <w:rFonts w:cs="Open Sans"/>
        </w:rPr>
        <w:t xml:space="preserve"> best practice and treatment protocols, including in relation to the provision of psychological and peer support.</w:t>
      </w:r>
    </w:p>
    <w:p w:rsidRPr="00170878" w:rsidR="00810FD7" w:rsidP="004E1B63" w:rsidRDefault="00810FD7" w14:paraId="0D7F8993" w14:textId="59C31F19">
      <w:pPr>
        <w:pStyle w:val="AHRCHeading2"/>
        <w:rPr>
          <w:bCs/>
        </w:rPr>
      </w:pPr>
      <w:bookmarkStart w:name="_Toc79700360" w:id="320"/>
      <w:bookmarkStart w:name="_Toc85541440" w:id="321"/>
      <w:r w:rsidRPr="00170878">
        <w:t>Clinical practice</w:t>
      </w:r>
      <w:bookmarkEnd w:id="320"/>
      <w:bookmarkEnd w:id="321"/>
    </w:p>
    <w:p w:rsidRPr="00A45753" w:rsidR="00810FD7" w:rsidP="00810FD7" w:rsidRDefault="00810FD7" w14:paraId="70CD9754" w14:textId="77777777">
      <w:r>
        <w:t>Clinical management practices vary considerably across Australia. In large tertiary centres, clinical care is often provided in multidisciplinary treatment teams (MDTs), especially for children.</w:t>
      </w:r>
    </w:p>
    <w:p w:rsidRPr="00A45753" w:rsidR="00810FD7" w:rsidP="00810FD7" w:rsidRDefault="00810FD7" w14:paraId="1A3363EF" w14:textId="77777777">
      <w:pPr>
        <w:rPr>
          <w:rFonts w:cs="Open Sans"/>
        </w:rPr>
      </w:pPr>
      <w:r w:rsidRPr="18B294E8">
        <w:rPr>
          <w:rFonts w:cs="Open Sans"/>
        </w:rPr>
        <w:t xml:space="preserve">The following section discusses MDTs and how they are constituted and operate, and some problems identified with current MDT management and care. The section then highlights a range of broader concerns about medical management and care for people born with variations in sex characteristics. </w:t>
      </w:r>
    </w:p>
    <w:p w:rsidRPr="00A45753" w:rsidR="00810FD7" w:rsidP="00810FD7" w:rsidRDefault="00810FD7" w14:paraId="408D8963" w14:textId="77777777">
      <w:pPr>
        <w:pStyle w:val="Heading3"/>
      </w:pPr>
      <w:bookmarkStart w:name="_Toc42167937" w:id="322"/>
      <w:bookmarkStart w:name="_Toc79700361" w:id="323"/>
      <w:bookmarkStart w:name="_Toc85541441" w:id="324"/>
      <w:r>
        <w:t>Multidisciplinary treatment teams</w:t>
      </w:r>
      <w:bookmarkEnd w:id="322"/>
      <w:bookmarkEnd w:id="323"/>
      <w:bookmarkEnd w:id="324"/>
    </w:p>
    <w:p w:rsidRPr="00A45753" w:rsidR="00810FD7" w:rsidP="00810FD7" w:rsidRDefault="00810FD7" w14:paraId="10DC7256" w14:textId="77777777">
      <w:pPr>
        <w:rPr>
          <w:rFonts w:cs="Open Sans"/>
        </w:rPr>
      </w:pPr>
      <w:r w:rsidRPr="00A45753">
        <w:rPr>
          <w:rFonts w:cs="Open Sans"/>
        </w:rPr>
        <w:t>MDTs compris</w:t>
      </w:r>
      <w:r>
        <w:rPr>
          <w:rFonts w:cs="Open Sans"/>
        </w:rPr>
        <w:t>e</w:t>
      </w:r>
      <w:r w:rsidRPr="00A45753">
        <w:rPr>
          <w:rFonts w:cs="Open Sans"/>
        </w:rPr>
        <w:t xml:space="preserve"> clinicians with a range of specialist skills, as well as other relevant qualifications. In some centres, MDTs are constituted at least partly of clinicians who are not part of the treating team. In other locations, multidisciplinary care is not necessarily available. MDTs are widely considered to be the best model for providing medical care to people born with variations in sex characteristics, although there was some divergence of views about the best </w:t>
      </w:r>
      <w:r>
        <w:rPr>
          <w:rFonts w:cs="Open Sans"/>
        </w:rPr>
        <w:t>composition</w:t>
      </w:r>
      <w:r w:rsidRPr="00A45753">
        <w:rPr>
          <w:rFonts w:cs="Open Sans"/>
        </w:rPr>
        <w:t xml:space="preserve"> of those teams. </w:t>
      </w:r>
    </w:p>
    <w:p w:rsidRPr="00A45753" w:rsidR="00810FD7" w:rsidP="00810FD7" w:rsidRDefault="00810FD7" w14:paraId="741AF8C6" w14:textId="77777777">
      <w:pPr>
        <w:pStyle w:val="Heading4"/>
      </w:pPr>
      <w:r>
        <w:lastRenderedPageBreak/>
        <w:t>Benefits of multidisciplinary teams</w:t>
      </w:r>
    </w:p>
    <w:p w:rsidRPr="00A45753" w:rsidR="00810FD7" w:rsidP="00810FD7" w:rsidRDefault="00810FD7" w14:paraId="49C6B239" w14:textId="5A3FE521">
      <w:pPr>
        <w:rPr>
          <w:sz w:val="22"/>
          <w:szCs w:val="22"/>
        </w:rPr>
      </w:pPr>
      <w:r>
        <w:rPr>
          <w:rFonts w:cs="Open Sans"/>
        </w:rPr>
        <w:t>Stakeholders</w:t>
      </w:r>
      <w:r w:rsidRPr="177D145B">
        <w:rPr>
          <w:rFonts w:cs="Open Sans"/>
        </w:rPr>
        <w:t xml:space="preserve"> said</w:t>
      </w:r>
      <w:r w:rsidRPr="53E6E5F8">
        <w:rPr>
          <w:rFonts w:cs="Open Sans"/>
        </w:rPr>
        <w:t xml:space="preserve"> that </w:t>
      </w:r>
      <w:r w:rsidRPr="177D145B">
        <w:rPr>
          <w:rFonts w:cs="Open Sans"/>
        </w:rPr>
        <w:t xml:space="preserve">MDTs </w:t>
      </w:r>
      <w:r w:rsidRPr="53E6E5F8">
        <w:rPr>
          <w:rFonts w:cs="Open Sans"/>
        </w:rPr>
        <w:t xml:space="preserve">provide diverse input from an array of relevant disciplines to inform the discussions about care and treatment for individuals born with variations in sex characteristics. A hospital </w:t>
      </w:r>
      <w:r w:rsidRPr="177D145B">
        <w:rPr>
          <w:rFonts w:cs="Open Sans"/>
        </w:rPr>
        <w:t>MDT</w:t>
      </w:r>
      <w:r w:rsidRPr="53E6E5F8">
        <w:rPr>
          <w:rFonts w:cs="Open Sans"/>
        </w:rPr>
        <w:t xml:space="preserve"> in a major tertiary centre </w:t>
      </w:r>
      <w:r w:rsidRPr="177D145B">
        <w:rPr>
          <w:rFonts w:cs="Open Sans"/>
        </w:rPr>
        <w:t>said that</w:t>
      </w:r>
      <w:r w:rsidRPr="0117CC5D" w:rsidR="195829BD">
        <w:rPr>
          <w:rFonts w:cs="Open Sans"/>
        </w:rPr>
        <w:t>:</w:t>
      </w:r>
    </w:p>
    <w:p w:rsidRPr="00A45753" w:rsidR="00810FD7" w:rsidP="00810FD7" w:rsidRDefault="00810FD7" w14:paraId="66B01CEE" w14:textId="77777777">
      <w:pPr>
        <w:ind w:left="720"/>
        <w:rPr>
          <w:sz w:val="22"/>
          <w:szCs w:val="22"/>
        </w:rPr>
      </w:pPr>
      <w:r>
        <w:rPr>
          <w:sz w:val="22"/>
          <w:szCs w:val="22"/>
        </w:rPr>
        <w:t xml:space="preserve">[With] </w:t>
      </w:r>
      <w:r w:rsidRPr="00A45753">
        <w:rPr>
          <w:sz w:val="22"/>
          <w:szCs w:val="22"/>
        </w:rPr>
        <w:t>every case, current knowledge and latest developments in practice are applied to decision-making. Ongoing review and feedback from both clinicians and families suggest this process is useful.</w:t>
      </w:r>
      <w:r w:rsidRPr="0117CC5D">
        <w:rPr>
          <w:rStyle w:val="EndnoteReference"/>
        </w:rPr>
        <w:endnoteReference w:id="388"/>
      </w:r>
    </w:p>
    <w:p w:rsidRPr="00A45753" w:rsidR="00810FD7" w:rsidP="00810FD7" w:rsidRDefault="00810FD7" w14:paraId="0D52C9B4" w14:textId="3D468E9B">
      <w:r w:rsidRPr="00A45753">
        <w:t>Clinicians involved in established MDTs stated that these teams can provide a holistic approach</w:t>
      </w:r>
      <w:r>
        <w:t xml:space="preserve"> and</w:t>
      </w:r>
      <w:r w:rsidRPr="00A45753">
        <w:t xml:space="preserve"> evidence for and against all treatment options, including surgery. In each individual situation they can guide and support the parents and guardians in reaching informed choices. These clinicians expressed the view that external legal oversight is generally ill</w:t>
      </w:r>
      <w:r w:rsidRPr="00A45753" w:rsidR="13C44DC6">
        <w:t>-</w:t>
      </w:r>
      <w:r w:rsidRPr="00A45753">
        <w:t>equipped to address these questions, with matters usually referred back to expert clinicians.</w:t>
      </w:r>
      <w:r w:rsidRPr="00A70BEB">
        <w:rPr>
          <w:sz w:val="20"/>
          <w:szCs w:val="20"/>
          <w:vertAlign w:val="superscript"/>
        </w:rPr>
        <w:endnoteReference w:id="389"/>
      </w:r>
    </w:p>
    <w:p w:rsidRPr="00A45753" w:rsidR="00810FD7" w:rsidP="00810FD7" w:rsidRDefault="00810FD7" w14:paraId="3C10BFCE" w14:textId="77777777">
      <w:pPr>
        <w:pStyle w:val="Heading4"/>
      </w:pPr>
      <w:r>
        <w:t>Access to MDTs</w:t>
      </w:r>
    </w:p>
    <w:p w:rsidRPr="00A45753" w:rsidR="00810FD7" w:rsidP="00810FD7" w:rsidRDefault="00810FD7" w14:paraId="699B0B43" w14:textId="77777777">
      <w:pPr>
        <w:rPr>
          <w:rFonts w:cs="Open Sans"/>
        </w:rPr>
      </w:pPr>
      <w:r>
        <w:rPr>
          <w:rFonts w:cs="Open Sans"/>
        </w:rPr>
        <w:t>T</w:t>
      </w:r>
      <w:r w:rsidRPr="00A45753">
        <w:rPr>
          <w:rFonts w:cs="Open Sans"/>
        </w:rPr>
        <w:t>here are MDTs in Sydney at The Children’s Hospital, Westmead and Sydney Children’s Hospital, Randwick</w:t>
      </w:r>
      <w:r>
        <w:rPr>
          <w:rFonts w:cs="Open Sans"/>
        </w:rPr>
        <w:t>;</w:t>
      </w:r>
      <w:r w:rsidRPr="00A45753">
        <w:rPr>
          <w:rFonts w:cs="Open Sans"/>
        </w:rPr>
        <w:t xml:space="preserve"> in Melbourne at the Royal Children’s Hospital and Monash Children’s Hospital</w:t>
      </w:r>
      <w:r>
        <w:rPr>
          <w:rFonts w:cs="Open Sans"/>
        </w:rPr>
        <w:t>;</w:t>
      </w:r>
      <w:r w:rsidRPr="00A45753">
        <w:rPr>
          <w:rFonts w:cs="Open Sans"/>
        </w:rPr>
        <w:t xml:space="preserve"> and in Perth</w:t>
      </w:r>
      <w:r>
        <w:rPr>
          <w:rFonts w:cs="Open Sans"/>
        </w:rPr>
        <w:t>,</w:t>
      </w:r>
      <w:r w:rsidRPr="00A45753">
        <w:rPr>
          <w:rFonts w:cs="Open Sans"/>
        </w:rPr>
        <w:t xml:space="preserve"> at Perth Children’s Hospital.</w:t>
      </w:r>
      <w:r w:rsidRPr="0117CC5D">
        <w:rPr>
          <w:rStyle w:val="EndnoteReference"/>
          <w:rFonts w:cs="Open Sans"/>
        </w:rPr>
        <w:endnoteReference w:id="390"/>
      </w:r>
      <w:r w:rsidRPr="00A45753">
        <w:rPr>
          <w:rFonts w:cs="Open Sans"/>
        </w:rPr>
        <w:t xml:space="preserve"> There is also an informal inter-disciplinary body in Brisbane at the Queensland Children’s hospital.</w:t>
      </w:r>
      <w:r w:rsidRPr="0117CC5D">
        <w:rPr>
          <w:rStyle w:val="EndnoteReference"/>
          <w:rFonts w:cs="Open Sans"/>
        </w:rPr>
        <w:endnoteReference w:id="391"/>
      </w:r>
      <w:r w:rsidRPr="00A45753">
        <w:rPr>
          <w:rFonts w:cs="Open Sans"/>
        </w:rPr>
        <w:t xml:space="preserve"> Many children who are not born or being treated at these locations will need to be referred to an MDT, either by a clinician or by their own or their parents’ or guardians’ volition.</w:t>
      </w:r>
    </w:p>
    <w:p w:rsidRPr="00A45753" w:rsidR="00810FD7" w:rsidP="00810FD7" w:rsidRDefault="00810FD7" w14:paraId="7C0C09D7" w14:textId="32EC9C1A">
      <w:pPr>
        <w:autoSpaceDE w:val="0"/>
        <w:autoSpaceDN w:val="0"/>
        <w:adjustRightInd w:val="0"/>
        <w:spacing w:before="0" w:after="0"/>
        <w:rPr>
          <w:rFonts w:cs="Open Sans"/>
        </w:rPr>
      </w:pPr>
      <w:r w:rsidRPr="177D145B">
        <w:rPr>
          <w:rFonts w:cs="Open Sans"/>
        </w:rPr>
        <w:t xml:space="preserve">The </w:t>
      </w:r>
      <w:r>
        <w:t xml:space="preserve">Australasian Paediatric Endocrine Group (APEG) </w:t>
      </w:r>
      <w:r w:rsidRPr="177D145B">
        <w:rPr>
          <w:rFonts w:cs="Open Sans"/>
        </w:rPr>
        <w:t>noted the importance of the role of the clinician in centres away from the major cities, emphasising that</w:t>
      </w:r>
    </w:p>
    <w:p w:rsidRPr="00A45753" w:rsidR="00810FD7" w:rsidP="00810FD7" w:rsidRDefault="00810FD7" w14:paraId="74E26AA6" w14:textId="77777777">
      <w:pPr>
        <w:autoSpaceDE w:val="0"/>
        <w:autoSpaceDN w:val="0"/>
        <w:adjustRightInd w:val="0"/>
        <w:spacing w:before="0" w:after="0"/>
        <w:ind w:left="720"/>
        <w:rPr>
          <w:rFonts w:eastAsia="Times New Roman" w:cs="Open Sans"/>
          <w:sz w:val="22"/>
          <w:szCs w:val="22"/>
          <w:lang w:val="en-US"/>
        </w:rPr>
      </w:pPr>
    </w:p>
    <w:p w:rsidRPr="00A45753" w:rsidR="00810FD7" w:rsidP="00810FD7" w:rsidRDefault="00810FD7" w14:paraId="2D2251B9" w14:textId="77777777">
      <w:pPr>
        <w:autoSpaceDE w:val="0"/>
        <w:autoSpaceDN w:val="0"/>
        <w:adjustRightInd w:val="0"/>
        <w:spacing w:before="0" w:after="0"/>
        <w:ind w:left="720"/>
        <w:rPr>
          <w:rFonts w:eastAsia="Times New Roman" w:cs="Open Sans"/>
          <w:sz w:val="22"/>
          <w:szCs w:val="22"/>
          <w:lang w:val="en-US"/>
        </w:rPr>
      </w:pPr>
      <w:r w:rsidRPr="00A45753">
        <w:rPr>
          <w:rFonts w:eastAsia="Times New Roman" w:cs="Open Sans"/>
          <w:sz w:val="22"/>
          <w:szCs w:val="22"/>
          <w:lang w:val="en-US"/>
        </w:rPr>
        <w:t>awareness of the need to refer to such teams lies with clinicians in smaller centres and recognition of a DSD</w:t>
      </w:r>
      <w:r>
        <w:rPr>
          <w:rFonts w:eastAsia="Times New Roman" w:cs="Open Sans"/>
          <w:sz w:val="22"/>
          <w:szCs w:val="22"/>
          <w:lang w:val="en-US"/>
        </w:rPr>
        <w:t xml:space="preserve"> [Differences of sex development]</w:t>
      </w:r>
      <w:r w:rsidRPr="00A45753">
        <w:rPr>
          <w:rFonts w:eastAsia="Times New Roman" w:cs="Open Sans"/>
          <w:sz w:val="22"/>
          <w:szCs w:val="22"/>
          <w:lang w:val="en-US"/>
        </w:rPr>
        <w:t>/variation in sex development in the first instance (which is not always straightforward).</w:t>
      </w:r>
      <w:r w:rsidRPr="0117CC5D">
        <w:rPr>
          <w:rStyle w:val="EndnoteReference"/>
          <w:rFonts w:eastAsia="Times New Roman" w:cs="Open Sans"/>
          <w:lang w:val="en-US"/>
        </w:rPr>
        <w:endnoteReference w:id="392"/>
      </w:r>
    </w:p>
    <w:p w:rsidRPr="00A45753" w:rsidR="00810FD7" w:rsidP="00810FD7" w:rsidRDefault="00810FD7" w14:paraId="18A603F2" w14:textId="77777777">
      <w:pPr>
        <w:autoSpaceDE w:val="0"/>
        <w:autoSpaceDN w:val="0"/>
        <w:adjustRightInd w:val="0"/>
        <w:spacing w:before="0" w:after="0"/>
        <w:rPr>
          <w:rFonts w:eastAsia="Times New Roman" w:cs="Open Sans"/>
          <w:sz w:val="22"/>
          <w:szCs w:val="22"/>
          <w:lang w:val="en-US"/>
        </w:rPr>
      </w:pPr>
    </w:p>
    <w:p w:rsidRPr="00A45753" w:rsidR="00810FD7" w:rsidP="00810FD7" w:rsidRDefault="00810FD7" w14:paraId="33F2174F" w14:textId="77777777">
      <w:pPr>
        <w:autoSpaceDE w:val="0"/>
        <w:autoSpaceDN w:val="0"/>
        <w:adjustRightInd w:val="0"/>
        <w:spacing w:before="0" w:after="0"/>
        <w:rPr>
          <w:rFonts w:cs="Open Sans"/>
        </w:rPr>
      </w:pPr>
      <w:r w:rsidRPr="00A45753">
        <w:rPr>
          <w:rFonts w:cs="Open Sans"/>
        </w:rPr>
        <w:t>A specialist at a medical roundtable observed that it is a challenge to ensure care where a child is born in a smaller town.</w:t>
      </w:r>
      <w:r w:rsidRPr="0117CC5D">
        <w:rPr>
          <w:rStyle w:val="EndnoteReference"/>
          <w:rFonts w:cs="Open Sans"/>
        </w:rPr>
        <w:endnoteReference w:id="393"/>
      </w:r>
      <w:r w:rsidRPr="00A45753">
        <w:rPr>
          <w:rFonts w:cs="Open Sans"/>
        </w:rPr>
        <w:t xml:space="preserve"> Where possible, that multidisciplinary team tries to see the family with their child shortly after birth, keeping the local paediatrician involved.</w:t>
      </w:r>
      <w:r w:rsidRPr="0117CC5D">
        <w:rPr>
          <w:rStyle w:val="EndnoteReference"/>
          <w:rFonts w:cs="Open Sans"/>
        </w:rPr>
        <w:endnoteReference w:id="394"/>
      </w:r>
      <w:r>
        <w:rPr>
          <w:rFonts w:cs="Open Sans"/>
        </w:rPr>
        <w:t xml:space="preserve"> </w:t>
      </w:r>
      <w:r w:rsidRPr="00A45753">
        <w:rPr>
          <w:rFonts w:cs="Open Sans"/>
        </w:rPr>
        <w:t>C</w:t>
      </w:r>
      <w:r w:rsidRPr="00A45753">
        <w:t xml:space="preserve">hildren are predominantly referred to their MDT from </w:t>
      </w:r>
      <w:r w:rsidRPr="00A45753">
        <w:lastRenderedPageBreak/>
        <w:t>within their network, but children and adolescents seen by clinicians outside the network can also be referred for discussion.</w:t>
      </w:r>
      <w:r w:rsidRPr="0117CC5D">
        <w:rPr>
          <w:rStyle w:val="EndnoteReference"/>
        </w:rPr>
        <w:endnoteReference w:id="395"/>
      </w:r>
    </w:p>
    <w:p w:rsidRPr="00A45753" w:rsidR="00810FD7" w:rsidP="00810FD7" w:rsidRDefault="00810FD7" w14:paraId="6974F49C" w14:textId="77777777">
      <w:pPr>
        <w:pStyle w:val="Heading4"/>
      </w:pPr>
      <w:r>
        <w:t>Composition of MDTs</w:t>
      </w:r>
    </w:p>
    <w:p w:rsidRPr="003F16BA" w:rsidR="00810FD7" w:rsidP="00810FD7" w:rsidRDefault="00810FD7" w14:paraId="46D8E661" w14:textId="77777777">
      <w:pPr>
        <w:pStyle w:val="ListParagraph"/>
        <w:ind w:left="0"/>
        <w:rPr>
          <w:rFonts w:cs="Open Sans"/>
          <w:sz w:val="20"/>
          <w:szCs w:val="20"/>
        </w:rPr>
      </w:pPr>
      <w:r w:rsidRPr="00A45753">
        <w:rPr>
          <w:rFonts w:cs="Open Sans"/>
        </w:rPr>
        <w:t xml:space="preserve">APEG stated that MDTs are constituted </w:t>
      </w:r>
      <w:r>
        <w:rPr>
          <w:rFonts w:cs="Open Sans"/>
        </w:rPr>
        <w:t>by</w:t>
      </w:r>
      <w:r w:rsidRPr="00A45753">
        <w:rPr>
          <w:rFonts w:cs="Open Sans"/>
        </w:rPr>
        <w:t xml:space="preserve"> ‘paediatric endocrinologists, urologists, gynaecologists, geneticists, ethicists, psychologists, hospital executive</w:t>
      </w:r>
      <w:r>
        <w:rPr>
          <w:rFonts w:cs="Open Sans"/>
        </w:rPr>
        <w:t>s</w:t>
      </w:r>
      <w:r w:rsidRPr="00A45753">
        <w:rPr>
          <w:rFonts w:cs="Open Sans"/>
        </w:rPr>
        <w:t xml:space="preserve"> and medico-legal representatives’.</w:t>
      </w:r>
      <w:r w:rsidRPr="0117CC5D">
        <w:rPr>
          <w:rStyle w:val="EndnoteReference"/>
          <w:rFonts w:cs="Open Sans"/>
        </w:rPr>
        <w:endnoteReference w:id="396"/>
      </w:r>
    </w:p>
    <w:p w:rsidRPr="00A45753" w:rsidR="00810FD7" w:rsidP="00810FD7" w:rsidRDefault="00810FD7" w14:paraId="0A0AEBB0" w14:textId="77777777">
      <w:pPr>
        <w:rPr>
          <w:rFonts w:cs="Open Sans"/>
        </w:rPr>
      </w:pPr>
      <w:r w:rsidRPr="00A45753">
        <w:rPr>
          <w:rFonts w:cs="Open Sans"/>
        </w:rPr>
        <w:t>MDTs were described as varying in relation to the ‘criteria of cases requiring discussion, geographic set-ups (national versus regional centre MDTs), and the regular participant specialties who attend meetings’.</w:t>
      </w:r>
      <w:r w:rsidRPr="0117CC5D">
        <w:rPr>
          <w:rStyle w:val="EndnoteReference"/>
          <w:rFonts w:cs="Open Sans"/>
        </w:rPr>
        <w:endnoteReference w:id="397"/>
      </w:r>
    </w:p>
    <w:p w:rsidRPr="00A45753" w:rsidR="00810FD7" w:rsidP="00810FD7" w:rsidRDefault="00810FD7" w14:paraId="6000673F" w14:textId="77777777">
      <w:pPr>
        <w:pStyle w:val="ListParagraph"/>
        <w:ind w:left="0"/>
        <w:rPr>
          <w:rFonts w:cs="Open Sans"/>
        </w:rPr>
      </w:pPr>
      <w:r w:rsidRPr="00A45753">
        <w:rPr>
          <w:rFonts w:cs="Open Sans"/>
        </w:rPr>
        <w:t xml:space="preserve">The Western Australian Multidisciplinary DSD Team stated that its team is constituted </w:t>
      </w:r>
      <w:r>
        <w:rPr>
          <w:rFonts w:cs="Open Sans"/>
        </w:rPr>
        <w:t>by</w:t>
      </w:r>
      <w:r w:rsidRPr="00A45753">
        <w:rPr>
          <w:rFonts w:cs="Open Sans"/>
        </w:rPr>
        <w:t xml:space="preserve"> an endocrinologist, and paediatric surgeon/urologist, with a social worker involved at diagnosis.</w:t>
      </w:r>
      <w:r w:rsidRPr="0117CC5D">
        <w:rPr>
          <w:rStyle w:val="EndnoteReference"/>
          <w:rFonts w:cs="Open Sans"/>
        </w:rPr>
        <w:endnoteReference w:id="398"/>
      </w:r>
      <w:r w:rsidRPr="00A45753">
        <w:rPr>
          <w:rFonts w:cs="Open Sans"/>
        </w:rPr>
        <w:t xml:space="preserve"> However, it noted there was a ’lack of mental health professionals with expertise and training, to provide both initial help and long-term follow-up’.</w:t>
      </w:r>
      <w:r w:rsidRPr="0117CC5D">
        <w:rPr>
          <w:rStyle w:val="EndnoteReference"/>
          <w:rFonts w:cs="Open Sans"/>
        </w:rPr>
        <w:endnoteReference w:id="399"/>
      </w:r>
      <w:r w:rsidRPr="00A45753">
        <w:rPr>
          <w:rFonts w:cs="Open Sans"/>
        </w:rPr>
        <w:t xml:space="preserve"> Clinicians at the Perth medical roundtable confirmed the need for ‘more psychological help’.</w:t>
      </w:r>
      <w:r w:rsidRPr="0117CC5D">
        <w:rPr>
          <w:rStyle w:val="EndnoteReference"/>
          <w:rFonts w:cs="Open Sans"/>
        </w:rPr>
        <w:endnoteReference w:id="400"/>
      </w:r>
      <w:r w:rsidRPr="00A45753">
        <w:rPr>
          <w:rFonts w:cs="Open Sans"/>
        </w:rPr>
        <w:t xml:space="preserve"> </w:t>
      </w:r>
    </w:p>
    <w:p w:rsidRPr="00A45753" w:rsidR="00810FD7" w:rsidP="00810FD7" w:rsidRDefault="00810FD7" w14:paraId="0A85D174" w14:textId="77777777">
      <w:pPr>
        <w:spacing w:before="0" w:after="160" w:line="259" w:lineRule="auto"/>
        <w:contextualSpacing/>
      </w:pPr>
      <w:r w:rsidRPr="00A45753">
        <w:t xml:space="preserve">A clinical specialist at the Melbourne medical roundtable described the Royal Melbourne Children’s Hospital MDT as being constituted by about 15 different types of clinicians, including clinical ethicists. </w:t>
      </w:r>
    </w:p>
    <w:p w:rsidRPr="00A45753" w:rsidR="00810FD7" w:rsidP="00810FD7" w:rsidRDefault="00810FD7" w14:paraId="4AC10264" w14:textId="3A2D5D59">
      <w:pPr>
        <w:rPr>
          <w:rFonts w:cs="Open Sans"/>
        </w:rPr>
      </w:pPr>
      <w:r w:rsidRPr="00A45753">
        <w:rPr>
          <w:rFonts w:cs="Open Sans"/>
        </w:rPr>
        <w:t xml:space="preserve">One MDT in a major tertiary centre </w:t>
      </w:r>
      <w:r>
        <w:rPr>
          <w:rFonts w:cs="Open Sans"/>
        </w:rPr>
        <w:t>drew on</w:t>
      </w:r>
    </w:p>
    <w:p w:rsidRPr="00A45753" w:rsidR="00810FD7" w:rsidP="00810FD7" w:rsidRDefault="00810FD7" w14:paraId="69859975" w14:textId="77777777">
      <w:pPr>
        <w:pStyle w:val="ListParagraph"/>
        <w:ind w:left="851"/>
        <w:rPr>
          <w:rFonts w:cs="Open Sans"/>
        </w:rPr>
      </w:pPr>
      <w:r w:rsidRPr="00A45753">
        <w:rPr>
          <w:sz w:val="22"/>
          <w:szCs w:val="22"/>
        </w:rPr>
        <w:t>the professional experience of up to 25 clinicians including endocrinologists, urologists, gynaecologists, geneticists, a psychologist and ethicists (whose collective experience exceeds 300 years) is directed towards each individual case.</w:t>
      </w:r>
      <w:r w:rsidRPr="0117CC5D">
        <w:rPr>
          <w:rStyle w:val="EndnoteReference"/>
        </w:rPr>
        <w:endnoteReference w:id="401"/>
      </w:r>
    </w:p>
    <w:p w:rsidRPr="00A45753" w:rsidR="00810FD7" w:rsidP="00810FD7" w:rsidRDefault="00810FD7" w14:paraId="455D0342" w14:textId="77777777">
      <w:pPr>
        <w:pStyle w:val="Heading4"/>
      </w:pPr>
      <w:r>
        <w:t>Which cases are seen by MDTs?</w:t>
      </w:r>
    </w:p>
    <w:p w:rsidR="00810FD7" w:rsidP="00810FD7" w:rsidRDefault="00810FD7" w14:paraId="1C52C815" w14:textId="77777777">
      <w:r w:rsidRPr="00CC1386">
        <w:t xml:space="preserve">MDTs are autonomous and independent of one another, and the people they see </w:t>
      </w:r>
      <w:r w:rsidRPr="00620A93">
        <w:t>differ in their characteristics</w:t>
      </w:r>
      <w:r w:rsidRPr="008140C7">
        <w:t>. Some</w:t>
      </w:r>
      <w:r w:rsidRPr="009A7A2B">
        <w:t xml:space="preserve"> clinical stakeholders stated that they do not see people with </w:t>
      </w:r>
      <w:r w:rsidRPr="007E21FA">
        <w:t xml:space="preserve">certain specific </w:t>
      </w:r>
      <w:r w:rsidRPr="009C6BE5">
        <w:t>vari</w:t>
      </w:r>
      <w:r w:rsidRPr="00B31B30">
        <w:t xml:space="preserve">ations or those with ‘simple’ hypospadias. </w:t>
      </w:r>
      <w:r w:rsidRPr="00B31B30">
        <w:lastRenderedPageBreak/>
        <w:t>It was suggested that</w:t>
      </w:r>
      <w:r w:rsidRPr="00C4149A">
        <w:t xml:space="preserve"> MDT review is generally for those </w:t>
      </w:r>
      <w:r w:rsidRPr="00611FD6">
        <w:t>characterised as more complex cases.</w:t>
      </w:r>
      <w:r>
        <w:t xml:space="preserve"> </w:t>
      </w:r>
    </w:p>
    <w:p w:rsidRPr="00BC135A" w:rsidR="00810FD7" w:rsidP="00810FD7" w:rsidRDefault="00810FD7" w14:paraId="2ED27D96" w14:textId="77777777">
      <w:pPr>
        <w:rPr>
          <w:rFonts w:cs="Open Sans"/>
        </w:rPr>
      </w:pPr>
      <w:r w:rsidRPr="00BC135A">
        <w:rPr>
          <w:rFonts w:cs="Open Sans"/>
        </w:rPr>
        <w:t>Clinicians at the Perth roundtable said they see about 20</w:t>
      </w:r>
      <w:r>
        <w:rPr>
          <w:rFonts w:cs="Open Sans"/>
        </w:rPr>
        <w:t>–</w:t>
      </w:r>
      <w:r w:rsidRPr="00BC135A">
        <w:rPr>
          <w:rFonts w:cs="Open Sans"/>
        </w:rPr>
        <w:t>30 individuals a year with a ‘real ambiguity at birth, who have a defined and significant variation of DSD, or certain specified syndromes like AIS (Androgen Insensitivity Syndrome)’.</w:t>
      </w:r>
      <w:r w:rsidRPr="0117CC5D">
        <w:rPr>
          <w:rStyle w:val="EndnoteReference"/>
          <w:rFonts w:cs="Open Sans"/>
        </w:rPr>
        <w:endnoteReference w:id="402"/>
      </w:r>
      <w:r w:rsidRPr="00611FD6">
        <w:rPr>
          <w:rStyle w:val="EndnoteReference"/>
        </w:rPr>
        <w:t xml:space="preserve"> </w:t>
      </w:r>
      <w:r w:rsidRPr="00BC135A">
        <w:rPr>
          <w:rFonts w:cs="Open Sans"/>
        </w:rPr>
        <w:t>This cohort does not include individuals with Turner</w:t>
      </w:r>
      <w:r>
        <w:rPr>
          <w:rFonts w:cs="Open Sans"/>
        </w:rPr>
        <w:t>’</w:t>
      </w:r>
      <w:r w:rsidRPr="00BC135A">
        <w:rPr>
          <w:rFonts w:cs="Open Sans"/>
        </w:rPr>
        <w:t>s syndrome, whom they do not regard as intersex, nor does it include boys with Klinefelter Syndrome. Rather, these two groups are treated by general endocrinologists.</w:t>
      </w:r>
    </w:p>
    <w:p w:rsidRPr="00A45753" w:rsidR="00810FD7" w:rsidP="00810FD7" w:rsidRDefault="00810FD7" w14:paraId="5C28A08F" w14:textId="77777777">
      <w:pPr>
        <w:spacing w:before="0" w:after="0"/>
        <w:rPr>
          <w:rFonts w:cs="Open Sans"/>
        </w:rPr>
      </w:pPr>
      <w:r w:rsidRPr="00A45753">
        <w:rPr>
          <w:rFonts w:cs="Open Sans"/>
        </w:rPr>
        <w:t>Specialist clinicians from Royal Children’s Hospital in Melbourne said that the cohort they see includes complex hypospadias, babies where prenatal non-invasive pre-natal screening (NIPS) indicates genetics are in inconsistent with phenotype, as well as any variation that has atypical appearance.</w:t>
      </w:r>
      <w:r w:rsidRPr="0117CC5D">
        <w:rPr>
          <w:rStyle w:val="EndnoteReference"/>
          <w:rFonts w:cs="Open Sans"/>
        </w:rPr>
        <w:endnoteReference w:id="403"/>
      </w:r>
      <w:r w:rsidRPr="00A45753">
        <w:rPr>
          <w:rFonts w:cs="Open Sans"/>
        </w:rPr>
        <w:t xml:space="preserve"> They stated that characteristics such as micropenis may not be reviewed by their MDT. They indicated that they do not review cases of Klinefelter Syndrome or Turner’s Syndrome, as these are managed largely with hormonal treatment. They see people across age groups, as variations are not always picked up at birth. </w:t>
      </w:r>
    </w:p>
    <w:p w:rsidRPr="00A45753" w:rsidR="00810FD7" w:rsidP="00810FD7" w:rsidRDefault="00810FD7" w14:paraId="1DA46937" w14:textId="77777777">
      <w:r w:rsidRPr="00A45753">
        <w:rPr>
          <w:rFonts w:cs="Open Sans"/>
        </w:rPr>
        <w:t xml:space="preserve">Clinicians at the Sydney medical roundtable said that their MDT sees anyone up to 18 or 20 years of age, for whom medical, surgical, ethical decisions need to be made. 90% are under one year of age, </w:t>
      </w:r>
      <w:r w:rsidRPr="177D145B">
        <w:rPr>
          <w:rFonts w:cs="Open Sans"/>
        </w:rPr>
        <w:t>although</w:t>
      </w:r>
      <w:r w:rsidRPr="00A45753">
        <w:rPr>
          <w:rFonts w:cs="Open Sans"/>
        </w:rPr>
        <w:t xml:space="preserve"> they might come back several years later when another decision needs to be made. This MDT tends to see people with more complicated problems that may be more controversial. </w:t>
      </w:r>
      <w:r>
        <w:rPr>
          <w:rFonts w:cs="Open Sans"/>
        </w:rPr>
        <w:t>T</w:t>
      </w:r>
      <w:r w:rsidRPr="00A45753">
        <w:t>hey stated:</w:t>
      </w:r>
    </w:p>
    <w:p w:rsidRPr="00A45753" w:rsidR="00810FD7" w:rsidP="00810FD7" w:rsidRDefault="00810FD7" w14:paraId="47651F99" w14:textId="77777777">
      <w:pPr>
        <w:ind w:left="720"/>
        <w:rPr>
          <w:rFonts w:cs="Open Sans"/>
          <w:sz w:val="22"/>
          <w:szCs w:val="22"/>
        </w:rPr>
      </w:pPr>
      <w:r w:rsidRPr="00A45753">
        <w:rPr>
          <w:sz w:val="22"/>
          <w:szCs w:val="22"/>
        </w:rPr>
        <w:t>An audit of the cases presented at the meeting from August 2012 to August 2018 identified 48 new referrals and 14 follow up discussions. The most common referrals to the DSD forum were for timing/need for gonadectomy for non-functioning gonads with malignant potential and hypospadias repair for boys with complex hypospadias associated with other genital variations (eg undescended testes).</w:t>
      </w:r>
    </w:p>
    <w:p w:rsidRPr="00A45753" w:rsidR="00810FD7" w:rsidP="00810FD7" w:rsidRDefault="00810FD7" w14:paraId="0D7A0867" w14:textId="77777777">
      <w:pPr>
        <w:pStyle w:val="CommentText"/>
        <w:rPr>
          <w:rFonts w:cs="Open Sans"/>
          <w:sz w:val="24"/>
          <w:szCs w:val="24"/>
        </w:rPr>
      </w:pPr>
      <w:r w:rsidRPr="00A45753">
        <w:rPr>
          <w:rFonts w:cs="Open Sans"/>
          <w:sz w:val="24"/>
          <w:szCs w:val="24"/>
        </w:rPr>
        <w:t xml:space="preserve">This MDT does not see people with regular hypospadias or standard Turner’s Syndrome. </w:t>
      </w:r>
    </w:p>
    <w:p w:rsidRPr="00A45753" w:rsidR="00810FD7" w:rsidP="00810FD7" w:rsidRDefault="00810FD7" w14:paraId="1DA10667" w14:textId="77777777">
      <w:pPr>
        <w:pStyle w:val="CommentText"/>
        <w:rPr>
          <w:rFonts w:cs="Open Sans"/>
          <w:sz w:val="24"/>
          <w:szCs w:val="24"/>
        </w:rPr>
      </w:pPr>
      <w:r w:rsidRPr="00A45753">
        <w:rPr>
          <w:rFonts w:cs="Open Sans"/>
          <w:sz w:val="24"/>
          <w:szCs w:val="24"/>
        </w:rPr>
        <w:t>Clinicians at the Brisbane medical roundtable said they do not have a formally constituted MDT. However, there is a monthly, in-person, state-wide audit of cases, with the participation of specialists from a range of locations.</w:t>
      </w:r>
    </w:p>
    <w:p w:rsidRPr="00A45753" w:rsidR="00810FD7" w:rsidP="00810FD7" w:rsidRDefault="00810FD7" w14:paraId="457F4C9F" w14:textId="77777777">
      <w:pPr>
        <w:pStyle w:val="Heading4"/>
      </w:pPr>
      <w:r>
        <w:lastRenderedPageBreak/>
        <w:t>MDT decision making about proposed medical interventions</w:t>
      </w:r>
    </w:p>
    <w:p w:rsidRPr="00A45753" w:rsidR="00810FD7" w:rsidP="00810FD7" w:rsidRDefault="00810FD7" w14:paraId="3FAB5A3C" w14:textId="77777777">
      <w:pPr>
        <w:pStyle w:val="ListParagraph"/>
        <w:ind w:left="0"/>
        <w:jc w:val="both"/>
      </w:pPr>
      <w:r w:rsidRPr="00A45753">
        <w:t xml:space="preserve">The WA MDT described how clinicians approach surgical treatment, stating: </w:t>
      </w:r>
    </w:p>
    <w:p w:rsidRPr="00A45753" w:rsidR="00810FD7" w:rsidP="00810FD7" w:rsidRDefault="00810FD7" w14:paraId="2BB18DE9" w14:textId="77777777">
      <w:pPr>
        <w:pStyle w:val="ListParagraph"/>
        <w:rPr>
          <w:sz w:val="22"/>
          <w:szCs w:val="22"/>
        </w:rPr>
      </w:pPr>
      <w:r w:rsidRPr="00A45753">
        <w:rPr>
          <w:sz w:val="22"/>
          <w:szCs w:val="22"/>
        </w:rPr>
        <w:t>The indication for any surgical treatment is carefully discussed by all members of the DSD Multidisciplinary team and the child (if of an appropriate age of understanding), and parents</w:t>
      </w:r>
      <w:r>
        <w:rPr>
          <w:sz w:val="22"/>
          <w:szCs w:val="22"/>
        </w:rPr>
        <w:t xml:space="preserve"> </w:t>
      </w:r>
      <w:r w:rsidRPr="00A45753">
        <w:rPr>
          <w:sz w:val="22"/>
          <w:szCs w:val="22"/>
        </w:rPr>
        <w:t>…</w:t>
      </w:r>
      <w:r>
        <w:rPr>
          <w:sz w:val="22"/>
          <w:szCs w:val="22"/>
        </w:rPr>
        <w:t xml:space="preserve"> </w:t>
      </w:r>
      <w:r w:rsidRPr="00A45753">
        <w:rPr>
          <w:sz w:val="22"/>
          <w:szCs w:val="22"/>
        </w:rPr>
        <w:t>Decision for surgery is a consensus decision, and always with the aim of long-term medical benefit to the child as the primary goal. The need for reconstructive or excisional surgery, appropriate timing for surgery, risks and benefits, and the choice of not having surgery (where this is safe) are discussed. Surgery is undertaken with informed written consent from parents or carers, after this team process is undertaken, and with consensus from the entire DSD Multidisciplinary team.</w:t>
      </w:r>
      <w:r w:rsidRPr="0117CC5D">
        <w:rPr>
          <w:rStyle w:val="EndnoteReference"/>
        </w:rPr>
        <w:endnoteReference w:id="404"/>
      </w:r>
    </w:p>
    <w:p w:rsidRPr="00A45753" w:rsidR="00810FD7" w:rsidP="00810FD7" w:rsidRDefault="00810FD7" w14:paraId="559DDC84" w14:textId="77777777">
      <w:pPr>
        <w:rPr>
          <w:rFonts w:cs="Open Sans"/>
        </w:rPr>
      </w:pPr>
      <w:r w:rsidRPr="00A45753">
        <w:rPr>
          <w:rFonts w:cs="Open Sans"/>
        </w:rPr>
        <w:t xml:space="preserve">Specialist clinicians from </w:t>
      </w:r>
      <w:r>
        <w:rPr>
          <w:rFonts w:cs="Open Sans"/>
        </w:rPr>
        <w:t xml:space="preserve">the </w:t>
      </w:r>
      <w:r w:rsidRPr="00A45753">
        <w:rPr>
          <w:rFonts w:cs="Open Sans"/>
        </w:rPr>
        <w:t>Royal Children’s Hospital</w:t>
      </w:r>
      <w:r>
        <w:rPr>
          <w:rFonts w:cs="Open Sans"/>
        </w:rPr>
        <w:t>,</w:t>
      </w:r>
      <w:r w:rsidRPr="00A45753">
        <w:rPr>
          <w:rFonts w:cs="Open Sans"/>
        </w:rPr>
        <w:t xml:space="preserve"> Melbourne</w:t>
      </w:r>
      <w:r>
        <w:rPr>
          <w:rFonts w:cs="Open Sans"/>
        </w:rPr>
        <w:t>,</w:t>
      </w:r>
      <w:r w:rsidRPr="00A45753">
        <w:rPr>
          <w:rFonts w:cs="Open Sans"/>
        </w:rPr>
        <w:t xml:space="preserve"> described the sorts of cases considered </w:t>
      </w:r>
      <w:r>
        <w:rPr>
          <w:rFonts w:cs="Open Sans"/>
        </w:rPr>
        <w:t xml:space="preserve">as </w:t>
      </w:r>
      <w:r w:rsidRPr="00A45753">
        <w:rPr>
          <w:rFonts w:cs="Open Sans"/>
        </w:rPr>
        <w:t>complex, and thus requiring multidisciplinary review. These included circumstances where there may be a management issue, differences of opinion, and lack of clear evidence over the benefits of one option over another.</w:t>
      </w:r>
      <w:r w:rsidRPr="0117CC5D">
        <w:rPr>
          <w:rStyle w:val="EndnoteReference"/>
          <w:rFonts w:cs="Open Sans"/>
        </w:rPr>
        <w:endnoteReference w:id="405"/>
      </w:r>
      <w:r w:rsidRPr="00A45753">
        <w:rPr>
          <w:rFonts w:cs="Open Sans"/>
        </w:rPr>
        <w:t xml:space="preserve"> At such meetings they always have a clinical ethicist attend to tease out the ethical considerations. If there is no unanimous agreement, they then take the issue to a clinical ethics meeting. This consists of clinicians, ethicists and lay people, although not necessarily any person born with variations in sex characteristics. </w:t>
      </w:r>
    </w:p>
    <w:p w:rsidRPr="00A45753" w:rsidR="00810FD7" w:rsidP="00810FD7" w:rsidRDefault="00810FD7" w14:paraId="242188A0" w14:textId="77777777">
      <w:pPr>
        <w:pStyle w:val="Heading4"/>
      </w:pPr>
      <w:r>
        <w:t>Summary</w:t>
      </w:r>
    </w:p>
    <w:p w:rsidRPr="00A45753" w:rsidR="00810FD7" w:rsidP="00810FD7" w:rsidRDefault="00810FD7" w14:paraId="35831F58" w14:textId="77777777">
      <w:pPr>
        <w:pStyle w:val="ListParagraph"/>
        <w:ind w:left="0"/>
        <w:rPr>
          <w:rFonts w:cs="Open Sans"/>
        </w:rPr>
      </w:pPr>
      <w:r w:rsidRPr="00A45753">
        <w:rPr>
          <w:rFonts w:cs="Open Sans"/>
        </w:rPr>
        <w:t xml:space="preserve">Clinical stakeholders </w:t>
      </w:r>
      <w:r>
        <w:rPr>
          <w:rFonts w:cs="Open Sans"/>
        </w:rPr>
        <w:t>stated</w:t>
      </w:r>
      <w:r w:rsidRPr="00A45753">
        <w:rPr>
          <w:rFonts w:cs="Open Sans"/>
        </w:rPr>
        <w:t xml:space="preserve"> that the MDT system </w:t>
      </w:r>
      <w:r>
        <w:rPr>
          <w:rFonts w:cs="Open Sans"/>
        </w:rPr>
        <w:t xml:space="preserve">improves treatment decision making </w:t>
      </w:r>
      <w:r w:rsidRPr="00A45753">
        <w:rPr>
          <w:rFonts w:cs="Open Sans"/>
        </w:rPr>
        <w:t xml:space="preserve">because it </w:t>
      </w:r>
      <w:r>
        <w:rPr>
          <w:rFonts w:cs="Open Sans"/>
        </w:rPr>
        <w:t xml:space="preserve">brings </w:t>
      </w:r>
      <w:r w:rsidRPr="177D145B">
        <w:rPr>
          <w:rFonts w:cs="Open Sans"/>
        </w:rPr>
        <w:t>together</w:t>
      </w:r>
      <w:r w:rsidRPr="00A45753">
        <w:rPr>
          <w:rFonts w:cs="Open Sans"/>
        </w:rPr>
        <w:t xml:space="preserve"> extensive medical expertise from a range of relevant specialities. This is qualified by the recognition that access to such care is not universally available. </w:t>
      </w:r>
    </w:p>
    <w:p w:rsidRPr="00A45753" w:rsidR="00810FD7" w:rsidP="00810FD7" w:rsidRDefault="00810FD7" w14:paraId="025635CF" w14:textId="77777777">
      <w:pPr>
        <w:pStyle w:val="ListParagraph"/>
        <w:ind w:left="0"/>
        <w:rPr>
          <w:rFonts w:cs="Open Sans"/>
        </w:rPr>
      </w:pPr>
      <w:r w:rsidRPr="00A45753">
        <w:rPr>
          <w:rFonts w:cs="Open Sans"/>
        </w:rPr>
        <w:t xml:space="preserve">The Commission recognises the benefits of this current model, where multiple areas of expertise inform care for individuals born with variations in sex characteristics. </w:t>
      </w:r>
    </w:p>
    <w:p w:rsidRPr="00A45753" w:rsidR="00810FD7" w:rsidP="00810FD7" w:rsidRDefault="00810FD7" w14:paraId="405AFA93" w14:textId="77777777">
      <w:pPr>
        <w:pStyle w:val="ListParagraph"/>
        <w:ind w:left="0"/>
        <w:rPr>
          <w:rFonts w:cs="Open Sans"/>
        </w:rPr>
      </w:pPr>
      <w:r w:rsidRPr="00A45753">
        <w:rPr>
          <w:rFonts w:cs="Open Sans"/>
        </w:rPr>
        <w:lastRenderedPageBreak/>
        <w:t xml:space="preserve">However, </w:t>
      </w:r>
      <w:r>
        <w:rPr>
          <w:rFonts w:cs="Open Sans"/>
        </w:rPr>
        <w:t>the Commission’s</w:t>
      </w:r>
      <w:r w:rsidRPr="00A45753">
        <w:rPr>
          <w:rFonts w:cs="Open Sans"/>
        </w:rPr>
        <w:t xml:space="preserve"> consultations indicate some </w:t>
      </w:r>
      <w:r>
        <w:rPr>
          <w:rFonts w:cs="Open Sans"/>
        </w:rPr>
        <w:t xml:space="preserve">concerns </w:t>
      </w:r>
      <w:r w:rsidRPr="00A45753">
        <w:rPr>
          <w:rFonts w:cs="Open Sans"/>
        </w:rPr>
        <w:t>with the current structure of MDTs, and the delivery of care to people born with variations in sex characteristics more generally. These are discussed below.</w:t>
      </w:r>
    </w:p>
    <w:p w:rsidRPr="00A45753" w:rsidR="00810FD7" w:rsidP="00810FD7" w:rsidRDefault="00810FD7" w14:paraId="7D4BB1F7" w14:textId="77777777">
      <w:pPr>
        <w:pStyle w:val="Heading3"/>
      </w:pPr>
      <w:bookmarkStart w:name="_Toc79700362" w:id="325"/>
      <w:bookmarkStart w:name="_Toc85541442" w:id="326"/>
      <w:r>
        <w:t>Problems with MDT management and care</w:t>
      </w:r>
      <w:bookmarkEnd w:id="325"/>
      <w:bookmarkEnd w:id="326"/>
    </w:p>
    <w:p w:rsidRPr="00A45753" w:rsidR="00810FD7" w:rsidP="00810FD7" w:rsidRDefault="00810FD7" w14:paraId="5BF75C65" w14:textId="77777777">
      <w:pPr>
        <w:rPr>
          <w:rFonts w:cs="Open Sans"/>
        </w:rPr>
      </w:pPr>
      <w:r w:rsidRPr="00A45753">
        <w:rPr>
          <w:rFonts w:cs="Open Sans"/>
        </w:rPr>
        <w:t xml:space="preserve">Stakeholders identified problems with current clinical management and care in relation to MDTs. These included issues relating to the composition, availability and funding of MDTs </w:t>
      </w:r>
      <w:r w:rsidRPr="00A45753">
        <w:t>and, in particular, the relative lack of mental health professionals and care coordinators. There were also suggestions that people with lived experience of variations in sex characteristics should be included in MDTs.</w:t>
      </w:r>
    </w:p>
    <w:p w:rsidRPr="00A45753" w:rsidR="00810FD7" w:rsidP="00810FD7" w:rsidRDefault="00810FD7" w14:paraId="3BA07EB6" w14:textId="3EDCAA35">
      <w:pPr>
        <w:autoSpaceDE w:val="0"/>
        <w:autoSpaceDN w:val="0"/>
        <w:adjustRightInd w:val="0"/>
        <w:spacing w:after="0"/>
        <w:rPr>
          <w:rFonts w:cs="Open Sans"/>
        </w:rPr>
      </w:pPr>
      <w:r w:rsidRPr="00A45753">
        <w:rPr>
          <w:rFonts w:cs="Open Sans"/>
        </w:rPr>
        <w:t xml:space="preserve">A range of stakeholders agreed that mental health services to support individuals born with variations in sex characteristics and their families are inadequate. The WA Children’s Hospital MDT identified </w:t>
      </w:r>
      <w:r>
        <w:t>a</w:t>
      </w:r>
    </w:p>
    <w:p w:rsidRPr="00A45753" w:rsidR="00810FD7" w:rsidP="00810FD7" w:rsidRDefault="00810FD7" w14:paraId="1729D4CD" w14:textId="77777777">
      <w:pPr>
        <w:autoSpaceDE w:val="0"/>
        <w:autoSpaceDN w:val="0"/>
        <w:adjustRightInd w:val="0"/>
        <w:spacing w:after="0"/>
        <w:ind w:left="720"/>
        <w:rPr>
          <w:rFonts w:cs="Open Sans"/>
        </w:rPr>
      </w:pPr>
      <w:r w:rsidRPr="00A45753">
        <w:rPr>
          <w:rFonts w:cs="Open Sans"/>
          <w:sz w:val="22"/>
          <w:szCs w:val="22"/>
        </w:rPr>
        <w:t>need for following an individual’s course, analysing emerging gender identity, supporting a family through very challenging situations at school and in the community and gradually educating a child and young person about their condition, thereby ensuring ongoing informed consent, [this] is time-consuming and cannot be over-emphasized and currently is not being met</w:t>
      </w:r>
      <w:r w:rsidRPr="00A45753">
        <w:rPr>
          <w:rFonts w:cs="Open Sans"/>
        </w:rPr>
        <w:t xml:space="preserve">. </w:t>
      </w:r>
      <w:r w:rsidRPr="00A45753">
        <w:rPr>
          <w:rFonts w:cs="Open Sans"/>
          <w:sz w:val="22"/>
          <w:szCs w:val="22"/>
        </w:rPr>
        <w:t>This would need dedicated funding for a psychologist with interest and skills in this field as well as funded time for medical interviews, usually much longer than the normal appointments, as well as time for meetings of the wider DSD team. The need for psychological and social worker would be as great, or perhaps more important, if surgery was delayed to age of consent.</w:t>
      </w:r>
      <w:r w:rsidRPr="0117CC5D">
        <w:rPr>
          <w:rStyle w:val="EndnoteReference"/>
          <w:rFonts w:cs="Open Sans"/>
        </w:rPr>
        <w:endnoteReference w:id="406"/>
      </w:r>
    </w:p>
    <w:p w:rsidRPr="00A45753" w:rsidR="00810FD7" w:rsidP="00810FD7" w:rsidRDefault="00810FD7" w14:paraId="3AD5774B" w14:textId="77777777">
      <w:r w:rsidRPr="00A45753">
        <w:t xml:space="preserve">Some clinical </w:t>
      </w:r>
      <w:r>
        <w:t>stakeholders</w:t>
      </w:r>
      <w:r w:rsidRPr="00A45753">
        <w:t xml:space="preserve"> identified the lack of care coordinators as detrimental to the provision of clinical care. APEG called for adequate funding for MDTs, specifically for ’psychological support and a dedicated MDT liaison/care coordinator’.</w:t>
      </w:r>
      <w:r w:rsidRPr="0117CC5D">
        <w:rPr>
          <w:rStyle w:val="EndnoteReference"/>
        </w:rPr>
        <w:endnoteReference w:id="407"/>
      </w:r>
    </w:p>
    <w:p w:rsidRPr="00A45753" w:rsidR="00810FD7" w:rsidP="00810FD7" w:rsidRDefault="00810FD7" w14:paraId="2A4E4247" w14:textId="77777777">
      <w:r w:rsidRPr="00A45753">
        <w:t xml:space="preserve">A clinician at the Perth medical roundtable stated that having a dedicated care coordinator to run a dedicated DSD clinic would be very beneficial. </w:t>
      </w:r>
    </w:p>
    <w:p w:rsidRPr="00A45753" w:rsidR="00810FD7" w:rsidP="00810FD7" w:rsidRDefault="00810FD7" w14:paraId="175162F4" w14:textId="77777777">
      <w:r w:rsidRPr="00A45753">
        <w:t>Some stakeholders proposed that people with lived experience should be included in MDTs. One clinician from a major tertiary hospital stated that the perspectives of people with lived experience of the specific variation being examined by MDTs would enhance their deliberations.</w:t>
      </w:r>
      <w:r w:rsidRPr="0117CC5D">
        <w:rPr>
          <w:rStyle w:val="EndnoteReference"/>
        </w:rPr>
        <w:endnoteReference w:id="408"/>
      </w:r>
      <w:r w:rsidRPr="00A45753">
        <w:t xml:space="preserve">  </w:t>
      </w:r>
    </w:p>
    <w:p w:rsidRPr="00A45753" w:rsidR="00810FD7" w:rsidDel="00A96868" w:rsidP="00810FD7" w:rsidRDefault="00810FD7" w14:paraId="284DF738" w14:textId="77777777">
      <w:pPr>
        <w:rPr>
          <w:rFonts w:eastAsia="Open Sans" w:cs="Open Sans"/>
          <w:vertAlign w:val="superscript"/>
        </w:rPr>
      </w:pPr>
      <w:r w:rsidRPr="00A45753">
        <w:lastRenderedPageBreak/>
        <w:t>Intersex advocacy and support groups also called for their inclusion in MDTs. One stated that they ‘have been calling for greater access to psychological services and the integration of peer support within multidisciplinary clinical teams for 15 years’</w:t>
      </w:r>
      <w:r w:rsidRPr="00A45753">
        <w:rPr>
          <w:sz w:val="22"/>
          <w:szCs w:val="22"/>
        </w:rPr>
        <w:t>.</w:t>
      </w:r>
      <w:r w:rsidRPr="0117CC5D">
        <w:rPr>
          <w:rStyle w:val="EndnoteReference"/>
        </w:rPr>
        <w:endnoteReference w:id="409"/>
      </w:r>
    </w:p>
    <w:p w:rsidRPr="00A45753" w:rsidR="00810FD7" w:rsidP="00810FD7" w:rsidRDefault="00810FD7" w14:paraId="5211EB3F" w14:textId="77777777">
      <w:pPr>
        <w:rPr>
          <w:rStyle w:val="EndnoteReference"/>
          <w:rFonts w:cs="Open Sans"/>
        </w:rPr>
      </w:pPr>
      <w:r w:rsidRPr="00A45753">
        <w:rPr>
          <w:rFonts w:cs="Open Sans"/>
        </w:rPr>
        <w:t>As discussed above,</w:t>
      </w:r>
      <w:r w:rsidRPr="00A45753">
        <w:rPr>
          <w:rFonts w:cs="Open Sans"/>
          <w:i/>
          <w:iCs/>
        </w:rPr>
        <w:t xml:space="preserve"> </w:t>
      </w:r>
      <w:r w:rsidRPr="00A45753">
        <w:rPr>
          <w:rFonts w:cs="Open Sans"/>
        </w:rPr>
        <w:t xml:space="preserve">there is a great variability in </w:t>
      </w:r>
      <w:r>
        <w:rPr>
          <w:rFonts w:cs="Open Sans"/>
        </w:rPr>
        <w:t>the management of</w:t>
      </w:r>
      <w:r w:rsidRPr="00A45753">
        <w:rPr>
          <w:rFonts w:cs="Open Sans"/>
        </w:rPr>
        <w:t xml:space="preserve"> multidisciplinary team</w:t>
      </w:r>
      <w:r>
        <w:rPr>
          <w:rFonts w:cs="Open Sans"/>
        </w:rPr>
        <w:t>s</w:t>
      </w:r>
      <w:r w:rsidRPr="00A45753">
        <w:rPr>
          <w:rFonts w:cs="Open Sans"/>
        </w:rPr>
        <w:t>. One MDT member called for ’the development of a properly funded and formally constituted national DSD MDT which would allow for external consultation from all paediatric care providers in Australia’.</w:t>
      </w:r>
      <w:r w:rsidRPr="0117CC5D">
        <w:rPr>
          <w:rStyle w:val="EndnoteReference"/>
          <w:rFonts w:cs="Open Sans"/>
        </w:rPr>
        <w:endnoteReference w:id="410"/>
      </w:r>
    </w:p>
    <w:p w:rsidRPr="00A45753" w:rsidR="00810FD7" w:rsidP="00810FD7" w:rsidRDefault="00810FD7" w14:paraId="147AA9CE" w14:textId="77777777">
      <w:pPr>
        <w:rPr>
          <w:sz w:val="22"/>
          <w:szCs w:val="22"/>
        </w:rPr>
      </w:pPr>
      <w:r w:rsidRPr="00A45753">
        <w:rPr>
          <w:rFonts w:cs="Open Sans"/>
        </w:rPr>
        <w:t>Another MDT member acknowledged the challenge in identifying all individuals with variations in sex characteristics and providing universal and equitable access to appropriate multidisciplinary care. They stated:</w:t>
      </w:r>
    </w:p>
    <w:p w:rsidRPr="00A45753" w:rsidR="00810FD7" w:rsidP="00810FD7" w:rsidRDefault="00810FD7" w14:paraId="40D0F61D" w14:textId="77777777">
      <w:pPr>
        <w:ind w:left="720"/>
        <w:rPr>
          <w:sz w:val="22"/>
          <w:szCs w:val="22"/>
        </w:rPr>
      </w:pPr>
      <w:r w:rsidRPr="00A45753">
        <w:rPr>
          <w:sz w:val="22"/>
          <w:szCs w:val="22"/>
        </w:rPr>
        <w:t>We strongly recommend and call for the injection of funds to adequately resource these multidisciplinary services Australia-wide and for the education of clinicians in regional and remote areas outside of major centres in the access to and availability of these resources.</w:t>
      </w:r>
      <w:r w:rsidRPr="00A45753">
        <w:rPr>
          <w:rStyle w:val="EndnoteReference"/>
          <w:sz w:val="22"/>
          <w:szCs w:val="22"/>
        </w:rPr>
        <w:endnoteReference w:id="411"/>
      </w:r>
      <w:r w:rsidRPr="00A45753">
        <w:rPr>
          <w:rFonts w:cs="Open Sans"/>
        </w:rPr>
        <w:t xml:space="preserve"> </w:t>
      </w:r>
    </w:p>
    <w:p w:rsidRPr="00A45753" w:rsidR="00810FD7" w:rsidP="00810FD7" w:rsidRDefault="00810FD7" w14:paraId="2B7E8BCE" w14:textId="77777777">
      <w:pPr>
        <w:autoSpaceDE w:val="0"/>
        <w:autoSpaceDN w:val="0"/>
        <w:adjustRightInd w:val="0"/>
        <w:spacing w:after="0"/>
        <w:rPr>
          <w:rFonts w:cs="Open Sans"/>
        </w:rPr>
      </w:pPr>
      <w:r w:rsidRPr="00A45753">
        <w:rPr>
          <w:rFonts w:cs="Open Sans"/>
        </w:rPr>
        <w:t>Clinicians said that the initiation and conduct of existing MDTs is only possible because clinicians are willing to meet out of hours, in their own time. There is no funding allocation to support the use of a team-based approach.</w:t>
      </w:r>
      <w:r w:rsidRPr="0117CC5D">
        <w:rPr>
          <w:rStyle w:val="EndnoteReference"/>
          <w:rFonts w:cs="Open Sans"/>
        </w:rPr>
        <w:endnoteReference w:id="412"/>
      </w:r>
      <w:r w:rsidRPr="00A45753">
        <w:rPr>
          <w:rFonts w:cs="Open Sans"/>
        </w:rPr>
        <w:t xml:space="preserve"> </w:t>
      </w:r>
    </w:p>
    <w:p w:rsidRPr="00A45753" w:rsidR="00810FD7" w:rsidP="00810FD7" w:rsidRDefault="00810FD7" w14:paraId="30C62C70" w14:textId="77777777">
      <w:pPr>
        <w:pStyle w:val="Heading3"/>
      </w:pPr>
      <w:bookmarkStart w:name="_Toc79700363" w:id="327"/>
      <w:bookmarkStart w:name="_Toc85541443" w:id="328"/>
      <w:r>
        <w:t>Other problems with management and care</w:t>
      </w:r>
      <w:bookmarkEnd w:id="327"/>
      <w:bookmarkEnd w:id="328"/>
    </w:p>
    <w:p w:rsidRPr="00A45753" w:rsidR="00810FD7" w:rsidP="00810FD7" w:rsidRDefault="00810FD7" w14:paraId="3DA38CEB" w14:textId="77777777">
      <w:pPr>
        <w:autoSpaceDE w:val="0"/>
        <w:autoSpaceDN w:val="0"/>
        <w:adjustRightInd w:val="0"/>
        <w:spacing w:after="0"/>
        <w:rPr>
          <w:rFonts w:cs="Open Sans"/>
        </w:rPr>
      </w:pPr>
      <w:r w:rsidRPr="00A45753">
        <w:rPr>
          <w:rFonts w:cs="Open Sans"/>
        </w:rPr>
        <w:t xml:space="preserve">Stakeholders identified other problems with current clinical management and care relating to care outside of the MDT framework. These included inconsistent clinical practice, </w:t>
      </w:r>
      <w:r w:rsidRPr="00A45753">
        <w:t>lack of access to mental health services,</w:t>
      </w:r>
      <w:r w:rsidRPr="00A45753">
        <w:rPr>
          <w:rFonts w:cs="Open Sans"/>
        </w:rPr>
        <w:t xml:space="preserve"> and lack of referral and continuity of care.</w:t>
      </w:r>
    </w:p>
    <w:p w:rsidRPr="00A45753" w:rsidR="00810FD7" w:rsidP="00810FD7" w:rsidRDefault="00810FD7" w14:paraId="4661F11B" w14:textId="77777777">
      <w:pPr>
        <w:pStyle w:val="Heading4"/>
      </w:pPr>
      <w:r>
        <w:t xml:space="preserve">Inconsistent clinical practice </w:t>
      </w:r>
    </w:p>
    <w:p w:rsidRPr="00A45753" w:rsidR="00810FD7" w:rsidP="00810FD7" w:rsidRDefault="00810FD7" w14:paraId="366B7B91" w14:textId="77777777">
      <w:pPr>
        <w:rPr>
          <w:rFonts w:cs="Open Sans"/>
        </w:rPr>
      </w:pPr>
      <w:r w:rsidRPr="00A45753">
        <w:rPr>
          <w:rFonts w:cs="Open Sans"/>
        </w:rPr>
        <w:t>Some people born with variations in sex characteristics stated that they were aware of individuals who had inconsistent treatment recommendations, despite having the same variation.</w:t>
      </w:r>
      <w:r w:rsidRPr="0117CC5D">
        <w:rPr>
          <w:rStyle w:val="EndnoteReference"/>
          <w:rFonts w:cs="Open Sans"/>
        </w:rPr>
        <w:endnoteReference w:id="413"/>
      </w:r>
      <w:r w:rsidRPr="00A45753">
        <w:rPr>
          <w:rFonts w:cs="Open Sans"/>
        </w:rPr>
        <w:t xml:space="preserve"> In one instance, it was claimed that the same </w:t>
      </w:r>
      <w:r w:rsidRPr="00A45753">
        <w:rPr>
          <w:rFonts w:cs="Open Sans"/>
        </w:rPr>
        <w:lastRenderedPageBreak/>
        <w:t>treating clinician recommended surgical intervention for one individual, but not another</w:t>
      </w:r>
      <w:r>
        <w:rPr>
          <w:rFonts w:cs="Open Sans"/>
        </w:rPr>
        <w:t>,</w:t>
      </w:r>
      <w:r w:rsidRPr="00A45753">
        <w:rPr>
          <w:rFonts w:cs="Open Sans"/>
        </w:rPr>
        <w:t xml:space="preserve"> despite similar clinical presentations.</w:t>
      </w:r>
      <w:r w:rsidRPr="0117CC5D">
        <w:rPr>
          <w:rStyle w:val="EndnoteReference"/>
          <w:rFonts w:cs="Open Sans"/>
        </w:rPr>
        <w:endnoteReference w:id="414"/>
      </w:r>
    </w:p>
    <w:p w:rsidRPr="00A45753" w:rsidR="00810FD7" w:rsidP="00810FD7" w:rsidRDefault="00810FD7" w14:paraId="54702C96" w14:textId="77777777">
      <w:pPr>
        <w:rPr>
          <w:rFonts w:cs="Open Sans"/>
        </w:rPr>
      </w:pPr>
      <w:r w:rsidRPr="00A45753">
        <w:rPr>
          <w:rFonts w:cs="Open Sans"/>
        </w:rPr>
        <w:t>Another person born with a variation in sex characteristics expressed the view that people experienced sub-standard treatment due to variable skills or particular institutional practices and ethos.</w:t>
      </w:r>
      <w:r w:rsidRPr="0117CC5D">
        <w:rPr>
          <w:rStyle w:val="EndnoteReference"/>
          <w:rFonts w:cs="Open Sans"/>
        </w:rPr>
        <w:endnoteReference w:id="415"/>
      </w:r>
      <w:r w:rsidRPr="00A45753">
        <w:rPr>
          <w:rFonts w:cs="Open Sans"/>
        </w:rPr>
        <w:t xml:space="preserve"> An MDT also said that different institutions have biases for or against some of the most contentious treatments.</w:t>
      </w:r>
      <w:r w:rsidRPr="0117CC5D">
        <w:rPr>
          <w:rStyle w:val="EndnoteReference"/>
          <w:rFonts w:cs="Open Sans"/>
        </w:rPr>
        <w:endnoteReference w:id="416"/>
      </w:r>
      <w:r w:rsidRPr="00A45753">
        <w:rPr>
          <w:rFonts w:cs="Open Sans"/>
        </w:rPr>
        <w:t xml:space="preserve"> </w:t>
      </w:r>
    </w:p>
    <w:p w:rsidRPr="00A45753" w:rsidR="00810FD7" w:rsidP="00810FD7" w:rsidRDefault="00810FD7" w14:paraId="6E6B5832" w14:textId="77777777">
      <w:pPr>
        <w:rPr>
          <w:rFonts w:cs="Open Sans"/>
        </w:rPr>
      </w:pPr>
      <w:r w:rsidRPr="00A45753">
        <w:rPr>
          <w:rFonts w:cs="Open Sans"/>
        </w:rPr>
        <w:t>The Senate Community Affairs References Committee (Senate Committee) report on the involuntary or coerced sterilisation of intersex people in Australia also made observations about variability in clinical approaches.</w:t>
      </w:r>
      <w:r w:rsidRPr="0117CC5D">
        <w:rPr>
          <w:rStyle w:val="EndnoteReference"/>
          <w:rFonts w:cs="Open Sans"/>
        </w:rPr>
        <w:endnoteReference w:id="417"/>
      </w:r>
      <w:r w:rsidRPr="00CC1ED2">
        <w:rPr>
          <w:rFonts w:cs="Open Sans"/>
          <w:sz w:val="20"/>
          <w:szCs w:val="20"/>
        </w:rPr>
        <w:t xml:space="preserve"> </w:t>
      </w:r>
    </w:p>
    <w:p w:rsidRPr="00A45753" w:rsidR="00810FD7" w:rsidP="00810FD7" w:rsidRDefault="00810FD7" w14:paraId="15B1CF36" w14:textId="658970BA">
      <w:pPr>
        <w:rPr>
          <w:rFonts w:cs="Open Sans"/>
        </w:rPr>
      </w:pPr>
      <w:r>
        <w:rPr>
          <w:rFonts w:cs="Open Sans"/>
        </w:rPr>
        <w:t>The Senate Committee</w:t>
      </w:r>
      <w:r w:rsidRPr="00A45753">
        <w:rPr>
          <w:rFonts w:cs="Open Sans"/>
        </w:rPr>
        <w:t xml:space="preserve"> referred to a study undertaken by Jaqueline Hewitt for APEG. The survey asked a question about when surgery should be conducted on females with </w:t>
      </w:r>
      <w:r>
        <w:rPr>
          <w:rFonts w:cs="Open Sans"/>
        </w:rPr>
        <w:t>c</w:t>
      </w:r>
      <w:r w:rsidRPr="00A45753">
        <w:rPr>
          <w:rFonts w:cs="Open Sans"/>
        </w:rPr>
        <w:t xml:space="preserve">ongenital </w:t>
      </w:r>
      <w:r>
        <w:rPr>
          <w:rFonts w:cs="Open Sans"/>
        </w:rPr>
        <w:t>a</w:t>
      </w:r>
      <w:r w:rsidRPr="00A45753">
        <w:rPr>
          <w:rFonts w:cs="Open Sans"/>
        </w:rPr>
        <w:t xml:space="preserve">drenal </w:t>
      </w:r>
      <w:r>
        <w:rPr>
          <w:rFonts w:cs="Open Sans"/>
        </w:rPr>
        <w:t>h</w:t>
      </w:r>
      <w:r w:rsidRPr="00A45753">
        <w:rPr>
          <w:rFonts w:cs="Open Sans"/>
        </w:rPr>
        <w:t>yperplasia who show different degrees of virilisation of their genitals, based on the Prader Scale.</w:t>
      </w:r>
      <w:r w:rsidRPr="0117CC5D">
        <w:rPr>
          <w:rStyle w:val="EndnoteReference"/>
          <w:rFonts w:cs="Open Sans"/>
        </w:rPr>
        <w:endnoteReference w:id="418"/>
      </w:r>
      <w:r w:rsidRPr="00A45753">
        <w:rPr>
          <w:rFonts w:cs="Open Sans"/>
        </w:rPr>
        <w:t xml:space="preserve"> It demonstrated a great diversity of opinions among doctors about when intervention would be considered appropriate, and some extreme geographical variation in medical practice. For instance</w:t>
      </w:r>
      <w:r w:rsidR="00842F72">
        <w:rPr>
          <w:rFonts w:cs="Open Sans"/>
        </w:rPr>
        <w:t xml:space="preserve"> </w:t>
      </w:r>
    </w:p>
    <w:p w:rsidRPr="00A45753" w:rsidR="00810FD7" w:rsidP="00810FD7" w:rsidRDefault="00810FD7" w14:paraId="6166FA6B" w14:textId="77777777">
      <w:pPr>
        <w:ind w:left="720"/>
        <w:rPr>
          <w:rFonts w:cs="Open Sans"/>
          <w:sz w:val="22"/>
          <w:szCs w:val="22"/>
        </w:rPr>
      </w:pPr>
      <w:r w:rsidRPr="00A45753">
        <w:rPr>
          <w:rFonts w:cs="Open Sans"/>
          <w:sz w:val="22"/>
          <w:szCs w:val="22"/>
        </w:rPr>
        <w:t>those favouring surgery at less than 6 months were all from New Zealand, Queensland or outside the region, while those at the other extreme, recommending no infant surgery in any circumstances, were all from New South Wales.</w:t>
      </w:r>
      <w:r w:rsidRPr="0117CC5D">
        <w:rPr>
          <w:rStyle w:val="EndnoteReference"/>
          <w:rFonts w:cs="Open Sans"/>
        </w:rPr>
        <w:endnoteReference w:id="419"/>
      </w:r>
    </w:p>
    <w:p w:rsidRPr="00A45753" w:rsidR="00810FD7" w:rsidP="00810FD7" w:rsidRDefault="00810FD7" w14:paraId="46A1D6BA" w14:textId="4D417A0E">
      <w:pPr>
        <w:rPr>
          <w:i/>
        </w:rPr>
      </w:pPr>
      <w:r w:rsidRPr="00A45753">
        <w:rPr>
          <w:rFonts w:cs="Open Sans"/>
        </w:rPr>
        <w:t>Evidence in the Senate Committee Report support</w:t>
      </w:r>
      <w:r>
        <w:rPr>
          <w:rFonts w:cs="Open Sans"/>
        </w:rPr>
        <w:t>ed</w:t>
      </w:r>
      <w:r w:rsidRPr="00A45753">
        <w:rPr>
          <w:rFonts w:cs="Open Sans"/>
        </w:rPr>
        <w:t xml:space="preserve"> the view that there are variable treatment standards, depending on </w:t>
      </w:r>
      <w:r>
        <w:rPr>
          <w:rFonts w:cs="Open Sans"/>
        </w:rPr>
        <w:t xml:space="preserve">different </w:t>
      </w:r>
      <w:r w:rsidRPr="00A45753">
        <w:rPr>
          <w:rFonts w:cs="Open Sans"/>
        </w:rPr>
        <w:t>individual and institutional approach</w:t>
      </w:r>
      <w:r>
        <w:rPr>
          <w:rFonts w:cs="Open Sans"/>
        </w:rPr>
        <w:t>es</w:t>
      </w:r>
      <w:r w:rsidRPr="00A45753">
        <w:rPr>
          <w:rFonts w:cs="Open Sans"/>
        </w:rPr>
        <w:t xml:space="preserve">. </w:t>
      </w:r>
      <w:r w:rsidRPr="00A45753">
        <w:t>To prevent further medically unnecessary interventions,</w:t>
      </w:r>
      <w:r w:rsidR="00890180">
        <w:t xml:space="preserve"> the Commission considers that</w:t>
      </w:r>
      <w:r w:rsidRPr="00A45753">
        <w:t xml:space="preserve"> the existing </w:t>
      </w:r>
      <w:r>
        <w:t xml:space="preserve">clinical practice </w:t>
      </w:r>
      <w:r w:rsidRPr="00A45753">
        <w:t xml:space="preserve">framework needs </w:t>
      </w:r>
      <w:r>
        <w:t>reform</w:t>
      </w:r>
      <w:r w:rsidRPr="00A45753">
        <w:t xml:space="preserve">. </w:t>
      </w:r>
    </w:p>
    <w:p w:rsidRPr="00A45753" w:rsidR="00810FD7" w:rsidP="00810FD7" w:rsidRDefault="00810FD7" w14:paraId="49B78113" w14:textId="77777777">
      <w:pPr>
        <w:pStyle w:val="Heading4"/>
      </w:pPr>
      <w:r>
        <w:t>Access to mental health services</w:t>
      </w:r>
    </w:p>
    <w:p w:rsidRPr="00A45753" w:rsidR="00810FD7" w:rsidP="00810FD7" w:rsidRDefault="00810FD7" w14:paraId="1FDF9823" w14:textId="77777777">
      <w:pPr>
        <w:autoSpaceDE w:val="0"/>
        <w:autoSpaceDN w:val="0"/>
        <w:adjustRightInd w:val="0"/>
        <w:spacing w:after="0"/>
        <w:rPr>
          <w:rFonts w:cs="Open Sans"/>
        </w:rPr>
      </w:pPr>
      <w:r>
        <w:rPr>
          <w:rFonts w:cs="Open Sans"/>
        </w:rPr>
        <w:t>Many s</w:t>
      </w:r>
      <w:r w:rsidRPr="00A45753">
        <w:rPr>
          <w:rFonts w:cs="Open Sans"/>
        </w:rPr>
        <w:t xml:space="preserve">takeholders pointed to a </w:t>
      </w:r>
      <w:r>
        <w:rPr>
          <w:rFonts w:cs="Open Sans"/>
        </w:rPr>
        <w:t xml:space="preserve">lack of </w:t>
      </w:r>
      <w:r w:rsidRPr="00A45753">
        <w:rPr>
          <w:rFonts w:cs="Open Sans"/>
        </w:rPr>
        <w:t>counselling and psycho-social support.</w:t>
      </w:r>
      <w:r w:rsidRPr="0117CC5D">
        <w:rPr>
          <w:rStyle w:val="EndnoteReference"/>
          <w:rFonts w:cs="Open Sans"/>
        </w:rPr>
        <w:endnoteReference w:id="420"/>
      </w:r>
      <w:r w:rsidRPr="00A45753">
        <w:rPr>
          <w:rFonts w:cs="Open Sans"/>
        </w:rPr>
        <w:t xml:space="preserve"> Clinicians at the Perth medical roundtable </w:t>
      </w:r>
      <w:r>
        <w:rPr>
          <w:rFonts w:cs="Open Sans"/>
        </w:rPr>
        <w:t xml:space="preserve">said there is an </w:t>
      </w:r>
      <w:r w:rsidRPr="00A45753">
        <w:rPr>
          <w:rFonts w:cs="Open Sans"/>
        </w:rPr>
        <w:t>‘acute intervention service</w:t>
      </w:r>
      <w:r>
        <w:rPr>
          <w:rFonts w:cs="Open Sans"/>
        </w:rPr>
        <w:t>,</w:t>
      </w:r>
      <w:r w:rsidRPr="00A45753">
        <w:rPr>
          <w:rFonts w:cs="Open Sans"/>
        </w:rPr>
        <w:t xml:space="preserve"> but long term follow up, we don’t have psychological help’.</w:t>
      </w:r>
      <w:r w:rsidRPr="00A45753">
        <w:rPr>
          <w:rStyle w:val="EndnoteReference"/>
          <w:rFonts w:cs="Open Sans"/>
        </w:rPr>
        <w:endnoteReference w:id="421"/>
      </w:r>
      <w:r w:rsidRPr="00A45753">
        <w:rPr>
          <w:rFonts w:cs="Open Sans"/>
        </w:rPr>
        <w:t xml:space="preserve"> Another clinical specialist </w:t>
      </w:r>
      <w:r>
        <w:rPr>
          <w:rFonts w:cs="Open Sans"/>
        </w:rPr>
        <w:t xml:space="preserve">at this roundtable </w:t>
      </w:r>
      <w:r w:rsidRPr="00A45753">
        <w:rPr>
          <w:rFonts w:cs="Open Sans"/>
        </w:rPr>
        <w:t>said that it would be beneficial to have more psychological capacity</w:t>
      </w:r>
      <w:r>
        <w:rPr>
          <w:rFonts w:cs="Open Sans"/>
        </w:rPr>
        <w:t xml:space="preserve"> –</w:t>
      </w:r>
    </w:p>
    <w:p w:rsidRPr="00A45753" w:rsidR="00810FD7" w:rsidP="00810FD7" w:rsidRDefault="00810FD7" w14:paraId="5FDC2F36" w14:textId="77777777">
      <w:pPr>
        <w:autoSpaceDE w:val="0"/>
        <w:autoSpaceDN w:val="0"/>
        <w:adjustRightInd w:val="0"/>
        <w:spacing w:after="0"/>
        <w:ind w:left="720"/>
        <w:rPr>
          <w:rFonts w:cs="Open Sans"/>
          <w:sz w:val="22"/>
          <w:szCs w:val="22"/>
        </w:rPr>
      </w:pPr>
      <w:r w:rsidRPr="00A45753">
        <w:rPr>
          <w:rFonts w:cs="Open Sans"/>
          <w:sz w:val="22"/>
          <w:szCs w:val="22"/>
        </w:rPr>
        <w:lastRenderedPageBreak/>
        <w:t>to provide more ongoing support for young children and their families, and also as they exit the paediatric space which doesn’t have any public provision at the moment. There is no paid public service; cost is a significant factor for accessing psychological support in the private sector.</w:t>
      </w:r>
    </w:p>
    <w:p w:rsidRPr="00A45753" w:rsidR="00810FD7" w:rsidP="00810FD7" w:rsidRDefault="00810FD7" w14:paraId="1D0C02CF" w14:textId="77777777">
      <w:pPr>
        <w:autoSpaceDE w:val="0"/>
        <w:autoSpaceDN w:val="0"/>
        <w:adjustRightInd w:val="0"/>
        <w:spacing w:after="0"/>
        <w:rPr>
          <w:rFonts w:cs="Open Sans"/>
        </w:rPr>
      </w:pPr>
      <w:r w:rsidRPr="00A45753">
        <w:rPr>
          <w:rFonts w:cs="Open Sans"/>
        </w:rPr>
        <w:t>APEG concurred</w:t>
      </w:r>
      <w:r>
        <w:rPr>
          <w:rFonts w:cs="Open Sans"/>
        </w:rPr>
        <w:t>, and stated</w:t>
      </w:r>
      <w:r w:rsidRPr="00A45753">
        <w:rPr>
          <w:rFonts w:cs="Open Sans"/>
        </w:rPr>
        <w:t>:</w:t>
      </w:r>
    </w:p>
    <w:p w:rsidRPr="00A45753" w:rsidR="00810FD7" w:rsidP="00810FD7" w:rsidRDefault="00810FD7" w14:paraId="70D49105" w14:textId="77777777">
      <w:pPr>
        <w:autoSpaceDE w:val="0"/>
        <w:autoSpaceDN w:val="0"/>
        <w:adjustRightInd w:val="0"/>
        <w:spacing w:after="0"/>
        <w:ind w:left="720"/>
        <w:rPr>
          <w:rFonts w:cs="Open Sans"/>
          <w:sz w:val="22"/>
          <w:szCs w:val="22"/>
          <w:lang w:val="en-US"/>
        </w:rPr>
      </w:pPr>
      <w:r w:rsidRPr="00A45753">
        <w:rPr>
          <w:rFonts w:cs="Open Sans"/>
          <w:sz w:val="22"/>
          <w:szCs w:val="22"/>
          <w:lang w:val="en-US"/>
        </w:rPr>
        <w:t>Although clinical practice guidelines and advocacy groups universally recommend psychological support for children with variations of sex development and their families, this is not routinely offered at all tertiary paediatric centres due to a lack of dedicated resources.</w:t>
      </w:r>
      <w:r w:rsidRPr="0117CC5D">
        <w:rPr>
          <w:rStyle w:val="EndnoteReference"/>
          <w:rFonts w:cs="Open Sans"/>
          <w:lang w:val="en-US"/>
        </w:rPr>
        <w:endnoteReference w:id="422"/>
      </w:r>
    </w:p>
    <w:p w:rsidRPr="00A45753" w:rsidR="00810FD7" w:rsidP="00810FD7" w:rsidRDefault="00810FD7" w14:paraId="25CC5425" w14:textId="77777777">
      <w:pPr>
        <w:autoSpaceDE w:val="0"/>
        <w:autoSpaceDN w:val="0"/>
        <w:adjustRightInd w:val="0"/>
        <w:spacing w:after="0"/>
        <w:rPr>
          <w:rFonts w:cs="Open Sans"/>
        </w:rPr>
      </w:pPr>
      <w:r w:rsidRPr="00A45753">
        <w:rPr>
          <w:rFonts w:cs="Open Sans"/>
        </w:rPr>
        <w:t>A peer support and advocacy organisation for people born with variations in sex characteristics stated that the current medical frameworks ‘do not provide adequate psychosocial support services for our community’.</w:t>
      </w:r>
      <w:r w:rsidRPr="0117CC5D">
        <w:rPr>
          <w:rStyle w:val="EndnoteReference"/>
          <w:rFonts w:cs="Open Sans"/>
        </w:rPr>
        <w:endnoteReference w:id="423"/>
      </w:r>
      <w:r w:rsidRPr="00A45753">
        <w:rPr>
          <w:rFonts w:cs="Open Sans"/>
        </w:rPr>
        <w:t xml:space="preserve"> Similarly, a parent-support group submitted that ‘for those without the capacity, resources, finances or access to [these] allied professionals, individuals are not afforded the care they need and deserve’.</w:t>
      </w:r>
      <w:r w:rsidRPr="0117CC5D">
        <w:rPr>
          <w:rStyle w:val="EndnoteReference"/>
          <w:rFonts w:cs="Open Sans"/>
        </w:rPr>
        <w:endnoteReference w:id="424"/>
      </w:r>
      <w:r w:rsidRPr="00EC41B9">
        <w:rPr>
          <w:rFonts w:cs="Open Sans"/>
          <w:strike/>
          <w:sz w:val="20"/>
          <w:szCs w:val="20"/>
        </w:rPr>
        <w:t xml:space="preserve"> </w:t>
      </w:r>
    </w:p>
    <w:p w:rsidRPr="00A45753" w:rsidR="00810FD7" w:rsidP="00810FD7" w:rsidRDefault="00810FD7" w14:paraId="2AC4D580" w14:textId="77777777">
      <w:pPr>
        <w:pStyle w:val="Heading4"/>
      </w:pPr>
      <w:bookmarkStart w:name="_Hlk69742911" w:id="329"/>
      <w:r w:rsidRPr="18B294E8">
        <w:rPr>
          <w:rFonts w:cs="Open Sans"/>
        </w:rPr>
        <w:t>Lack of referral and continuity of care</w:t>
      </w:r>
    </w:p>
    <w:p w:rsidRPr="00A45753" w:rsidR="00810FD7" w:rsidP="00810FD7" w:rsidRDefault="00810FD7" w14:paraId="5C3F62F8" w14:textId="77777777">
      <w:r w:rsidRPr="00A45753">
        <w:t xml:space="preserve">There can be challenges in initially accessing appropriate care, and continuity of care is of particular concern during the transition from childhood </w:t>
      </w:r>
      <w:r>
        <w:t>to</w:t>
      </w:r>
      <w:r w:rsidRPr="00A45753">
        <w:t xml:space="preserve"> adulthood. </w:t>
      </w:r>
    </w:p>
    <w:p w:rsidRPr="00A45753" w:rsidR="00810FD7" w:rsidP="00810FD7" w:rsidRDefault="00810FD7" w14:paraId="06C4AB46" w14:textId="77777777">
      <w:r w:rsidRPr="00A45753">
        <w:t xml:space="preserve">Some clinicians stated that there is no systematic way that children born with variations in sex characteristics get appropriate multidisciplinary care. As outlined earlier, if they encounter the medical system outside the few capital city institutions with MDTs, it is up to the individual treating clinician to refer them to a major centre. One clinician at a medical roundtable stated that </w:t>
      </w:r>
      <w:r>
        <w:t>without systematic data collection of people born with variations in sex characteristics, individuals located outside of major metropolitan services miss out on expert care</w:t>
      </w:r>
      <w:r w:rsidRPr="00A45753">
        <w:t>.</w:t>
      </w:r>
      <w:r w:rsidRPr="0117CC5D">
        <w:rPr>
          <w:rStyle w:val="EndnoteReference"/>
        </w:rPr>
        <w:endnoteReference w:id="425"/>
      </w:r>
    </w:p>
    <w:bookmarkEnd w:id="329"/>
    <w:p w:rsidRPr="00A45753" w:rsidR="00810FD7" w:rsidP="00810FD7" w:rsidRDefault="00810FD7" w14:paraId="41EB547A" w14:textId="77777777">
      <w:r w:rsidRPr="00A45753">
        <w:rPr>
          <w:rFonts w:cs="Open Sans"/>
        </w:rPr>
        <w:t>Several clinical and peer-support organisations told the Commission that there is not adequate integration between paediatric and adult care.</w:t>
      </w:r>
      <w:r w:rsidRPr="0117CC5D">
        <w:rPr>
          <w:rStyle w:val="EndnoteReference"/>
          <w:rFonts w:cs="Open Sans"/>
        </w:rPr>
        <w:endnoteReference w:id="426"/>
      </w:r>
      <w:r w:rsidRPr="00A45753">
        <w:rPr>
          <w:rFonts w:cs="Open Sans"/>
        </w:rPr>
        <w:t xml:space="preserve"> </w:t>
      </w:r>
      <w:r w:rsidRPr="00A45753">
        <w:t>The Commission understands that healthcare needs of people born with variation</w:t>
      </w:r>
      <w:r>
        <w:t>s</w:t>
      </w:r>
      <w:r w:rsidRPr="00A45753">
        <w:t xml:space="preserve"> in sex </w:t>
      </w:r>
      <w:r w:rsidRPr="00A45753">
        <w:lastRenderedPageBreak/>
        <w:t>characteristic</w:t>
      </w:r>
      <w:r>
        <w:t>s</w:t>
      </w:r>
      <w:r w:rsidRPr="00A45753">
        <w:t xml:space="preserve"> are often identified in childhood. Paediatric centres sometimes have MDTs, but even where that is not the case, there are still sometimes mechanisms to share information and expertise to provide whole of patient care. When people turn 18 or thereabouts, </w:t>
      </w:r>
      <w:r>
        <w:t xml:space="preserve">they </w:t>
      </w:r>
      <w:r w:rsidRPr="00A45753">
        <w:t xml:space="preserve">often lose access to these specialist services, with no equivalent adult tertiary, inter-disciplinary service model. </w:t>
      </w:r>
    </w:p>
    <w:p w:rsidRPr="00A45753" w:rsidR="00810FD7" w:rsidP="00810FD7" w:rsidRDefault="00810FD7" w14:paraId="7C14A110" w14:textId="77777777">
      <w:pPr>
        <w:rPr>
          <w:rFonts w:cs="Open Sans"/>
        </w:rPr>
      </w:pPr>
      <w:r w:rsidRPr="00A45753">
        <w:t xml:space="preserve">The Endocrine Society of Australia (ESA) </w:t>
      </w:r>
      <w:r>
        <w:t xml:space="preserve">said </w:t>
      </w:r>
      <w:r w:rsidRPr="00A45753">
        <w:t xml:space="preserve">that the </w:t>
      </w:r>
      <w:r>
        <w:t>‘</w:t>
      </w:r>
      <w:r w:rsidRPr="00A45753">
        <w:t>current lack of transition services has significant impact on the health and well-being of individuals with these complex and chronic conditions as they move into young adulthood</w:t>
      </w:r>
      <w:r>
        <w:t>’</w:t>
      </w:r>
      <w:r w:rsidRPr="00A45753">
        <w:t>.</w:t>
      </w:r>
      <w:r w:rsidRPr="0117CC5D">
        <w:rPr>
          <w:rStyle w:val="EndnoteReference"/>
        </w:rPr>
        <w:endnoteReference w:id="427"/>
      </w:r>
    </w:p>
    <w:p w:rsidRPr="00A45753" w:rsidR="00810FD7" w:rsidP="00810FD7" w:rsidRDefault="00810FD7" w14:paraId="3E73CD5C" w14:textId="77777777">
      <w:r w:rsidRPr="00A45753">
        <w:t>At the Perth medical roundtable, a clinician stated that while there is need for specialist, adult care, the numbers are not big enough to have an actual adult clinic</w:t>
      </w:r>
      <w:r>
        <w:t>,</w:t>
      </w:r>
      <w:r w:rsidRPr="00A45753">
        <w:t xml:space="preserve"> so they tend to get lost amongst GPs and other practitioners.</w:t>
      </w:r>
    </w:p>
    <w:p w:rsidRPr="00A45753" w:rsidR="00810FD7" w:rsidP="00810FD7" w:rsidRDefault="00810FD7" w14:paraId="7B9A27A6" w14:textId="77777777">
      <w:pPr>
        <w:rPr>
          <w:rFonts w:cs="Open Sans"/>
        </w:rPr>
      </w:pPr>
      <w:r w:rsidRPr="00A45753">
        <w:rPr>
          <w:rFonts w:cs="Open Sans"/>
        </w:rPr>
        <w:t>One person born with a variation in sex characteristics described their experience of not being supported in their transition from paediatric to adult care:</w:t>
      </w:r>
    </w:p>
    <w:p w:rsidRPr="00A45753" w:rsidR="00810FD7" w:rsidP="00810FD7" w:rsidRDefault="00810FD7" w14:paraId="63EFF45A" w14:textId="77777777">
      <w:pPr>
        <w:autoSpaceDE w:val="0"/>
        <w:autoSpaceDN w:val="0"/>
        <w:adjustRightInd w:val="0"/>
        <w:spacing w:after="0"/>
        <w:ind w:left="720"/>
      </w:pPr>
      <w:r w:rsidRPr="00A45753">
        <w:rPr>
          <w:rFonts w:cs="Open Sans"/>
          <w:sz w:val="22"/>
          <w:szCs w:val="22"/>
        </w:rPr>
        <w:t>The paediatrician wasn</w:t>
      </w:r>
      <w:r>
        <w:rPr>
          <w:rFonts w:cs="Open Sans"/>
          <w:sz w:val="22"/>
          <w:szCs w:val="22"/>
        </w:rPr>
        <w:t>’</w:t>
      </w:r>
      <w:r w:rsidRPr="00A45753">
        <w:rPr>
          <w:rFonts w:cs="Open Sans"/>
          <w:sz w:val="22"/>
          <w:szCs w:val="22"/>
        </w:rPr>
        <w:t>t very helpful. He wasn</w:t>
      </w:r>
      <w:r>
        <w:rPr>
          <w:rFonts w:cs="Open Sans"/>
          <w:sz w:val="22"/>
          <w:szCs w:val="22"/>
        </w:rPr>
        <w:t>’</w:t>
      </w:r>
      <w:r w:rsidRPr="00A45753">
        <w:rPr>
          <w:rFonts w:cs="Open Sans"/>
          <w:sz w:val="22"/>
          <w:szCs w:val="22"/>
        </w:rPr>
        <w:t>t like ‘oh you should see this endocrinologist’, it was more like ‘you know I can</w:t>
      </w:r>
      <w:r>
        <w:rPr>
          <w:rFonts w:cs="Open Sans"/>
          <w:sz w:val="22"/>
          <w:szCs w:val="22"/>
        </w:rPr>
        <w:t>’</w:t>
      </w:r>
      <w:r w:rsidRPr="00A45753">
        <w:rPr>
          <w:rFonts w:cs="Open Sans"/>
          <w:sz w:val="22"/>
          <w:szCs w:val="22"/>
        </w:rPr>
        <w:t>t see you anymore because you</w:t>
      </w:r>
      <w:r>
        <w:rPr>
          <w:rFonts w:cs="Open Sans"/>
          <w:sz w:val="22"/>
          <w:szCs w:val="22"/>
        </w:rPr>
        <w:t>’</w:t>
      </w:r>
      <w:r w:rsidRPr="00A45753">
        <w:rPr>
          <w:rFonts w:cs="Open Sans"/>
          <w:sz w:val="22"/>
          <w:szCs w:val="22"/>
        </w:rPr>
        <w:t>re not a child so, you know, now you have to find like a GP’, or something. And I don</w:t>
      </w:r>
      <w:r>
        <w:rPr>
          <w:rFonts w:cs="Open Sans"/>
          <w:sz w:val="22"/>
          <w:szCs w:val="22"/>
        </w:rPr>
        <w:t>’</w:t>
      </w:r>
      <w:r w:rsidRPr="00A45753">
        <w:rPr>
          <w:rFonts w:cs="Open Sans"/>
          <w:sz w:val="22"/>
          <w:szCs w:val="22"/>
        </w:rPr>
        <w:t>t really remember any help with that.</w:t>
      </w:r>
    </w:p>
    <w:p w:rsidRPr="00A45753" w:rsidR="00810FD7" w:rsidP="00810FD7" w:rsidRDefault="00810FD7" w14:paraId="077E1404" w14:textId="23319EEF">
      <w:pPr>
        <w:spacing w:line="259" w:lineRule="auto"/>
        <w:rPr>
          <w:rFonts w:cs="Open Sans"/>
        </w:rPr>
      </w:pPr>
      <w:r w:rsidRPr="00A45753">
        <w:rPr>
          <w:rFonts w:cs="Open Sans"/>
        </w:rPr>
        <w:t xml:space="preserve">A range of </w:t>
      </w:r>
      <w:r>
        <w:rPr>
          <w:rFonts w:cs="Open Sans"/>
        </w:rPr>
        <w:t>stakeholders</w:t>
      </w:r>
      <w:r w:rsidRPr="00A45753">
        <w:rPr>
          <w:rFonts w:cs="Open Sans"/>
        </w:rPr>
        <w:t xml:space="preserve"> pointed to a gap in the provision of lifelong</w:t>
      </w:r>
      <w:r>
        <w:rPr>
          <w:rFonts w:cs="Open Sans"/>
        </w:rPr>
        <w:t>,</w:t>
      </w:r>
      <w:r w:rsidRPr="00A45753">
        <w:rPr>
          <w:rFonts w:cs="Open Sans"/>
        </w:rPr>
        <w:t xml:space="preserve"> ongoing and accessible counselling and psycho-social support.</w:t>
      </w:r>
      <w:r w:rsidRPr="00B94BE4">
        <w:rPr>
          <w:rFonts w:cs="Open Sans"/>
          <w:sz w:val="20"/>
          <w:szCs w:val="20"/>
          <w:vertAlign w:val="superscript"/>
        </w:rPr>
        <w:endnoteReference w:id="428"/>
      </w:r>
      <w:r w:rsidRPr="00A45753">
        <w:rPr>
          <w:rFonts w:cs="Open Sans"/>
        </w:rPr>
        <w:t xml:space="preserve"> APEG stated that psychological support</w:t>
      </w:r>
    </w:p>
    <w:p w:rsidRPr="00A45753" w:rsidR="00810FD7" w:rsidP="00810FD7" w:rsidRDefault="00810FD7" w14:paraId="0AD27F79" w14:textId="77777777">
      <w:pPr>
        <w:autoSpaceDE w:val="0"/>
        <w:autoSpaceDN w:val="0"/>
        <w:adjustRightInd w:val="0"/>
        <w:spacing w:before="0" w:after="0"/>
        <w:ind w:left="720"/>
      </w:pPr>
      <w:r w:rsidRPr="00A45753">
        <w:rPr>
          <w:rFonts w:eastAsia="Times New Roman" w:cs="Open Sans"/>
          <w:sz w:val="22"/>
          <w:szCs w:val="22"/>
          <w:lang w:val="en-US"/>
        </w:rPr>
        <w:t>should equally continue to be offered as routine care intermittently over an individual’s lifecourse at various developmental stages. Ensuring clinicians providing psychological support are an integral part of the team and well informed about variations of sex development and supporting families in their decisions will also help to overcome the perception of ‘they won’t understand’ that can be a barrier as children are older.</w:t>
      </w:r>
      <w:r w:rsidRPr="0117CC5D">
        <w:rPr>
          <w:rStyle w:val="EndnoteReference"/>
          <w:rFonts w:eastAsia="Times New Roman" w:cs="Open Sans"/>
          <w:lang w:val="en-US"/>
        </w:rPr>
        <w:endnoteReference w:id="429"/>
      </w:r>
      <w:r w:rsidRPr="00A45753">
        <w:t xml:space="preserve"> </w:t>
      </w:r>
    </w:p>
    <w:p w:rsidRPr="00170878" w:rsidR="00810FD7" w:rsidP="004E1B63" w:rsidRDefault="00810FD7" w14:paraId="48710A44" w14:textId="430AABDF">
      <w:pPr>
        <w:pStyle w:val="AHRCHeading2"/>
      </w:pPr>
      <w:bookmarkStart w:name="_Toc79700364" w:id="330"/>
      <w:bookmarkStart w:name="_Toc85541444" w:id="331"/>
      <w:r w:rsidRPr="00170878">
        <w:t>Principles that inform clinical practice</w:t>
      </w:r>
      <w:bookmarkEnd w:id="330"/>
      <w:bookmarkEnd w:id="331"/>
      <w:r w:rsidRPr="00170878">
        <w:t xml:space="preserve"> </w:t>
      </w:r>
    </w:p>
    <w:p w:rsidRPr="00A45753" w:rsidR="00810FD7" w:rsidP="00810FD7" w:rsidRDefault="00810FD7" w14:paraId="33A3AD38" w14:textId="77777777">
      <w:r w:rsidRPr="00A45753">
        <w:t>This section discusses the principles and approaches that inform clinical</w:t>
      </w:r>
      <w:r>
        <w:t xml:space="preserve"> </w:t>
      </w:r>
      <w:r w:rsidRPr="00A45753">
        <w:t xml:space="preserve">practice and interventions for people born with variations in sex characteristics. </w:t>
      </w:r>
    </w:p>
    <w:p w:rsidRPr="00A45753" w:rsidR="00810FD7" w:rsidP="00810FD7" w:rsidRDefault="00810FD7" w14:paraId="29390101" w14:textId="77777777">
      <w:pPr>
        <w:rPr>
          <w:rFonts w:cs="Open Sans"/>
        </w:rPr>
      </w:pPr>
      <w:r w:rsidRPr="00A45753">
        <w:rPr>
          <w:rFonts w:cs="Open Sans"/>
        </w:rPr>
        <w:lastRenderedPageBreak/>
        <w:t xml:space="preserve">A participant in the Brisbane medical roundtable identified acting in the interests of the child as a key principle. </w:t>
      </w:r>
      <w:r w:rsidRPr="00A45753">
        <w:t>An MDT stated that clinical management is guided by principles such as beneficence and non-maleficence, autonomy and justice (both procedural and distributive).</w:t>
      </w:r>
      <w:r w:rsidRPr="0117CC5D">
        <w:rPr>
          <w:rStyle w:val="EndnoteReference"/>
        </w:rPr>
        <w:endnoteReference w:id="430"/>
      </w:r>
      <w:r w:rsidRPr="00A45753">
        <w:t xml:space="preserve"> This stakeholder also identified relevant ethical principles for the management of infants with disorders of sex development </w:t>
      </w:r>
      <w:r>
        <w:t xml:space="preserve">to </w:t>
      </w:r>
      <w:r w:rsidRPr="00A45753">
        <w:t>guide clinical management, derived from a resolution of the Fifth World Congress on Family Law and Children</w:t>
      </w:r>
      <w:r>
        <w:t>’</w:t>
      </w:r>
      <w:r w:rsidRPr="00A45753">
        <w:t>s Rights.</w:t>
      </w:r>
      <w:r w:rsidRPr="0117CC5D">
        <w:rPr>
          <w:rStyle w:val="EndnoteReference"/>
        </w:rPr>
        <w:endnoteReference w:id="431"/>
      </w:r>
      <w:r w:rsidRPr="00A45753">
        <w:t xml:space="preserve"> The seven key ethical principles are:</w:t>
      </w:r>
    </w:p>
    <w:p w:rsidRPr="00A45753" w:rsidR="00810FD7" w:rsidP="002F7D27" w:rsidRDefault="00810FD7" w14:paraId="0AE85E08" w14:textId="77777777">
      <w:pPr>
        <w:pStyle w:val="ListParagraph"/>
        <w:numPr>
          <w:ilvl w:val="0"/>
          <w:numId w:val="50"/>
        </w:numPr>
      </w:pPr>
      <w:r w:rsidRPr="00A45753">
        <w:t>minimising physical risk to child</w:t>
      </w:r>
    </w:p>
    <w:p w:rsidRPr="00A45753" w:rsidR="00810FD7" w:rsidP="002F7D27" w:rsidRDefault="00810FD7" w14:paraId="0F6C0425" w14:textId="77777777">
      <w:pPr>
        <w:pStyle w:val="ListParagraph"/>
        <w:numPr>
          <w:ilvl w:val="0"/>
          <w:numId w:val="50"/>
        </w:numPr>
      </w:pPr>
      <w:r w:rsidRPr="00A45753">
        <w:t xml:space="preserve">minimising psychosocial risk to child </w:t>
      </w:r>
    </w:p>
    <w:p w:rsidRPr="00A45753" w:rsidR="00810FD7" w:rsidP="002F7D27" w:rsidRDefault="00810FD7" w14:paraId="3DE7AB80" w14:textId="77777777">
      <w:pPr>
        <w:pStyle w:val="ListParagraph"/>
        <w:numPr>
          <w:ilvl w:val="0"/>
          <w:numId w:val="50"/>
        </w:numPr>
      </w:pPr>
      <w:r w:rsidRPr="00A45753">
        <w:t>preserving potential for fertility</w:t>
      </w:r>
    </w:p>
    <w:p w:rsidRPr="00A45753" w:rsidR="00810FD7" w:rsidP="002F7D27" w:rsidRDefault="00810FD7" w14:paraId="7BAB1FD8" w14:textId="77777777">
      <w:pPr>
        <w:pStyle w:val="ListParagraph"/>
        <w:numPr>
          <w:ilvl w:val="0"/>
          <w:numId w:val="50"/>
        </w:numPr>
      </w:pPr>
      <w:r w:rsidRPr="00A45753">
        <w:t xml:space="preserve">preserving or promoting capacity to have satisfying sexual relations </w:t>
      </w:r>
    </w:p>
    <w:p w:rsidRPr="00A45753" w:rsidR="00810FD7" w:rsidP="002F7D27" w:rsidRDefault="00810FD7" w14:paraId="6EF19335" w14:textId="77777777">
      <w:pPr>
        <w:pStyle w:val="ListParagraph"/>
        <w:numPr>
          <w:ilvl w:val="0"/>
          <w:numId w:val="50"/>
        </w:numPr>
      </w:pPr>
      <w:r w:rsidRPr="00A45753">
        <w:t>leaving options open for the future</w:t>
      </w:r>
    </w:p>
    <w:p w:rsidRPr="00A45753" w:rsidR="00810FD7" w:rsidP="002F7D27" w:rsidRDefault="00810FD7" w14:paraId="44A94E44" w14:textId="77777777">
      <w:pPr>
        <w:pStyle w:val="ListParagraph"/>
        <w:numPr>
          <w:ilvl w:val="0"/>
          <w:numId w:val="50"/>
        </w:numPr>
      </w:pPr>
      <w:r w:rsidRPr="00A45753">
        <w:t>respecting the parents</w:t>
      </w:r>
      <w:r>
        <w:t>’</w:t>
      </w:r>
      <w:r w:rsidRPr="00A45753">
        <w:t xml:space="preserve"> wishes and beliefs</w:t>
      </w:r>
    </w:p>
    <w:p w:rsidRPr="00A45753" w:rsidR="00810FD7" w:rsidP="002F7D27" w:rsidRDefault="00810FD7" w14:paraId="2E2C63D7" w14:textId="77777777">
      <w:pPr>
        <w:pStyle w:val="ListParagraph"/>
        <w:numPr>
          <w:ilvl w:val="0"/>
          <w:numId w:val="50"/>
        </w:numPr>
      </w:pPr>
      <w:r w:rsidRPr="00A45753">
        <w:t>taking into account the views and wishes of children and adolescents who are capable of contributing to decision making about their healthcare.</w:t>
      </w:r>
      <w:r w:rsidRPr="0117CC5D">
        <w:rPr>
          <w:rStyle w:val="EndnoteReference"/>
        </w:rPr>
        <w:endnoteReference w:id="432"/>
      </w:r>
    </w:p>
    <w:p w:rsidRPr="00A45753" w:rsidR="00810FD7" w:rsidP="00810FD7" w:rsidRDefault="00810FD7" w14:paraId="77FF0079" w14:textId="77777777">
      <w:r w:rsidRPr="00A45753">
        <w:t xml:space="preserve">The extent to which these principles have guided medical practice is unclear. </w:t>
      </w:r>
      <w:r>
        <w:t>Stakeholders at the Melbourne medical roundtable identified these principles as guiding their processes.</w:t>
      </w:r>
      <w:r w:rsidRPr="0117CC5D">
        <w:rPr>
          <w:rStyle w:val="EndnoteReference"/>
        </w:rPr>
        <w:endnoteReference w:id="433"/>
      </w:r>
      <w:r>
        <w:t xml:space="preserve"> T</w:t>
      </w:r>
      <w:r w:rsidRPr="00A45753">
        <w:t xml:space="preserve">hese ethical principles </w:t>
      </w:r>
      <w:r>
        <w:t xml:space="preserve">were </w:t>
      </w:r>
      <w:r w:rsidRPr="00A45753">
        <w:t xml:space="preserve">significantly informed </w:t>
      </w:r>
      <w:r>
        <w:t xml:space="preserve">by </w:t>
      </w:r>
      <w:r w:rsidRPr="00A45753">
        <w:t xml:space="preserve">the </w:t>
      </w:r>
      <w:r w:rsidRPr="006B2D9D">
        <w:t xml:space="preserve">2013 </w:t>
      </w:r>
      <w:r w:rsidRPr="004934FA">
        <w:rPr>
          <w:i/>
          <w:iCs/>
        </w:rPr>
        <w:t>Ethical Principles for the Management of Infants with Disorders of Sex Development</w:t>
      </w:r>
      <w:r w:rsidRPr="00A45753">
        <w:t xml:space="preserve"> (</w:t>
      </w:r>
      <w:r>
        <w:t xml:space="preserve">2013 </w:t>
      </w:r>
      <w:r w:rsidRPr="00A45753">
        <w:t xml:space="preserve">Victorian </w:t>
      </w:r>
      <w:r>
        <w:t>D</w:t>
      </w:r>
      <w:r w:rsidRPr="00A45753">
        <w:t>ecision-</w:t>
      </w:r>
      <w:r>
        <w:t>M</w:t>
      </w:r>
      <w:r w:rsidRPr="00A45753">
        <w:t xml:space="preserve">aking </w:t>
      </w:r>
      <w:r>
        <w:t>P</w:t>
      </w:r>
      <w:r w:rsidRPr="00A45753">
        <w:t>rinciples)</w:t>
      </w:r>
      <w:r w:rsidRPr="00A24ADE">
        <w:rPr>
          <w:sz w:val="20"/>
          <w:szCs w:val="20"/>
        </w:rPr>
        <w:t>.</w:t>
      </w:r>
      <w:r w:rsidRPr="0117CC5D">
        <w:rPr>
          <w:rStyle w:val="EndnoteReference"/>
        </w:rPr>
        <w:endnoteReference w:id="434"/>
      </w:r>
    </w:p>
    <w:p w:rsidRPr="00A45753" w:rsidR="00810FD7" w:rsidP="00810FD7" w:rsidRDefault="00810FD7" w14:paraId="0CC22C34" w14:textId="6D142F92">
      <w:pPr>
        <w:pStyle w:val="Heading3"/>
        <w:jc w:val="both"/>
      </w:pPr>
      <w:bookmarkStart w:name="_Toc79700365" w:id="332"/>
      <w:bookmarkStart w:name="_Toc85541445" w:id="333"/>
      <w:r w:rsidRPr="00A45753">
        <w:t>Best practice approaches to clinical management and care</w:t>
      </w:r>
      <w:bookmarkEnd w:id="332"/>
      <w:bookmarkEnd w:id="333"/>
    </w:p>
    <w:p w:rsidRPr="00A45753" w:rsidR="00810FD7" w:rsidP="00810FD7" w:rsidRDefault="00810FD7" w14:paraId="10267F51" w14:textId="77777777">
      <w:pPr>
        <w:rPr>
          <w:rFonts w:cs="Open Sans"/>
        </w:rPr>
      </w:pPr>
      <w:r w:rsidRPr="00A45753">
        <w:rPr>
          <w:rFonts w:cs="Open Sans"/>
        </w:rPr>
        <w:t>There is international clinical consensus that best practice clinical management is supervised and undertaken by teams of specialists.</w:t>
      </w:r>
      <w:r w:rsidRPr="0117CC5D">
        <w:rPr>
          <w:rStyle w:val="EndnoteReference"/>
          <w:rFonts w:cs="Open Sans"/>
        </w:rPr>
        <w:endnoteReference w:id="435"/>
      </w:r>
      <w:r w:rsidRPr="00A45753">
        <w:rPr>
          <w:rFonts w:cs="Open Sans"/>
        </w:rPr>
        <w:t xml:space="preserve"> This is expressed in the </w:t>
      </w:r>
      <w:r w:rsidRPr="00A45753" w:rsidDel="00BC3D37">
        <w:t>2006</w:t>
      </w:r>
      <w:r w:rsidRPr="00A45753">
        <w:t xml:space="preserve"> </w:t>
      </w:r>
      <w:r w:rsidRPr="00B85F24" w:rsidDel="00BC3D37">
        <w:rPr>
          <w:i/>
          <w:iCs/>
        </w:rPr>
        <w:t>Consensus statement on management of intersex disorders</w:t>
      </w:r>
      <w:r>
        <w:t xml:space="preserve"> </w:t>
      </w:r>
      <w:r w:rsidRPr="00A45753">
        <w:t>(</w:t>
      </w:r>
      <w:r w:rsidRPr="00A45753">
        <w:rPr>
          <w:rFonts w:cs="Open Sans"/>
        </w:rPr>
        <w:t>2006 Consensus Statement),</w:t>
      </w:r>
      <w:r w:rsidRPr="0117CC5D">
        <w:rPr>
          <w:rStyle w:val="EndnoteReference"/>
          <w:rFonts w:cs="Open Sans"/>
        </w:rPr>
        <w:endnoteReference w:id="436"/>
      </w:r>
      <w:r w:rsidRPr="00A45753">
        <w:rPr>
          <w:rFonts w:cs="Open Sans"/>
        </w:rPr>
        <w:t xml:space="preserve"> and in its update in 2016</w:t>
      </w:r>
      <w:r>
        <w:rPr>
          <w:rFonts w:cs="Open Sans"/>
        </w:rPr>
        <w:t xml:space="preserve">, </w:t>
      </w:r>
      <w:r w:rsidRPr="00441AA9">
        <w:rPr>
          <w:rFonts w:cs="Open Sans"/>
          <w:i/>
          <w:iCs/>
        </w:rPr>
        <w:t>Global Disorders of Sex Development Update since 2006: Perceptions, Approach and Care</w:t>
      </w:r>
      <w:r w:rsidRPr="00A45753">
        <w:rPr>
          <w:rFonts w:cs="Open Sans"/>
        </w:rPr>
        <w:t xml:space="preserve"> (2016 Consensus Statement </w:t>
      </w:r>
      <w:r w:rsidRPr="00A45753">
        <w:rPr>
          <w:rFonts w:cs="Open Sans"/>
        </w:rPr>
        <w:lastRenderedPageBreak/>
        <w:t>Update).</w:t>
      </w:r>
      <w:r w:rsidRPr="0117CC5D">
        <w:rPr>
          <w:rStyle w:val="EndnoteReference"/>
          <w:rFonts w:cs="Open Sans"/>
        </w:rPr>
        <w:endnoteReference w:id="437"/>
      </w:r>
      <w:r w:rsidRPr="00A45753">
        <w:rPr>
          <w:rFonts w:cs="Open Sans"/>
        </w:rPr>
        <w:t xml:space="preserve"> The 2016 Consensus Statement Update says that to provide optimal care, a thorough prenatal history should be taken, particularly in the case of infants, as well as a thorough physical examination. It also recommends management by a team of clinicians. </w:t>
      </w:r>
    </w:p>
    <w:p w:rsidRPr="00A45753" w:rsidR="00810FD7" w:rsidP="00810FD7" w:rsidRDefault="00810FD7" w14:paraId="2FEEF149" w14:textId="77777777">
      <w:pPr>
        <w:rPr>
          <w:rFonts w:cs="Open Sans"/>
        </w:rPr>
      </w:pPr>
      <w:bookmarkStart w:name="_Toc73350238" w:id="334"/>
      <w:bookmarkStart w:name="_Toc73350424" w:id="335"/>
      <w:bookmarkStart w:name="_Toc73350481" w:id="336"/>
      <w:bookmarkStart w:name="_Toc73350672" w:id="337"/>
      <w:bookmarkStart w:name="_Toc73365468" w:id="338"/>
      <w:bookmarkEnd w:id="334"/>
      <w:bookmarkEnd w:id="335"/>
      <w:bookmarkEnd w:id="336"/>
      <w:bookmarkEnd w:id="337"/>
      <w:bookmarkEnd w:id="338"/>
      <w:r w:rsidRPr="00A45753">
        <w:rPr>
          <w:rFonts w:cs="Open Sans"/>
        </w:rPr>
        <w:t xml:space="preserve">The 2006 Consensus Statement suggests that </w:t>
      </w:r>
      <w:r>
        <w:rPr>
          <w:rFonts w:cs="Open Sans"/>
        </w:rPr>
        <w:t xml:space="preserve">the </w:t>
      </w:r>
      <w:r w:rsidRPr="00A45753">
        <w:rPr>
          <w:rFonts w:cs="Open Sans"/>
        </w:rPr>
        <w:t>composition of teams may vary ’according to DSD type, local resources, developmental context and location’. In terms of the duties of the MDT, it suggests:</w:t>
      </w:r>
    </w:p>
    <w:p w:rsidRPr="00A45753" w:rsidR="00810FD7" w:rsidP="00810FD7" w:rsidRDefault="00810FD7" w14:paraId="7CAB5375" w14:textId="77777777">
      <w:pPr>
        <w:ind w:left="720"/>
        <w:rPr>
          <w:rFonts w:cs="Open Sans"/>
          <w:sz w:val="22"/>
          <w:szCs w:val="22"/>
        </w:rPr>
      </w:pPr>
      <w:r w:rsidRPr="00A45753">
        <w:rPr>
          <w:rFonts w:cs="Open Sans"/>
          <w:sz w:val="22"/>
          <w:szCs w:val="22"/>
        </w:rPr>
        <w:t>The team has a responsibility to educate other health care staff in the appropriate initial management of affected newborns and their families. For new DSD patients, the team should develop a plan for clinical management with respect to diagnosis, gender assignment and treatment options before making any recommendations. Ideally, discussions with the family are conducted by one professional with appropriate communication skills.</w:t>
      </w:r>
      <w:r w:rsidRPr="0117CC5D">
        <w:rPr>
          <w:rStyle w:val="EndnoteReference"/>
          <w:rFonts w:cs="Open Sans"/>
        </w:rPr>
        <w:endnoteReference w:id="438"/>
      </w:r>
    </w:p>
    <w:p w:rsidRPr="00A45753" w:rsidR="00810FD7" w:rsidP="00810FD7" w:rsidRDefault="00810FD7" w14:paraId="53ADBCD1" w14:textId="77777777">
      <w:pPr>
        <w:rPr>
          <w:rFonts w:cs="Open Sans"/>
          <w:sz w:val="22"/>
          <w:szCs w:val="22"/>
        </w:rPr>
      </w:pPr>
      <w:r w:rsidRPr="00A45753">
        <w:rPr>
          <w:rFonts w:cs="Open Sans"/>
        </w:rPr>
        <w:t>In relation to continuity of care, it states that ‘Transitional care should be organized with the multidisciplinary team operating in an environment comprising specialists with experience in both paediatric and adult practice’.</w:t>
      </w:r>
      <w:r w:rsidRPr="0117CC5D">
        <w:rPr>
          <w:rStyle w:val="EndnoteReference"/>
          <w:rFonts w:cs="Open Sans"/>
        </w:rPr>
        <w:endnoteReference w:id="439"/>
      </w:r>
    </w:p>
    <w:p w:rsidRPr="00A45753" w:rsidR="00810FD7" w:rsidP="00810FD7" w:rsidRDefault="00810FD7" w14:paraId="4B318DF1" w14:textId="77777777">
      <w:pPr>
        <w:rPr>
          <w:rFonts w:cs="Open Sans"/>
        </w:rPr>
      </w:pPr>
      <w:r w:rsidRPr="00A45753">
        <w:rPr>
          <w:rFonts w:cs="Open Sans"/>
        </w:rPr>
        <w:t xml:space="preserve">Most stakeholders </w:t>
      </w:r>
      <w:r>
        <w:rPr>
          <w:rFonts w:cs="Open Sans"/>
        </w:rPr>
        <w:t>considered</w:t>
      </w:r>
      <w:r w:rsidRPr="00A45753">
        <w:rPr>
          <w:rFonts w:cs="Open Sans"/>
        </w:rPr>
        <w:t xml:space="preserve"> that many of the shortcomings of current clinical management can be at least partly addressed through provision of comprehensive care by MDTs. </w:t>
      </w:r>
    </w:p>
    <w:p w:rsidRPr="00A45753" w:rsidR="00810FD7" w:rsidP="00810FD7" w:rsidRDefault="00810FD7" w14:paraId="471F4598" w14:textId="41AA7412">
      <w:pPr>
        <w:rPr>
          <w:rFonts w:cs="Open Sans"/>
        </w:rPr>
      </w:pPr>
      <w:r w:rsidRPr="00A45753">
        <w:rPr>
          <w:rFonts w:cs="Open Sans"/>
        </w:rPr>
        <w:t xml:space="preserve">Clinician and parent stakeholders highlighted that people born with variations in sex characteristics may have complex needs that cannot be met </w:t>
      </w:r>
      <w:r>
        <w:rPr>
          <w:rFonts w:cs="Open Sans"/>
        </w:rPr>
        <w:t xml:space="preserve">solely </w:t>
      </w:r>
      <w:r w:rsidRPr="00A45753">
        <w:rPr>
          <w:rFonts w:cs="Open Sans"/>
        </w:rPr>
        <w:t>within a particular institution or service discipline. Sometimes a person’s needs can only be met through accessing an array of multiple institutions and service disciplines. These may include</w:t>
      </w:r>
    </w:p>
    <w:p w:rsidRPr="00A45753" w:rsidR="00810FD7" w:rsidP="002F7D27" w:rsidRDefault="00810FD7" w14:paraId="15BDB967" w14:textId="77777777">
      <w:pPr>
        <w:numPr>
          <w:ilvl w:val="0"/>
          <w:numId w:val="49"/>
        </w:numPr>
        <w:rPr>
          <w:rFonts w:cs="Open Sans"/>
        </w:rPr>
      </w:pPr>
      <w:r w:rsidRPr="00A45753">
        <w:rPr>
          <w:rFonts w:cs="Open Sans"/>
        </w:rPr>
        <w:t>endocrinologists</w:t>
      </w:r>
    </w:p>
    <w:p w:rsidRPr="00A45753" w:rsidR="00810FD7" w:rsidP="002F7D27" w:rsidRDefault="00810FD7" w14:paraId="2A7E6E73" w14:textId="77777777">
      <w:pPr>
        <w:numPr>
          <w:ilvl w:val="0"/>
          <w:numId w:val="49"/>
        </w:numPr>
        <w:rPr>
          <w:rFonts w:cs="Open Sans"/>
        </w:rPr>
      </w:pPr>
      <w:r w:rsidRPr="00A45753">
        <w:rPr>
          <w:rFonts w:cs="Open Sans"/>
        </w:rPr>
        <w:t>fertility specialists</w:t>
      </w:r>
    </w:p>
    <w:p w:rsidRPr="00A45753" w:rsidR="00810FD7" w:rsidP="002F7D27" w:rsidRDefault="00810FD7" w14:paraId="4F5FF6F0" w14:textId="77777777">
      <w:pPr>
        <w:numPr>
          <w:ilvl w:val="0"/>
          <w:numId w:val="49"/>
        </w:numPr>
        <w:rPr>
          <w:rFonts w:cs="Open Sans"/>
        </w:rPr>
      </w:pPr>
      <w:r w:rsidRPr="00A45753">
        <w:rPr>
          <w:rFonts w:cs="Open Sans"/>
        </w:rPr>
        <w:t>general practitioners</w:t>
      </w:r>
    </w:p>
    <w:p w:rsidRPr="00A45753" w:rsidR="00810FD7" w:rsidP="002F7D27" w:rsidRDefault="00810FD7" w14:paraId="2F9121C4" w14:textId="77777777">
      <w:pPr>
        <w:numPr>
          <w:ilvl w:val="0"/>
          <w:numId w:val="49"/>
        </w:numPr>
        <w:rPr>
          <w:rFonts w:cs="Open Sans"/>
        </w:rPr>
      </w:pPr>
      <w:r w:rsidRPr="00A45753">
        <w:rPr>
          <w:rFonts w:cs="Open Sans"/>
        </w:rPr>
        <w:t>geneticists</w:t>
      </w:r>
    </w:p>
    <w:p w:rsidRPr="00A45753" w:rsidR="00810FD7" w:rsidP="002F7D27" w:rsidRDefault="00810FD7" w14:paraId="6DC9281A" w14:textId="77777777">
      <w:pPr>
        <w:numPr>
          <w:ilvl w:val="0"/>
          <w:numId w:val="49"/>
        </w:numPr>
        <w:rPr>
          <w:rFonts w:cs="Open Sans"/>
        </w:rPr>
      </w:pPr>
      <w:r w:rsidRPr="00A45753">
        <w:rPr>
          <w:rFonts w:cs="Open Sans"/>
        </w:rPr>
        <w:t>gynaecologists</w:t>
      </w:r>
    </w:p>
    <w:p w:rsidRPr="00A45753" w:rsidR="00810FD7" w:rsidP="002F7D27" w:rsidRDefault="00810FD7" w14:paraId="59146DB9" w14:textId="77777777">
      <w:pPr>
        <w:numPr>
          <w:ilvl w:val="0"/>
          <w:numId w:val="49"/>
        </w:numPr>
        <w:rPr>
          <w:rFonts w:cs="Open Sans"/>
        </w:rPr>
      </w:pPr>
      <w:r w:rsidRPr="00A45753">
        <w:rPr>
          <w:rFonts w:cs="Open Sans"/>
        </w:rPr>
        <w:t>occupational therapists</w:t>
      </w:r>
    </w:p>
    <w:p w:rsidRPr="00A45753" w:rsidR="00810FD7" w:rsidP="002F7D27" w:rsidRDefault="00810FD7" w14:paraId="7FC22AD8" w14:textId="77777777">
      <w:pPr>
        <w:numPr>
          <w:ilvl w:val="0"/>
          <w:numId w:val="49"/>
        </w:numPr>
        <w:rPr>
          <w:rFonts w:cs="Open Sans"/>
        </w:rPr>
      </w:pPr>
      <w:r w:rsidRPr="00A45753">
        <w:rPr>
          <w:rFonts w:cs="Open Sans"/>
        </w:rPr>
        <w:lastRenderedPageBreak/>
        <w:t>paediatricians with specialist expertise in child development</w:t>
      </w:r>
    </w:p>
    <w:p w:rsidRPr="00A45753" w:rsidR="00810FD7" w:rsidP="002F7D27" w:rsidRDefault="00810FD7" w14:paraId="56F29C19" w14:textId="77777777">
      <w:pPr>
        <w:numPr>
          <w:ilvl w:val="0"/>
          <w:numId w:val="49"/>
        </w:numPr>
        <w:rPr>
          <w:rFonts w:cs="Open Sans"/>
        </w:rPr>
      </w:pPr>
      <w:r w:rsidRPr="00A45753">
        <w:rPr>
          <w:rFonts w:cs="Open Sans"/>
        </w:rPr>
        <w:t>patient advocates</w:t>
      </w:r>
    </w:p>
    <w:p w:rsidRPr="00A45753" w:rsidR="00810FD7" w:rsidP="002F7D27" w:rsidRDefault="00810FD7" w14:paraId="345B6032" w14:textId="77777777">
      <w:pPr>
        <w:numPr>
          <w:ilvl w:val="0"/>
          <w:numId w:val="49"/>
        </w:numPr>
        <w:rPr>
          <w:rFonts w:cs="Open Sans"/>
        </w:rPr>
      </w:pPr>
      <w:r w:rsidRPr="00A45753">
        <w:rPr>
          <w:rFonts w:cs="Open Sans"/>
        </w:rPr>
        <w:t>peer workers</w:t>
      </w:r>
    </w:p>
    <w:p w:rsidRPr="00A45753" w:rsidR="00810FD7" w:rsidP="002F7D27" w:rsidRDefault="00810FD7" w14:paraId="30863455" w14:textId="77777777">
      <w:pPr>
        <w:numPr>
          <w:ilvl w:val="0"/>
          <w:numId w:val="49"/>
        </w:numPr>
        <w:rPr>
          <w:rFonts w:cs="Open Sans"/>
        </w:rPr>
      </w:pPr>
      <w:r w:rsidRPr="00A45753">
        <w:rPr>
          <w:rFonts w:cs="Open Sans"/>
        </w:rPr>
        <w:t>physiotherapists</w:t>
      </w:r>
    </w:p>
    <w:p w:rsidRPr="00A45753" w:rsidR="00810FD7" w:rsidP="002F7D27" w:rsidRDefault="00810FD7" w14:paraId="27927660" w14:textId="77777777">
      <w:pPr>
        <w:numPr>
          <w:ilvl w:val="0"/>
          <w:numId w:val="49"/>
        </w:numPr>
        <w:rPr>
          <w:rFonts w:cs="Open Sans"/>
        </w:rPr>
      </w:pPr>
      <w:r w:rsidRPr="00A45753">
        <w:rPr>
          <w:rFonts w:cs="Open Sans"/>
        </w:rPr>
        <w:t>psychiatrists and psychologists</w:t>
      </w:r>
    </w:p>
    <w:p w:rsidRPr="00A45753" w:rsidR="00810FD7" w:rsidP="002F7D27" w:rsidRDefault="00810FD7" w14:paraId="38D3FE04" w14:textId="77777777">
      <w:pPr>
        <w:numPr>
          <w:ilvl w:val="0"/>
          <w:numId w:val="49"/>
        </w:numPr>
        <w:rPr>
          <w:rFonts w:cs="Open Sans"/>
        </w:rPr>
      </w:pPr>
      <w:r w:rsidRPr="00A45753">
        <w:rPr>
          <w:rFonts w:cs="Open Sans"/>
        </w:rPr>
        <w:t>social workers</w:t>
      </w:r>
    </w:p>
    <w:p w:rsidRPr="00A45753" w:rsidR="00810FD7" w:rsidP="002F7D27" w:rsidRDefault="00810FD7" w14:paraId="37C4C1AF" w14:textId="77777777">
      <w:pPr>
        <w:numPr>
          <w:ilvl w:val="0"/>
          <w:numId w:val="49"/>
        </w:numPr>
        <w:rPr>
          <w:rFonts w:cs="Open Sans"/>
        </w:rPr>
      </w:pPr>
      <w:r w:rsidRPr="00A45753">
        <w:rPr>
          <w:rFonts w:cs="Open Sans"/>
        </w:rPr>
        <w:t>specialist educational interventions</w:t>
      </w:r>
    </w:p>
    <w:p w:rsidRPr="00A45753" w:rsidR="00810FD7" w:rsidP="002F7D27" w:rsidRDefault="00810FD7" w14:paraId="12473570" w14:textId="77777777">
      <w:pPr>
        <w:numPr>
          <w:ilvl w:val="0"/>
          <w:numId w:val="49"/>
        </w:numPr>
        <w:rPr>
          <w:rFonts w:cs="Open Sans"/>
        </w:rPr>
      </w:pPr>
      <w:r w:rsidRPr="00A45753">
        <w:rPr>
          <w:rFonts w:cs="Open Sans"/>
        </w:rPr>
        <w:t>speech pathologists</w:t>
      </w:r>
    </w:p>
    <w:p w:rsidRPr="00A45753" w:rsidR="00810FD7" w:rsidP="002F7D27" w:rsidRDefault="00810FD7" w14:paraId="50D9BB84" w14:textId="77777777">
      <w:pPr>
        <w:numPr>
          <w:ilvl w:val="0"/>
          <w:numId w:val="49"/>
        </w:numPr>
        <w:rPr>
          <w:rFonts w:cs="Open Sans"/>
        </w:rPr>
      </w:pPr>
      <w:r w:rsidRPr="00A45753">
        <w:rPr>
          <w:rFonts w:cs="Open Sans"/>
        </w:rPr>
        <w:t>surgeons</w:t>
      </w:r>
    </w:p>
    <w:p w:rsidRPr="00A45753" w:rsidR="00810FD7" w:rsidP="002F7D27" w:rsidRDefault="00810FD7" w14:paraId="4BFB88C6" w14:textId="77777777">
      <w:pPr>
        <w:numPr>
          <w:ilvl w:val="0"/>
          <w:numId w:val="49"/>
        </w:numPr>
        <w:rPr>
          <w:rFonts w:cs="Open Sans"/>
        </w:rPr>
      </w:pPr>
      <w:r w:rsidRPr="00A45753">
        <w:rPr>
          <w:rFonts w:cs="Open Sans"/>
        </w:rPr>
        <w:t>urologists.</w:t>
      </w:r>
      <w:r w:rsidRPr="00B2018B">
        <w:rPr>
          <w:rFonts w:cs="Open Sans"/>
          <w:sz w:val="20"/>
          <w:szCs w:val="20"/>
          <w:vertAlign w:val="superscript"/>
        </w:rPr>
        <w:endnoteReference w:id="440"/>
      </w:r>
    </w:p>
    <w:p w:rsidRPr="00A45753" w:rsidR="00810FD7" w:rsidP="00810FD7" w:rsidRDefault="00810FD7" w14:paraId="0BBAFB42" w14:textId="77777777">
      <w:pPr>
        <w:rPr>
          <w:rFonts w:cs="Open Sans"/>
        </w:rPr>
      </w:pPr>
      <w:r w:rsidRPr="00A45753">
        <w:rPr>
          <w:rFonts w:cs="Open Sans"/>
        </w:rPr>
        <w:t>Some clinicians proposed the creation of a register of all individuals born with variations in sex characteristics to ensure that all children are referred to a</w:t>
      </w:r>
      <w:r>
        <w:rPr>
          <w:rFonts w:cs="Open Sans"/>
        </w:rPr>
        <w:t>n</w:t>
      </w:r>
      <w:r w:rsidRPr="00A45753">
        <w:rPr>
          <w:rFonts w:cs="Open Sans"/>
        </w:rPr>
        <w:t xml:space="preserve"> MDT.</w:t>
      </w:r>
      <w:r w:rsidRPr="0117CC5D">
        <w:rPr>
          <w:rStyle w:val="EndnoteReference"/>
          <w:rFonts w:cs="Open Sans"/>
        </w:rPr>
        <w:endnoteReference w:id="441"/>
      </w:r>
      <w:r w:rsidRPr="00A45753">
        <w:rPr>
          <w:rFonts w:cs="Open Sans"/>
        </w:rPr>
        <w:t xml:space="preserve"> They argued that this would address the issue of people born with variations in sex characteristics living in smaller locations not being identified and therefore not receiving adequate multidisciplinary care. </w:t>
      </w:r>
    </w:p>
    <w:p w:rsidRPr="00A45753" w:rsidR="00810FD7" w:rsidP="00810FD7" w:rsidRDefault="00810FD7" w14:paraId="1F45D8F6" w14:textId="4333B76C">
      <w:pPr>
        <w:rPr>
          <w:rFonts w:cs="Open Sans"/>
        </w:rPr>
      </w:pPr>
      <w:r w:rsidRPr="00A45753">
        <w:rPr>
          <w:rFonts w:cs="Open Sans"/>
        </w:rPr>
        <w:t xml:space="preserve">The Royal Australian </w:t>
      </w:r>
      <w:r>
        <w:rPr>
          <w:rFonts w:cs="Open Sans"/>
        </w:rPr>
        <w:t xml:space="preserve">and </w:t>
      </w:r>
      <w:r w:rsidRPr="00A45753">
        <w:rPr>
          <w:rFonts w:cs="Open Sans"/>
        </w:rPr>
        <w:t>New Zealand College of Psychiatrists (RANZCP) stated its support for</w:t>
      </w:r>
    </w:p>
    <w:p w:rsidRPr="00A45753" w:rsidR="00810FD7" w:rsidP="00810FD7" w:rsidRDefault="00810FD7" w14:paraId="55A121DE" w14:textId="77777777">
      <w:pPr>
        <w:ind w:left="720"/>
        <w:rPr>
          <w:rFonts w:cs="Open Sans"/>
          <w:sz w:val="22"/>
          <w:szCs w:val="22"/>
        </w:rPr>
      </w:pPr>
      <w:r w:rsidRPr="00A45753">
        <w:rPr>
          <w:rFonts w:cs="Open Sans"/>
          <w:sz w:val="22"/>
          <w:szCs w:val="22"/>
        </w:rPr>
        <w:t>a framework wherein all people born with variations in sex characteristics have access to long term support and management …</w:t>
      </w:r>
      <w:r>
        <w:rPr>
          <w:rFonts w:cs="Open Sans"/>
          <w:sz w:val="22"/>
          <w:szCs w:val="22"/>
        </w:rPr>
        <w:t xml:space="preserve"> </w:t>
      </w:r>
      <w:r w:rsidRPr="00A45753">
        <w:rPr>
          <w:rFonts w:cs="Open Sans"/>
          <w:sz w:val="22"/>
          <w:szCs w:val="22"/>
        </w:rPr>
        <w:t>to ensure that medical decisions can be made at times in a person’s life that they feel are right for them.</w:t>
      </w:r>
      <w:r w:rsidRPr="0117CC5D">
        <w:rPr>
          <w:rStyle w:val="EndnoteReference"/>
          <w:rFonts w:cs="Open Sans"/>
        </w:rPr>
        <w:endnoteReference w:id="442"/>
      </w:r>
      <w:r w:rsidRPr="00A45753">
        <w:rPr>
          <w:rFonts w:cs="Open Sans"/>
          <w:sz w:val="22"/>
          <w:szCs w:val="22"/>
        </w:rPr>
        <w:t xml:space="preserve"> </w:t>
      </w:r>
    </w:p>
    <w:p w:rsidRPr="00A45753" w:rsidR="00810FD7" w:rsidP="00810FD7" w:rsidRDefault="00810FD7" w14:paraId="219D2CF3" w14:textId="77777777">
      <w:pPr>
        <w:tabs>
          <w:tab w:val="left" w:pos="1698"/>
        </w:tabs>
        <w:spacing w:before="0" w:after="0"/>
        <w:rPr>
          <w:rFonts w:cs="Open Sans"/>
        </w:rPr>
      </w:pPr>
      <w:r w:rsidRPr="00A45753">
        <w:rPr>
          <w:rFonts w:cs="Open Sans"/>
        </w:rPr>
        <w:t xml:space="preserve">There was support across stakeholder groups for well-resourced multidisciplinary teams, consistent with recommended international best practice. </w:t>
      </w:r>
    </w:p>
    <w:p w:rsidRPr="00A45753" w:rsidR="00810FD7" w:rsidP="00810FD7" w:rsidRDefault="00810FD7" w14:paraId="25D21DF3" w14:textId="32107EC1">
      <w:pPr>
        <w:rPr>
          <w:rFonts w:cs="Open Sans"/>
        </w:rPr>
      </w:pPr>
      <w:r w:rsidRPr="00A45753">
        <w:rPr>
          <w:rFonts w:cs="Open Sans"/>
        </w:rPr>
        <w:lastRenderedPageBreak/>
        <w:t>Some stakeholders advocated for ‘cross-institutional’ collaboration to ensure that multiple perspectives are considered when contemplating treatment, particularly in more complex cases. One MDT member advocated the creation of a single, national multidisciplinary team to consider cases and provide assurance as to whether proposed treatment is based on the best contemporary evidence and would be carried out with appropriate expertise.</w:t>
      </w:r>
      <w:r w:rsidRPr="0117CC5D">
        <w:rPr>
          <w:rStyle w:val="EndnoteReference"/>
          <w:rFonts w:cs="Open Sans"/>
        </w:rPr>
        <w:endnoteReference w:id="443"/>
      </w:r>
      <w:r w:rsidRPr="00A45753">
        <w:rPr>
          <w:rFonts w:cs="Open Sans"/>
        </w:rPr>
        <w:t xml:space="preserve"> Such a team should</w:t>
      </w:r>
    </w:p>
    <w:p w:rsidRPr="00A45753" w:rsidR="00810FD7" w:rsidP="002F7D27" w:rsidRDefault="00810FD7" w14:paraId="08D3CB8C" w14:textId="77777777">
      <w:pPr>
        <w:pStyle w:val="ListParagraph"/>
        <w:numPr>
          <w:ilvl w:val="0"/>
          <w:numId w:val="51"/>
        </w:numPr>
        <w:rPr>
          <w:rFonts w:cs="Open Sans"/>
          <w:sz w:val="22"/>
          <w:szCs w:val="22"/>
        </w:rPr>
      </w:pPr>
      <w:r w:rsidRPr="00A45753">
        <w:rPr>
          <w:rFonts w:cs="Open Sans"/>
          <w:sz w:val="22"/>
          <w:szCs w:val="22"/>
        </w:rPr>
        <w:t>make and preserve systematic documentation of the matters coming before it, including rationales cited in favour of intervention and different opinions as to appropriate clinical management</w:t>
      </w:r>
    </w:p>
    <w:p w:rsidRPr="00A45753" w:rsidR="00810FD7" w:rsidP="002F7D27" w:rsidRDefault="00810FD7" w14:paraId="40346C49" w14:textId="77777777">
      <w:pPr>
        <w:pStyle w:val="ListParagraph"/>
        <w:numPr>
          <w:ilvl w:val="0"/>
          <w:numId w:val="51"/>
        </w:numPr>
        <w:rPr>
          <w:rFonts w:cs="Open Sans"/>
          <w:sz w:val="22"/>
          <w:szCs w:val="22"/>
        </w:rPr>
      </w:pPr>
      <w:r w:rsidRPr="00A45753">
        <w:rPr>
          <w:rFonts w:cs="Open Sans"/>
          <w:sz w:val="22"/>
          <w:szCs w:val="22"/>
        </w:rPr>
        <w:t>undertake regular review of ongoing future treatment, especially for complex cases</w:t>
      </w:r>
    </w:p>
    <w:p w:rsidRPr="00A45753" w:rsidR="00810FD7" w:rsidP="002F7D27" w:rsidRDefault="00810FD7" w14:paraId="362B0FBA" w14:textId="77777777">
      <w:pPr>
        <w:pStyle w:val="ListParagraph"/>
        <w:numPr>
          <w:ilvl w:val="0"/>
          <w:numId w:val="51"/>
        </w:numPr>
        <w:rPr>
          <w:rFonts w:cs="Open Sans"/>
          <w:sz w:val="22"/>
          <w:szCs w:val="22"/>
        </w:rPr>
      </w:pPr>
      <w:r w:rsidRPr="00A45753">
        <w:rPr>
          <w:rFonts w:cs="Open Sans"/>
          <w:sz w:val="22"/>
          <w:szCs w:val="22"/>
        </w:rPr>
        <w:t>have access to an expert reference group, along the lines being developed in New Zealand.</w:t>
      </w:r>
      <w:r w:rsidRPr="0117CC5D">
        <w:rPr>
          <w:rStyle w:val="EndnoteReference"/>
          <w:rFonts w:cs="Open Sans"/>
        </w:rPr>
        <w:endnoteReference w:id="444"/>
      </w:r>
      <w:r w:rsidRPr="00A45753">
        <w:rPr>
          <w:rFonts w:cs="Open Sans"/>
          <w:sz w:val="22"/>
          <w:szCs w:val="22"/>
        </w:rPr>
        <w:t xml:space="preserve"> </w:t>
      </w:r>
    </w:p>
    <w:p w:rsidRPr="00A45753" w:rsidR="00810FD7" w:rsidP="00810FD7" w:rsidRDefault="00810FD7" w14:paraId="2D0718EE" w14:textId="77777777">
      <w:pPr>
        <w:rPr>
          <w:rFonts w:cs="Open Sans"/>
        </w:rPr>
      </w:pPr>
      <w:r w:rsidRPr="00A45753">
        <w:rPr>
          <w:rFonts w:cs="Open Sans"/>
        </w:rPr>
        <w:t>Stakeholders said that these and other systematic practices, including adoption of formal terms of reference, are currently used by some MDTs</w:t>
      </w:r>
      <w:r>
        <w:rPr>
          <w:rFonts w:cs="Open Sans"/>
        </w:rPr>
        <w:t xml:space="preserve"> in Australia</w:t>
      </w:r>
      <w:r w:rsidRPr="00A45753">
        <w:rPr>
          <w:rFonts w:cs="Open Sans"/>
        </w:rPr>
        <w:t>.</w:t>
      </w:r>
      <w:r w:rsidRPr="0117CC5D">
        <w:rPr>
          <w:rStyle w:val="EndnoteReference"/>
        </w:rPr>
        <w:endnoteReference w:id="445"/>
      </w:r>
    </w:p>
    <w:p w:rsidRPr="00A45753" w:rsidR="00810FD7" w:rsidP="00810FD7" w:rsidRDefault="00810FD7" w14:paraId="04542B72" w14:textId="77777777">
      <w:pPr>
        <w:rPr>
          <w:rFonts w:cs="Open Sans"/>
        </w:rPr>
      </w:pPr>
      <w:r w:rsidRPr="00A45753">
        <w:rPr>
          <w:rFonts w:cs="Open Sans"/>
        </w:rPr>
        <w:t>One MDT member stated that there is great benefit ‘when the MDT comprises individuals who are not the immediate care providers</w:t>
      </w:r>
      <w:r>
        <w:rPr>
          <w:rFonts w:cs="Open Sans"/>
        </w:rPr>
        <w:t>’</w:t>
      </w:r>
      <w:r w:rsidRPr="00A45753">
        <w:rPr>
          <w:rFonts w:cs="Open Sans"/>
        </w:rPr>
        <w:t xml:space="preserve">. They argued that </w:t>
      </w:r>
      <w:r>
        <w:rPr>
          <w:rFonts w:cs="Open Sans"/>
        </w:rPr>
        <w:t xml:space="preserve">the </w:t>
      </w:r>
      <w:r w:rsidRPr="00A45753">
        <w:rPr>
          <w:rFonts w:cs="Open Sans"/>
        </w:rPr>
        <w:t xml:space="preserve">pooling of a broader range of </w:t>
      </w:r>
      <w:r>
        <w:rPr>
          <w:rFonts w:cs="Open Sans"/>
        </w:rPr>
        <w:t xml:space="preserve">experience, </w:t>
      </w:r>
      <w:r w:rsidRPr="00A45753">
        <w:rPr>
          <w:rFonts w:cs="Open Sans"/>
        </w:rPr>
        <w:t>expertise and perspectives would be valuable and can assist when some of the medical diagnoses are rare and complex. However, ‘the process of seeking external consultation and peer review is difficult in centres where there are few clinicians managing patients with DSD</w:t>
      </w:r>
      <w:r>
        <w:rPr>
          <w:rFonts w:cs="Open Sans"/>
        </w:rPr>
        <w:t>’</w:t>
      </w:r>
      <w:r w:rsidRPr="00A45753">
        <w:rPr>
          <w:rFonts w:cs="Open Sans"/>
        </w:rPr>
        <w:t>.</w:t>
      </w:r>
      <w:r w:rsidRPr="0117CC5D">
        <w:rPr>
          <w:rStyle w:val="EndnoteReference"/>
          <w:rFonts w:cs="Open Sans"/>
        </w:rPr>
        <w:endnoteReference w:id="446"/>
      </w:r>
    </w:p>
    <w:p w:rsidRPr="00A45753" w:rsidR="00810FD7" w:rsidP="00810FD7" w:rsidRDefault="00810FD7" w14:paraId="2C1364BF" w14:textId="77777777">
      <w:pPr>
        <w:rPr>
          <w:rFonts w:cs="Open Sans"/>
        </w:rPr>
      </w:pPr>
      <w:r w:rsidRPr="00A45753">
        <w:rPr>
          <w:rFonts w:cs="Open Sans"/>
        </w:rPr>
        <w:t xml:space="preserve">Advocacy organisations agreed that MDTs were desirable, </w:t>
      </w:r>
      <w:r>
        <w:rPr>
          <w:rFonts w:cs="Open Sans"/>
        </w:rPr>
        <w:t>al</w:t>
      </w:r>
      <w:r w:rsidRPr="00A45753">
        <w:rPr>
          <w:rFonts w:cs="Open Sans"/>
        </w:rPr>
        <w:t>though they cautioned that without human rights compliant standards, MDTs alone would not guarantee human rights-compliant practice. That is, it is necessary to have human-rights compliant standards of care to complement multidisciplinary approaches.</w:t>
      </w:r>
      <w:r w:rsidRPr="0117CC5D">
        <w:rPr>
          <w:rStyle w:val="EndnoteReference"/>
          <w:rFonts w:cs="Open Sans"/>
        </w:rPr>
        <w:endnoteReference w:id="447"/>
      </w:r>
      <w:r w:rsidRPr="00A45753">
        <w:rPr>
          <w:rFonts w:cs="Open Sans"/>
        </w:rPr>
        <w:t xml:space="preserve"> </w:t>
      </w:r>
    </w:p>
    <w:p w:rsidRPr="00671509" w:rsidR="00810FD7" w:rsidP="00810FD7" w:rsidRDefault="00810FD7" w14:paraId="7F0CACEE" w14:textId="3DDB87C2">
      <w:pPr>
        <w:rPr>
          <w:rFonts w:eastAsia="Times New Roman"/>
        </w:rPr>
      </w:pPr>
      <w:r w:rsidRPr="00A45753">
        <w:rPr>
          <w:rFonts w:cs="Open Sans"/>
        </w:rPr>
        <w:t>Parent groups also expressed support for multidisciplinary team care.</w:t>
      </w:r>
      <w:r w:rsidRPr="0117CC5D">
        <w:rPr>
          <w:rStyle w:val="EndnoteReference"/>
          <w:rFonts w:cs="Open Sans"/>
        </w:rPr>
        <w:endnoteReference w:id="448"/>
      </w:r>
      <w:r w:rsidRPr="00A45753">
        <w:rPr>
          <w:rFonts w:cs="Open Sans"/>
        </w:rPr>
        <w:t xml:space="preserve"> </w:t>
      </w:r>
      <w:r>
        <w:rPr>
          <w:rFonts w:eastAsia="Times New Roman"/>
        </w:rPr>
        <w:t xml:space="preserve"> </w:t>
      </w:r>
      <w:r w:rsidRPr="00A45753">
        <w:rPr>
          <w:rFonts w:cs="Open Sans"/>
        </w:rPr>
        <w:t>Other clinical and parental stakeholders argued that creating or involving any entity external to the treating team or institution is ‘unnecessary and impractical’, on the grounds that</w:t>
      </w:r>
    </w:p>
    <w:p w:rsidRPr="00A45753" w:rsidR="00810FD7" w:rsidP="002F7D27" w:rsidRDefault="00810FD7" w14:paraId="2453137C" w14:textId="77777777">
      <w:pPr>
        <w:pStyle w:val="ListParagraph"/>
        <w:numPr>
          <w:ilvl w:val="0"/>
          <w:numId w:val="50"/>
        </w:numPr>
        <w:rPr>
          <w:rFonts w:cs="Open Sans"/>
        </w:rPr>
      </w:pPr>
      <w:r w:rsidRPr="00A45753">
        <w:rPr>
          <w:rFonts w:cs="Open Sans"/>
        </w:rPr>
        <w:t>some treatments are highly time-sensitive</w:t>
      </w:r>
    </w:p>
    <w:p w:rsidRPr="00A45753" w:rsidR="00810FD7" w:rsidP="002F7D27" w:rsidRDefault="00810FD7" w14:paraId="221F3A9D" w14:textId="77777777">
      <w:pPr>
        <w:pStyle w:val="ListParagraph"/>
        <w:numPr>
          <w:ilvl w:val="0"/>
          <w:numId w:val="50"/>
        </w:numPr>
        <w:rPr>
          <w:rFonts w:cs="Open Sans"/>
        </w:rPr>
      </w:pPr>
      <w:r w:rsidRPr="00A45753">
        <w:rPr>
          <w:rFonts w:cs="Open Sans"/>
        </w:rPr>
        <w:lastRenderedPageBreak/>
        <w:t>some treatments occur frequently, and can be addressed by minor surgery (eg</w:t>
      </w:r>
      <w:r>
        <w:rPr>
          <w:rFonts w:cs="Open Sans"/>
        </w:rPr>
        <w:t>,</w:t>
      </w:r>
      <w:r w:rsidRPr="00A45753">
        <w:rPr>
          <w:rFonts w:cs="Open Sans"/>
        </w:rPr>
        <w:t xml:space="preserve"> for mild hypospadias), without need for recourse to external expertise or scrutiny</w:t>
      </w:r>
    </w:p>
    <w:p w:rsidRPr="00A45753" w:rsidR="00810FD7" w:rsidP="002F7D27" w:rsidRDefault="00810FD7" w14:paraId="23186637" w14:textId="77777777">
      <w:pPr>
        <w:pStyle w:val="ListParagraph"/>
        <w:numPr>
          <w:ilvl w:val="0"/>
          <w:numId w:val="50"/>
        </w:numPr>
        <w:rPr>
          <w:rFonts w:cs="Open Sans"/>
        </w:rPr>
      </w:pPr>
      <w:r w:rsidRPr="00A45753">
        <w:rPr>
          <w:rFonts w:cs="Open Sans"/>
        </w:rPr>
        <w:t>the current system, which is highly collaborative and informed by extensive expertise across a multiplicity of specialisations, provides all the oversight required.</w:t>
      </w:r>
      <w:r w:rsidRPr="0117CC5D">
        <w:rPr>
          <w:rStyle w:val="EndnoteReference"/>
          <w:rFonts w:cs="Open Sans"/>
        </w:rPr>
        <w:endnoteReference w:id="449"/>
      </w:r>
    </w:p>
    <w:p w:rsidRPr="00A45753" w:rsidR="00810FD7" w:rsidP="00907236" w:rsidRDefault="00810FD7" w14:paraId="7A1602E6" w14:textId="77777777">
      <w:pPr>
        <w:pStyle w:val="Heading2"/>
      </w:pPr>
      <w:bookmarkStart w:name="_Toc79700366" w:id="339"/>
      <w:bookmarkStart w:name="_Toc85541446" w:id="340"/>
      <w:r>
        <w:t>Better access to multidisciplinary care</w:t>
      </w:r>
      <w:bookmarkEnd w:id="339"/>
      <w:bookmarkEnd w:id="340"/>
    </w:p>
    <w:p w:rsidRPr="00A45753" w:rsidR="00810FD7" w:rsidP="00810FD7" w:rsidRDefault="00810FD7" w14:paraId="397A373A" w14:textId="77777777">
      <w:pPr>
        <w:rPr>
          <w:rFonts w:cs="Open Sans"/>
          <w:b/>
          <w:bCs/>
        </w:rPr>
      </w:pPr>
      <w:r>
        <w:rPr>
          <w:rFonts w:cs="Open Sans"/>
          <w:b/>
          <w:bCs/>
        </w:rPr>
        <w:t xml:space="preserve">Recommendation 5: </w:t>
      </w:r>
      <w:r w:rsidRPr="009E7EAB">
        <w:rPr>
          <w:rFonts w:cs="Open Sans"/>
          <w:b/>
          <w:bCs/>
        </w:rPr>
        <w:t>All people born with variations in sex characteristics should have access to comprehensive, appropriately</w:t>
      </w:r>
      <w:r>
        <w:rPr>
          <w:rFonts w:cs="Open Sans"/>
          <w:b/>
          <w:bCs/>
        </w:rPr>
        <w:t xml:space="preserve"> qualified</w:t>
      </w:r>
      <w:r w:rsidRPr="009E7EAB">
        <w:rPr>
          <w:rFonts w:cs="Open Sans"/>
          <w:b/>
          <w:bCs/>
        </w:rPr>
        <w:t xml:space="preserve"> multidisciplinary care, with input from mental health and other key professionals, and other people with variations. Care should be available across their lifespan and regardless of where they live. </w:t>
      </w:r>
    </w:p>
    <w:p w:rsidRPr="00A45753" w:rsidR="00810FD7" w:rsidP="00810FD7" w:rsidRDefault="00810FD7" w14:paraId="20A587B6" w14:textId="77777777">
      <w:pPr>
        <w:rPr>
          <w:rFonts w:cs="Open Sans"/>
        </w:rPr>
      </w:pPr>
      <w:r w:rsidRPr="00A45753">
        <w:rPr>
          <w:rFonts w:cs="Open Sans"/>
        </w:rPr>
        <w:t xml:space="preserve">Comprehensive multidisciplinary care is the cornerstone of best clinical management. This is because variations in sex characteristics can be complex and require the expertise of a range of clinical specialities. The 2006 Consensus Statement and </w:t>
      </w:r>
      <w:r>
        <w:rPr>
          <w:rFonts w:cs="Open Sans"/>
        </w:rPr>
        <w:t xml:space="preserve">the 2016 </w:t>
      </w:r>
      <w:r w:rsidRPr="00A45753">
        <w:rPr>
          <w:rFonts w:cs="Open Sans"/>
        </w:rPr>
        <w:t xml:space="preserve">Update call for this. Clinicians and people with lived experience </w:t>
      </w:r>
      <w:r w:rsidRPr="177D145B">
        <w:rPr>
          <w:rFonts w:cs="Open Sans"/>
        </w:rPr>
        <w:t xml:space="preserve">of variations in sex characteristics </w:t>
      </w:r>
      <w:r w:rsidRPr="00A45753">
        <w:rPr>
          <w:rFonts w:cs="Open Sans"/>
        </w:rPr>
        <w:t xml:space="preserve">have also expressed this view in submissions and elsewhere. </w:t>
      </w:r>
    </w:p>
    <w:p w:rsidRPr="00A45753" w:rsidR="00810FD7" w:rsidP="00810FD7" w:rsidRDefault="00810FD7" w14:paraId="09540A37" w14:textId="77777777">
      <w:pPr>
        <w:rPr>
          <w:rFonts w:cs="Open Sans"/>
        </w:rPr>
      </w:pPr>
      <w:r w:rsidRPr="00A45753">
        <w:rPr>
          <w:rFonts w:cs="Open Sans"/>
        </w:rPr>
        <w:t xml:space="preserve">Comprehensive multidisciplinary care must include mental </w:t>
      </w:r>
      <w:r>
        <w:rPr>
          <w:rFonts w:cs="Open Sans"/>
        </w:rPr>
        <w:t>health</w:t>
      </w:r>
      <w:r w:rsidRPr="00A45753">
        <w:rPr>
          <w:rFonts w:cs="Open Sans"/>
        </w:rPr>
        <w:t xml:space="preserve"> professionals. </w:t>
      </w:r>
      <w:r>
        <w:rPr>
          <w:rFonts w:cs="Open Sans"/>
        </w:rPr>
        <w:t xml:space="preserve">Such </w:t>
      </w:r>
      <w:r w:rsidRPr="00A45753">
        <w:rPr>
          <w:rFonts w:cs="Open Sans"/>
        </w:rPr>
        <w:t xml:space="preserve">expertise in the psychological dimensions of variations in sex characteristics is crucial. </w:t>
      </w:r>
      <w:r>
        <w:rPr>
          <w:rFonts w:cs="Open Sans"/>
        </w:rPr>
        <w:t>These</w:t>
      </w:r>
      <w:r w:rsidRPr="00A45753">
        <w:rPr>
          <w:rFonts w:cs="Open Sans"/>
        </w:rPr>
        <w:t xml:space="preserve"> dimensions include notions of typical and atypical bodies</w:t>
      </w:r>
      <w:r>
        <w:rPr>
          <w:rFonts w:cs="Open Sans"/>
        </w:rPr>
        <w:t>;</w:t>
      </w:r>
      <w:r w:rsidRPr="00A45753">
        <w:rPr>
          <w:rFonts w:cs="Open Sans"/>
        </w:rPr>
        <w:t xml:space="preserve"> family, social and cultural </w:t>
      </w:r>
      <w:r>
        <w:rPr>
          <w:rFonts w:cs="Open Sans"/>
        </w:rPr>
        <w:t xml:space="preserve">considerations; </w:t>
      </w:r>
      <w:r w:rsidRPr="00A45753">
        <w:rPr>
          <w:rFonts w:cs="Open Sans"/>
        </w:rPr>
        <w:t xml:space="preserve">and concerns about social acceptance and bullying. The Commission understands that mental health professionals are currently not often included in MDTs. Access to mental health services more generally was identified </w:t>
      </w:r>
      <w:r>
        <w:rPr>
          <w:rFonts w:cs="Open Sans"/>
        </w:rPr>
        <w:t xml:space="preserve">as </w:t>
      </w:r>
      <w:r w:rsidRPr="00A45753">
        <w:rPr>
          <w:rFonts w:cs="Open Sans"/>
        </w:rPr>
        <w:t xml:space="preserve">a significant concern by a range of clinical and non-clinical stakeholders. </w:t>
      </w:r>
    </w:p>
    <w:p w:rsidRPr="00A45753" w:rsidR="00810FD7" w:rsidP="00810FD7" w:rsidRDefault="00810FD7" w14:paraId="7818A330" w14:textId="77777777">
      <w:pPr>
        <w:rPr>
          <w:rFonts w:cs="Open Sans"/>
        </w:rPr>
      </w:pPr>
      <w:r>
        <w:rPr>
          <w:rFonts w:cs="Open Sans"/>
        </w:rPr>
        <w:t>M</w:t>
      </w:r>
      <w:r w:rsidRPr="00A45753">
        <w:rPr>
          <w:rFonts w:cs="Open Sans"/>
        </w:rPr>
        <w:t xml:space="preserve">ultidisciplinary teams should also include people with lived experience </w:t>
      </w:r>
      <w:r w:rsidRPr="177D145B">
        <w:rPr>
          <w:rFonts w:cs="Open Sans"/>
        </w:rPr>
        <w:t>of variations in sex characteristics</w:t>
      </w:r>
      <w:r w:rsidRPr="00A45753">
        <w:rPr>
          <w:rFonts w:cs="Open Sans"/>
        </w:rPr>
        <w:t xml:space="preserve">. In the Commission’s view, this would enhance the deliberations of MDTs. It would provide important insights into the lifetime </w:t>
      </w:r>
      <w:r w:rsidRPr="00A45753">
        <w:rPr>
          <w:rFonts w:cs="Open Sans"/>
        </w:rPr>
        <w:lastRenderedPageBreak/>
        <w:t>experiences of living with a variation, including from individuals who did and did not experience interventions. Such insights may be of great value, given the paucity of information about the long-term outcomes of intervention.</w:t>
      </w:r>
      <w:r w:rsidRPr="00A45753">
        <w:rPr>
          <w:rStyle w:val="EndnoteReference"/>
          <w:rFonts w:cs="Open Sans"/>
        </w:rPr>
        <w:endnoteReference w:id="450"/>
      </w:r>
      <w:r w:rsidRPr="00A45753">
        <w:rPr>
          <w:rFonts w:cs="Open Sans"/>
        </w:rPr>
        <w:t xml:space="preserve">  </w:t>
      </w:r>
    </w:p>
    <w:p w:rsidRPr="00A45753" w:rsidR="00810FD7" w:rsidP="00810FD7" w:rsidRDefault="00810FD7" w14:paraId="64396604" w14:textId="77777777">
      <w:pPr>
        <w:rPr>
          <w:rFonts w:cs="Open Sans"/>
        </w:rPr>
      </w:pPr>
      <w:r w:rsidRPr="00A45753">
        <w:rPr>
          <w:rFonts w:cs="Open Sans"/>
        </w:rPr>
        <w:t xml:space="preserve">Multidisciplinary care needs to be included from the first point a person and their family come in contact with </w:t>
      </w:r>
      <w:r>
        <w:rPr>
          <w:rFonts w:cs="Open Sans"/>
        </w:rPr>
        <w:t>the</w:t>
      </w:r>
      <w:r w:rsidRPr="00A45753">
        <w:rPr>
          <w:rFonts w:cs="Open Sans"/>
        </w:rPr>
        <w:t xml:space="preserve"> healthcare system. Multidisciplinary care needs to be available across the lifespan of the individual. Particular attention is needed to ensure no loss to care during the transition time around late adolescence when moving from paediatric to adult care. Multidisciplinary care should also be available regardless of location. </w:t>
      </w:r>
    </w:p>
    <w:p w:rsidRPr="00A45753" w:rsidR="00810FD7" w:rsidP="00810FD7" w:rsidRDefault="00810FD7" w14:paraId="090B91C8" w14:textId="77777777">
      <w:pPr>
        <w:rPr>
          <w:rFonts w:cs="Open Sans"/>
        </w:rPr>
      </w:pPr>
      <w:r w:rsidRPr="00A45753">
        <w:rPr>
          <w:rFonts w:cs="Open Sans"/>
        </w:rPr>
        <w:t xml:space="preserve">Inadequate funding seems to be partially to blame for lack of access to mental health professionals. Similarly, the lack of comprehensive multidisciplinary healthcare across people’s lifespan seems to stem </w:t>
      </w:r>
      <w:r>
        <w:rPr>
          <w:rFonts w:cs="Open Sans"/>
        </w:rPr>
        <w:t xml:space="preserve">partly </w:t>
      </w:r>
      <w:r w:rsidRPr="00A45753">
        <w:rPr>
          <w:rFonts w:cs="Open Sans"/>
        </w:rPr>
        <w:t>from inadequate funding. Inequitable access to multidisciplinary care due to geography may also partly be attributed to inadequate funding for MDTs in places that people born with variations in sex characteristics are born or live.</w:t>
      </w:r>
    </w:p>
    <w:p w:rsidRPr="0097695D" w:rsidR="00810FD7" w:rsidP="004E1B63" w:rsidRDefault="00810FD7" w14:paraId="1BE44F78" w14:textId="377FA183">
      <w:pPr>
        <w:pStyle w:val="AHRCHeading2"/>
      </w:pPr>
      <w:bookmarkStart w:name="_Toc85541447" w:id="341"/>
      <w:r w:rsidRPr="0097695D">
        <w:t>Current clinical guidance</w:t>
      </w:r>
      <w:bookmarkEnd w:id="341"/>
    </w:p>
    <w:p w:rsidRPr="00A45753" w:rsidR="00810FD7" w:rsidDel="0079108F" w:rsidP="00810FD7" w:rsidRDefault="00810FD7" w14:paraId="20C96FB5" w14:textId="77777777">
      <w:pPr>
        <w:widowControl w:val="0"/>
        <w:rPr>
          <w:rFonts w:cs="Open Sans"/>
          <w:iCs/>
        </w:rPr>
      </w:pPr>
      <w:r w:rsidRPr="00A45753">
        <w:rPr>
          <w:rFonts w:cs="Open Sans"/>
        </w:rPr>
        <w:t xml:space="preserve">No </w:t>
      </w:r>
      <w:r>
        <w:rPr>
          <w:rFonts w:cs="Open Sans"/>
        </w:rPr>
        <w:t>national guidelines</w:t>
      </w:r>
      <w:r w:rsidRPr="00A45753">
        <w:rPr>
          <w:rFonts w:cs="Open Sans"/>
        </w:rPr>
        <w:t xml:space="preserve"> exist to inform the treatment of people born with variations in sex characteristics in Australia. One MDT referred to the</w:t>
      </w:r>
      <w:r>
        <w:rPr>
          <w:rFonts w:cs="Open Sans"/>
        </w:rPr>
        <w:t xml:space="preserve"> absence of guidelines to inform practice, stating t</w:t>
      </w:r>
      <w:r w:rsidRPr="007923FA">
        <w:t xml:space="preserve">his is </w:t>
      </w:r>
      <w:r>
        <w:t>‘</w:t>
      </w:r>
      <w:r w:rsidRPr="007923FA">
        <w:t>a complex and highly emotive area of medicine in which diverse opinions abound and evidence to guide practice is scarce</w:t>
      </w:r>
      <w:r>
        <w:t>’</w:t>
      </w:r>
      <w:r w:rsidRPr="007923FA">
        <w:t>.</w:t>
      </w:r>
      <w:r w:rsidRPr="0117CC5D">
        <w:rPr>
          <w:rStyle w:val="EndnoteReference"/>
          <w:rFonts w:cs="Open Sans"/>
        </w:rPr>
        <w:endnoteReference w:id="451"/>
      </w:r>
      <w:r w:rsidRPr="00A45753">
        <w:rPr>
          <w:rFonts w:cs="Open Sans"/>
        </w:rPr>
        <w:t xml:space="preserve"> </w:t>
      </w:r>
      <w:r w:rsidRPr="00A45753" w:rsidDel="0079108F">
        <w:rPr>
          <w:rFonts w:cs="Open Sans"/>
        </w:rPr>
        <w:t xml:space="preserve"> </w:t>
      </w:r>
    </w:p>
    <w:p w:rsidRPr="00A45753" w:rsidR="00810FD7" w:rsidP="00810FD7" w:rsidRDefault="00810FD7" w14:paraId="6ACF46AC" w14:textId="77777777">
      <w:pPr>
        <w:spacing w:before="0"/>
        <w:rPr>
          <w:rFonts w:cs="Open Sans"/>
        </w:rPr>
      </w:pPr>
      <w:r w:rsidRPr="00A45753">
        <w:rPr>
          <w:rFonts w:cs="Open Sans"/>
        </w:rPr>
        <w:t>However, some documents provide high-level guidance for medical practitioners. These include the 2006 Consensus Statement,</w:t>
      </w:r>
      <w:r w:rsidRPr="0117CC5D">
        <w:rPr>
          <w:rStyle w:val="EndnoteReference"/>
          <w:rFonts w:cs="Open Sans"/>
        </w:rPr>
        <w:endnoteReference w:id="452"/>
      </w:r>
      <w:r w:rsidRPr="00A45753">
        <w:rPr>
          <w:rFonts w:cs="Open Sans"/>
        </w:rPr>
        <w:t xml:space="preserve"> the 2016 Consensus Statement Update,</w:t>
      </w:r>
      <w:r w:rsidRPr="0117CC5D">
        <w:rPr>
          <w:rStyle w:val="EndnoteReference"/>
          <w:rFonts w:cs="Open Sans"/>
        </w:rPr>
        <w:endnoteReference w:id="453"/>
      </w:r>
      <w:r w:rsidRPr="00A45753">
        <w:rPr>
          <w:rFonts w:cs="Open Sans"/>
        </w:rPr>
        <w:t xml:space="preserve"> which are international guidance documents, and the </w:t>
      </w:r>
      <w:r>
        <w:rPr>
          <w:rFonts w:cs="Open Sans"/>
        </w:rPr>
        <w:t xml:space="preserve">2013 </w:t>
      </w:r>
      <w:r w:rsidRPr="00A45753">
        <w:rPr>
          <w:rFonts w:cs="Open Sans"/>
        </w:rPr>
        <w:t>Victorian Decision-Making Principles.</w:t>
      </w:r>
      <w:r w:rsidRPr="0117CC5D">
        <w:rPr>
          <w:rStyle w:val="EndnoteReference"/>
          <w:rFonts w:cs="Open Sans"/>
        </w:rPr>
        <w:endnoteReference w:id="454"/>
      </w:r>
      <w:r w:rsidRPr="00A45753">
        <w:rPr>
          <w:rFonts w:cs="Open Sans"/>
        </w:rPr>
        <w:t xml:space="preserve">   </w:t>
      </w:r>
    </w:p>
    <w:p w:rsidRPr="00A45753" w:rsidR="00810FD7" w:rsidP="00810FD7" w:rsidRDefault="00810FD7" w14:paraId="2CD71F1C" w14:textId="77777777">
      <w:pPr>
        <w:spacing w:before="0"/>
        <w:rPr>
          <w:rFonts w:cs="Open Sans"/>
        </w:rPr>
      </w:pPr>
      <w:r w:rsidRPr="00A45753">
        <w:rPr>
          <w:rFonts w:cs="Open Sans"/>
        </w:rPr>
        <w:t xml:space="preserve">Endocrinologists referred to the 2006 Consensus Statement, including its 2016 </w:t>
      </w:r>
      <w:r>
        <w:rPr>
          <w:rFonts w:cs="Open Sans"/>
        </w:rPr>
        <w:t>U</w:t>
      </w:r>
      <w:r w:rsidRPr="00A45753">
        <w:rPr>
          <w:rFonts w:cs="Open Sans"/>
        </w:rPr>
        <w:t xml:space="preserve">pdate, as providing guidance for clinicians in Australia. APEG contributed to and endorsed the 2016 </w:t>
      </w:r>
      <w:r>
        <w:rPr>
          <w:rFonts w:cs="Open Sans"/>
        </w:rPr>
        <w:t>U</w:t>
      </w:r>
      <w:r w:rsidRPr="00A45753">
        <w:rPr>
          <w:rFonts w:cs="Open Sans"/>
        </w:rPr>
        <w:t xml:space="preserve">pdate. </w:t>
      </w:r>
    </w:p>
    <w:p w:rsidRPr="00A45753" w:rsidR="00810FD7" w:rsidP="00810FD7" w:rsidRDefault="00810FD7" w14:paraId="53D13AEE" w14:textId="43B276D8">
      <w:pPr>
        <w:pStyle w:val="Heading3"/>
      </w:pPr>
      <w:bookmarkStart w:name="_Toc85541448" w:id="342"/>
      <w:r w:rsidRPr="00A45753">
        <w:t xml:space="preserve">The 2006 Consensus Statement and </w:t>
      </w:r>
      <w:r w:rsidR="3FE74141">
        <w:t xml:space="preserve">2016 </w:t>
      </w:r>
      <w:r w:rsidRPr="00A45753">
        <w:t>Update</w:t>
      </w:r>
      <w:bookmarkEnd w:id="342"/>
    </w:p>
    <w:p w:rsidRPr="00A45753" w:rsidR="00810FD7" w:rsidP="00810FD7" w:rsidRDefault="00810FD7" w14:paraId="1CCE9A6C" w14:textId="77777777">
      <w:pPr>
        <w:spacing w:before="0"/>
        <w:rPr>
          <w:rFonts w:cs="Open Sans"/>
        </w:rPr>
      </w:pPr>
      <w:r w:rsidRPr="00A45753">
        <w:rPr>
          <w:rFonts w:cs="Open Sans"/>
        </w:rPr>
        <w:t xml:space="preserve">The 2006 Consensus Statement was published in May 2006, following the 2005 Chicago Consensus Conference. It was developed largely by European and North </w:t>
      </w:r>
      <w:r w:rsidRPr="00A45753">
        <w:rPr>
          <w:rFonts w:cs="Open Sans"/>
        </w:rPr>
        <w:lastRenderedPageBreak/>
        <w:t xml:space="preserve">American clinical experts. Working groups were created to work on discreet parts of the statement. The membership of these working groups was drawn from 50 international experts in the field. The 2016 Consensus Statement Update was published in January 2016. It was written as </w:t>
      </w:r>
      <w:r>
        <w:rPr>
          <w:rFonts w:cs="Open Sans"/>
        </w:rPr>
        <w:t>a</w:t>
      </w:r>
      <w:r w:rsidRPr="00A45753">
        <w:rPr>
          <w:rFonts w:cs="Open Sans"/>
        </w:rPr>
        <w:t xml:space="preserve"> collaboration of international experts from Europe and North America. </w:t>
      </w:r>
    </w:p>
    <w:p w:rsidRPr="00A45753" w:rsidR="00810FD7" w:rsidP="00810FD7" w:rsidRDefault="00810FD7" w14:paraId="3D06F288" w14:textId="77777777">
      <w:pPr>
        <w:pStyle w:val="Heading4"/>
      </w:pPr>
      <w:r w:rsidRPr="00A45753">
        <w:t>Purpose of statements</w:t>
      </w:r>
    </w:p>
    <w:p w:rsidRPr="00A45753" w:rsidR="00810FD7" w:rsidP="00810FD7" w:rsidRDefault="00810FD7" w14:paraId="4E932851" w14:textId="77777777">
      <w:pPr>
        <w:spacing w:before="0"/>
        <w:rPr>
          <w:rFonts w:cs="Open Sans"/>
        </w:rPr>
      </w:pPr>
      <w:r w:rsidRPr="00A45753">
        <w:rPr>
          <w:rFonts w:cs="Open Sans"/>
        </w:rPr>
        <w:t>The stated purpose of the 2006 Consensus Statement was to review the management of intersex disorders from a broad perspective, to review data on longer</w:t>
      </w:r>
      <w:r>
        <w:rPr>
          <w:rFonts w:cs="Open Sans"/>
        </w:rPr>
        <w:t>-</w:t>
      </w:r>
      <w:r w:rsidRPr="00A45753">
        <w:rPr>
          <w:rFonts w:cs="Open Sans"/>
        </w:rPr>
        <w:t>term outcome</w:t>
      </w:r>
      <w:r>
        <w:rPr>
          <w:rFonts w:cs="Open Sans"/>
        </w:rPr>
        <w:t>s</w:t>
      </w:r>
      <w:r w:rsidRPr="00A45753">
        <w:rPr>
          <w:rFonts w:cs="Open Sans"/>
        </w:rPr>
        <w:t xml:space="preserve"> and to formulate proposals for future studies</w:t>
      </w:r>
      <w:r>
        <w:rPr>
          <w:rStyle w:val="EndnoteReference"/>
          <w:rFonts w:cs="Open Sans"/>
        </w:rPr>
        <w:endnoteReference w:id="455"/>
      </w:r>
      <w:r w:rsidRPr="00A45753">
        <w:rPr>
          <w:rFonts w:cs="Open Sans"/>
        </w:rPr>
        <w:t>.</w:t>
      </w:r>
    </w:p>
    <w:p w:rsidRPr="00DD125D" w:rsidR="00810FD7" w:rsidP="00810FD7" w:rsidRDefault="00810FD7" w14:paraId="7E7E8E41" w14:textId="4A066FFC">
      <w:pPr>
        <w:spacing w:before="0"/>
        <w:rPr>
          <w:rFonts w:cs="Open Sans"/>
        </w:rPr>
      </w:pPr>
      <w:r>
        <w:rPr>
          <w:rFonts w:cs="Open Sans"/>
        </w:rPr>
        <w:t>T</w:t>
      </w:r>
      <w:r w:rsidRPr="00A45753">
        <w:rPr>
          <w:rFonts w:cs="Open Sans"/>
        </w:rPr>
        <w:t>he 2016 Consensus Statement Update</w:t>
      </w:r>
      <w:r>
        <w:rPr>
          <w:rFonts w:cs="Open Sans"/>
        </w:rPr>
        <w:t xml:space="preserve"> was intended to</w:t>
      </w:r>
      <w:r w:rsidRPr="00DD125D">
        <w:rPr>
          <w:rFonts w:cs="Open Sans"/>
        </w:rPr>
        <w:t xml:space="preserve"> address </w:t>
      </w:r>
      <w:r w:rsidR="00344FEC">
        <w:rPr>
          <w:rFonts w:cs="Open Sans"/>
        </w:rPr>
        <w:t>the evolution</w:t>
      </w:r>
      <w:r w:rsidRPr="00DD125D">
        <w:rPr>
          <w:rFonts w:cs="Open Sans"/>
        </w:rPr>
        <w:t xml:space="preserve"> in clinical approach since the 2005 Consensus Conference, given change in knowledge and viewpoints</w:t>
      </w:r>
      <w:r w:rsidRPr="003B5389">
        <w:rPr>
          <w:rFonts w:cs="Open Sans"/>
          <w:sz w:val="20"/>
          <w:szCs w:val="20"/>
        </w:rPr>
        <w:t>.</w:t>
      </w:r>
      <w:r w:rsidRPr="0117CC5D">
        <w:rPr>
          <w:rStyle w:val="EndnoteReference"/>
          <w:rFonts w:cs="Open Sans"/>
        </w:rPr>
        <w:endnoteReference w:id="456"/>
      </w:r>
    </w:p>
    <w:p w:rsidRPr="00A45753" w:rsidR="00810FD7" w:rsidP="00810FD7" w:rsidRDefault="00810FD7" w14:paraId="582443DB" w14:textId="77777777">
      <w:pPr>
        <w:spacing w:before="0"/>
        <w:rPr>
          <w:rFonts w:cs="Open Sans"/>
        </w:rPr>
      </w:pPr>
      <w:r w:rsidRPr="00A45753">
        <w:rPr>
          <w:rFonts w:cs="Open Sans"/>
        </w:rPr>
        <w:t xml:space="preserve">These documents are not binding. They are framed at a high level of generality, and do not discuss in detail the diagnosis or treatment approaches of all variations in sex characteristics, </w:t>
      </w:r>
      <w:r>
        <w:rPr>
          <w:rFonts w:cs="Open Sans"/>
        </w:rPr>
        <w:t>n</w:t>
      </w:r>
      <w:r w:rsidRPr="00A45753">
        <w:rPr>
          <w:rFonts w:cs="Open Sans"/>
        </w:rPr>
        <w:t xml:space="preserve">or </w:t>
      </w:r>
      <w:r>
        <w:rPr>
          <w:rFonts w:cs="Open Sans"/>
        </w:rPr>
        <w:t>do they set out</w:t>
      </w:r>
      <w:r w:rsidRPr="00A45753">
        <w:rPr>
          <w:rFonts w:cs="Open Sans"/>
        </w:rPr>
        <w:t xml:space="preserve"> best practice in providing medical care to people born with variations in sex characteristics in all circumstances. </w:t>
      </w:r>
    </w:p>
    <w:p w:rsidRPr="00A45753" w:rsidR="00810FD7" w:rsidP="00810FD7" w:rsidRDefault="00810FD7" w14:paraId="024C064C" w14:textId="77777777">
      <w:pPr>
        <w:pStyle w:val="Heading4"/>
      </w:pPr>
      <w:r w:rsidRPr="00A45753">
        <w:t xml:space="preserve">Scope of statements </w:t>
      </w:r>
    </w:p>
    <w:p w:rsidRPr="00A45753" w:rsidR="00810FD7" w:rsidP="00810FD7" w:rsidRDefault="00810FD7" w14:paraId="399A4E01" w14:textId="77777777">
      <w:pPr>
        <w:spacing w:before="0"/>
        <w:rPr>
          <w:rFonts w:cs="Open Sans"/>
        </w:rPr>
      </w:pPr>
      <w:r w:rsidRPr="00A45753">
        <w:rPr>
          <w:rFonts w:cs="Open Sans"/>
        </w:rPr>
        <w:t>The 2006 Consensus Statement addresses nomenclature and definitions, general concepts of care</w:t>
      </w:r>
      <w:r>
        <w:rPr>
          <w:rFonts w:cs="Open Sans"/>
        </w:rPr>
        <w:t>,</w:t>
      </w:r>
      <w:r w:rsidRPr="00A45753">
        <w:rPr>
          <w:rFonts w:cs="Open Sans"/>
        </w:rPr>
        <w:t xml:space="preserve"> including </w:t>
      </w:r>
      <w:r>
        <w:rPr>
          <w:rFonts w:cs="Open Sans"/>
        </w:rPr>
        <w:t>for example,</w:t>
      </w:r>
      <w:r w:rsidRPr="00A45753">
        <w:rPr>
          <w:rFonts w:cs="Open Sans"/>
        </w:rPr>
        <w:t xml:space="preserve"> multidisciplinary care, clinical evaluation, diagnostic evaluation, gender assignment in newborns, surgical management, sex steroid replacement, psychosocial management, outcomes, risk of gonadal tumours and cultural and social factors. </w:t>
      </w:r>
    </w:p>
    <w:p w:rsidRPr="00A45753" w:rsidR="00810FD7" w:rsidP="00810FD7" w:rsidRDefault="00810FD7" w14:paraId="6FAF3F46" w14:textId="77777777">
      <w:pPr>
        <w:spacing w:before="0"/>
        <w:rPr>
          <w:rFonts w:cs="Open Sans"/>
        </w:rPr>
      </w:pPr>
      <w:r w:rsidRPr="00A45753">
        <w:rPr>
          <w:rFonts w:cs="Open Sans"/>
        </w:rPr>
        <w:t>The 2016 Consensus Statement Update provides an update on the clinical evaluation of infants and older individuals with ambiguous genitalia including perceptions regarding male or female assignment. Topics include biochemical and genetic assessment, the risk of germ cell tumour development, approaches to psychosocial and psychosexual well-being and an update on support groups.</w:t>
      </w:r>
    </w:p>
    <w:p w:rsidRPr="00A45753" w:rsidR="00810FD7" w:rsidP="00810FD7" w:rsidRDefault="00810FD7" w14:paraId="311B5924" w14:textId="77777777">
      <w:pPr>
        <w:spacing w:before="0"/>
        <w:rPr>
          <w:rFonts w:cs="Open Sans"/>
        </w:rPr>
      </w:pPr>
      <w:r w:rsidRPr="00A45753">
        <w:lastRenderedPageBreak/>
        <w:t>Clinicians refer to the consensus statements as providing guidance, including on</w:t>
      </w:r>
      <w:r w:rsidRPr="00A45753">
        <w:rPr>
          <w:rFonts w:cs="Open Sans"/>
        </w:rPr>
        <w:t xml:space="preserve"> protocols for multidisciplinary management of patient cohorts including neonate inpatients, neonate outpatients, and child outpatients.</w:t>
      </w:r>
      <w:r w:rsidRPr="0117CC5D">
        <w:rPr>
          <w:rStyle w:val="EndnoteReference"/>
          <w:rFonts w:cs="Open Sans"/>
        </w:rPr>
        <w:endnoteReference w:id="457"/>
      </w:r>
    </w:p>
    <w:p w:rsidRPr="00A45753" w:rsidR="00810FD7" w:rsidP="00810FD7" w:rsidRDefault="00810FD7" w14:paraId="01378589" w14:textId="77777777">
      <w:pPr>
        <w:pStyle w:val="Heading4"/>
      </w:pPr>
      <w:r w:rsidRPr="00A45753">
        <w:t>Guidance on consent</w:t>
      </w:r>
      <w:r>
        <w:t>,</w:t>
      </w:r>
      <w:r w:rsidRPr="00A45753">
        <w:t xml:space="preserve"> children</w:t>
      </w:r>
      <w:r>
        <w:t>, medical necessity and rationales for intervention</w:t>
      </w:r>
    </w:p>
    <w:p w:rsidRPr="00A45753" w:rsidR="00810FD7" w:rsidP="00810FD7" w:rsidRDefault="00810FD7" w14:paraId="4A0A88E0" w14:textId="77777777">
      <w:pPr>
        <w:spacing w:before="0"/>
        <w:rPr>
          <w:rFonts w:cs="Open Sans"/>
        </w:rPr>
      </w:pPr>
      <w:r w:rsidRPr="00A45753">
        <w:rPr>
          <w:rFonts w:cs="Open Sans"/>
        </w:rPr>
        <w:t>The 2006 Consensus Statement</w:t>
      </w:r>
      <w:r>
        <w:rPr>
          <w:rFonts w:cs="Open Sans"/>
        </w:rPr>
        <w:t xml:space="preserve"> </w:t>
      </w:r>
      <w:r w:rsidRPr="00A45753">
        <w:rPr>
          <w:rFonts w:cs="Open Sans"/>
        </w:rPr>
        <w:t xml:space="preserve">and </w:t>
      </w:r>
      <w:r>
        <w:rPr>
          <w:rFonts w:cs="Open Sans"/>
        </w:rPr>
        <w:t>the 2016</w:t>
      </w:r>
      <w:r w:rsidRPr="00A45753">
        <w:rPr>
          <w:rFonts w:cs="Open Sans"/>
        </w:rPr>
        <w:t xml:space="preserve"> </w:t>
      </w:r>
      <w:r>
        <w:rPr>
          <w:rFonts w:cs="Open Sans"/>
        </w:rPr>
        <w:t xml:space="preserve">Consensus Statement </w:t>
      </w:r>
      <w:r w:rsidRPr="00A45753">
        <w:rPr>
          <w:rFonts w:cs="Open Sans"/>
        </w:rPr>
        <w:t>Update provide limited guidance on expectations for consent and decision</w:t>
      </w:r>
      <w:r>
        <w:rPr>
          <w:rFonts w:cs="Open Sans"/>
        </w:rPr>
        <w:t xml:space="preserve"> </w:t>
      </w:r>
      <w:r w:rsidRPr="00A45753">
        <w:rPr>
          <w:rFonts w:cs="Open Sans"/>
        </w:rPr>
        <w:t>making in the context of infants. They contain a paragraph with high-level recommendations, including sharing information about risks</w:t>
      </w:r>
      <w:r>
        <w:rPr>
          <w:rFonts w:cs="Open Sans"/>
        </w:rPr>
        <w:t xml:space="preserve"> and </w:t>
      </w:r>
      <w:r w:rsidRPr="00A45753">
        <w:rPr>
          <w:rFonts w:cs="Open Sans"/>
        </w:rPr>
        <w:t xml:space="preserve">benefits, articulating uncertainties in the care and outcomes of people born with variations in sex characteristics, and providing time for the </w:t>
      </w:r>
      <w:r>
        <w:rPr>
          <w:rFonts w:cs="Open Sans"/>
        </w:rPr>
        <w:t>person</w:t>
      </w:r>
      <w:r w:rsidRPr="00A45753">
        <w:rPr>
          <w:rFonts w:cs="Open Sans"/>
        </w:rPr>
        <w:t xml:space="preserve"> and family to </w:t>
      </w:r>
      <w:r>
        <w:rPr>
          <w:rFonts w:cs="Open Sans"/>
        </w:rPr>
        <w:t>demonstrate to the clinician that they have understood</w:t>
      </w:r>
      <w:r w:rsidRPr="00A45753">
        <w:rPr>
          <w:rFonts w:cs="Open Sans"/>
        </w:rPr>
        <w:t xml:space="preserve"> the risks and benefits of each option.</w:t>
      </w:r>
      <w:r w:rsidRPr="0117CC5D">
        <w:rPr>
          <w:rStyle w:val="EndnoteReference"/>
          <w:rFonts w:cs="Open Sans"/>
        </w:rPr>
        <w:endnoteReference w:id="458"/>
      </w:r>
      <w:r w:rsidRPr="00A45753" w:rsidDel="00902416">
        <w:rPr>
          <w:rFonts w:cs="Open Sans"/>
        </w:rPr>
        <w:t xml:space="preserve"> </w:t>
      </w:r>
    </w:p>
    <w:p w:rsidR="00810FD7" w:rsidP="00810FD7" w:rsidRDefault="00810FD7" w14:paraId="1131C462" w14:textId="77777777">
      <w:pPr>
        <w:spacing w:before="0"/>
        <w:rPr>
          <w:rFonts w:cs="Open Sans"/>
          <w:lang w:val="en-US"/>
        </w:rPr>
      </w:pPr>
      <w:r w:rsidRPr="00A45753">
        <w:rPr>
          <w:rFonts w:cs="Open Sans"/>
          <w:lang w:val="en-US"/>
        </w:rPr>
        <w:t>The 2006 Consensus Statement makes no reference at all to the concept of medical necessity.</w:t>
      </w:r>
      <w:r w:rsidRPr="0117CC5D">
        <w:rPr>
          <w:rStyle w:val="EndnoteReference"/>
          <w:rFonts w:cs="Open Sans"/>
          <w:lang w:val="en-US"/>
        </w:rPr>
        <w:endnoteReference w:id="459"/>
      </w:r>
      <w:r w:rsidRPr="00A45753">
        <w:rPr>
          <w:rFonts w:cs="Open Sans"/>
          <w:lang w:val="en-US"/>
        </w:rPr>
        <w:t xml:space="preserve"> </w:t>
      </w:r>
      <w:r w:rsidRPr="00A45753">
        <w:rPr>
          <w:rFonts w:cs="Open Sans"/>
        </w:rPr>
        <w:t>The 2016 Consensus Statement</w:t>
      </w:r>
      <w:r>
        <w:rPr>
          <w:rFonts w:cs="Open Sans"/>
        </w:rPr>
        <w:t xml:space="preserve"> Update</w:t>
      </w:r>
      <w:r w:rsidRPr="00A45753">
        <w:rPr>
          <w:rFonts w:cs="Open Sans"/>
        </w:rPr>
        <w:t xml:space="preserve"> acknowledges that </w:t>
      </w:r>
      <w:r w:rsidRPr="00A45753">
        <w:rPr>
          <w:rFonts w:cs="Open Sans"/>
          <w:lang w:val="en-US"/>
        </w:rPr>
        <w:t>there has been questioning of the parents’ ’right to consent to non-medically necessary irreversible procedures that may adversely affect the child’s future sexual function and/or reproductive capacity</w:t>
      </w:r>
      <w:r>
        <w:rPr>
          <w:rFonts w:cs="Open Sans"/>
          <w:lang w:val="en-US"/>
        </w:rPr>
        <w:t xml:space="preserve"> </w:t>
      </w:r>
      <w:r w:rsidRPr="00A45753">
        <w:rPr>
          <w:rFonts w:cs="Open Sans"/>
          <w:lang w:val="en-US"/>
        </w:rPr>
        <w:t>… particularly when such parental decisions preclude the child’s ability to be involved in decision making’.</w:t>
      </w:r>
      <w:r w:rsidRPr="0117CC5D">
        <w:rPr>
          <w:rStyle w:val="EndnoteReference"/>
          <w:rFonts w:cs="Open Sans"/>
          <w:lang w:val="en-US"/>
        </w:rPr>
        <w:endnoteReference w:id="460"/>
      </w:r>
      <w:r w:rsidRPr="00E8429B">
        <w:rPr>
          <w:rFonts w:cs="Open Sans"/>
          <w:sz w:val="20"/>
          <w:szCs w:val="20"/>
          <w:lang w:val="en-US"/>
        </w:rPr>
        <w:t xml:space="preserve"> </w:t>
      </w:r>
    </w:p>
    <w:p w:rsidRPr="00A45753" w:rsidR="00810FD7" w:rsidP="00810FD7" w:rsidRDefault="00810FD7" w14:paraId="3D479BB9" w14:textId="77777777">
      <w:pPr>
        <w:spacing w:before="0"/>
        <w:rPr>
          <w:rFonts w:cs="Open Sans"/>
          <w:lang w:val="en-US"/>
        </w:rPr>
      </w:pPr>
      <w:r w:rsidRPr="00A45753">
        <w:rPr>
          <w:rFonts w:cs="Open Sans"/>
          <w:lang w:val="en-US"/>
        </w:rPr>
        <w:t xml:space="preserve">However, </w:t>
      </w:r>
      <w:r>
        <w:rPr>
          <w:rFonts w:cs="Open Sans"/>
          <w:lang w:val="en-US"/>
        </w:rPr>
        <w:t>neither document</w:t>
      </w:r>
      <w:r w:rsidRPr="00A45753">
        <w:rPr>
          <w:rFonts w:cs="Open Sans"/>
          <w:lang w:val="en-US"/>
        </w:rPr>
        <w:t xml:space="preserve"> </w:t>
      </w:r>
      <w:r>
        <w:rPr>
          <w:rFonts w:cs="Open Sans"/>
          <w:lang w:val="en-US"/>
        </w:rPr>
        <w:t>defines</w:t>
      </w:r>
      <w:r w:rsidRPr="00A45753">
        <w:rPr>
          <w:rFonts w:cs="Open Sans"/>
          <w:lang w:val="en-US"/>
        </w:rPr>
        <w:t xml:space="preserve"> </w:t>
      </w:r>
      <w:r>
        <w:rPr>
          <w:rFonts w:cs="Open Sans"/>
          <w:lang w:val="en-US"/>
        </w:rPr>
        <w:t>‘medical necessity’</w:t>
      </w:r>
      <w:r w:rsidRPr="00A45753">
        <w:rPr>
          <w:rFonts w:cs="Open Sans"/>
          <w:lang w:val="en-US"/>
        </w:rPr>
        <w:t xml:space="preserve">. </w:t>
      </w:r>
      <w:r>
        <w:rPr>
          <w:rFonts w:cs="Open Sans"/>
          <w:lang w:val="en-US"/>
        </w:rPr>
        <w:t>Nor does either document</w:t>
      </w:r>
      <w:r w:rsidRPr="00A45753">
        <w:rPr>
          <w:rFonts w:cs="Open Sans"/>
          <w:lang w:val="en-US"/>
        </w:rPr>
        <w:t xml:space="preserve"> suggest that ‘non-medically necessary’</w:t>
      </w:r>
      <w:r>
        <w:rPr>
          <w:rFonts w:cs="Open Sans"/>
          <w:lang w:val="en-US"/>
        </w:rPr>
        <w:t xml:space="preserve"> </w:t>
      </w:r>
      <w:r w:rsidRPr="00A45753">
        <w:rPr>
          <w:rFonts w:cs="Open Sans"/>
          <w:lang w:val="en-US"/>
        </w:rPr>
        <w:t>interventions in such circumstances are inappropriate or</w:t>
      </w:r>
      <w:r>
        <w:rPr>
          <w:rFonts w:cs="Open Sans"/>
          <w:lang w:val="en-US"/>
        </w:rPr>
        <w:t>,</w:t>
      </w:r>
      <w:r w:rsidRPr="00A45753">
        <w:rPr>
          <w:rFonts w:cs="Open Sans"/>
          <w:lang w:val="en-US"/>
        </w:rPr>
        <w:t xml:space="preserve"> at the very least, to be discouraged. </w:t>
      </w:r>
    </w:p>
    <w:p w:rsidRPr="00A45753" w:rsidR="00810FD7" w:rsidP="00810FD7" w:rsidRDefault="00810FD7" w14:paraId="7F2DE3EA" w14:textId="77777777">
      <w:pPr>
        <w:widowControl w:val="0"/>
      </w:pPr>
      <w:r w:rsidRPr="00A45753">
        <w:t>The 2006 Consensus Statement and</w:t>
      </w:r>
      <w:r w:rsidRPr="00A45753">
        <w:rPr>
          <w:rFonts w:cs="Open Sans"/>
        </w:rPr>
        <w:t xml:space="preserve"> the 2016 Consensus Statement Update</w:t>
      </w:r>
      <w:r w:rsidRPr="00A45753">
        <w:t xml:space="preserve"> contemplate various rationales for intervention, including psychosocial, cancer-risk, and cultural and social reasons. The Endocrine Society of Australia stated that the 2016 Consensus Statement </w:t>
      </w:r>
      <w:r>
        <w:t xml:space="preserve">Update </w:t>
      </w:r>
      <w:r w:rsidRPr="00A45753">
        <w:t>acknowledges that it is still impossible to predict gender development in an individual case with certainty, and that decisions regarding this and surgery during infancy that alters external genital anatomy or removes germ cells continue to carry risk.</w:t>
      </w:r>
      <w:r w:rsidRPr="0117CC5D">
        <w:rPr>
          <w:rStyle w:val="EndnoteReference"/>
        </w:rPr>
        <w:endnoteReference w:id="461"/>
      </w:r>
      <w:r w:rsidRPr="00743206">
        <w:rPr>
          <w:sz w:val="20"/>
          <w:szCs w:val="20"/>
        </w:rPr>
        <w:t xml:space="preserve"> </w:t>
      </w:r>
    </w:p>
    <w:p w:rsidRPr="00A45753" w:rsidR="00810FD7" w:rsidP="00810FD7" w:rsidRDefault="00810FD7" w14:paraId="1E8D94CD" w14:textId="17BB02E9">
      <w:pPr>
        <w:pStyle w:val="Heading4"/>
      </w:pPr>
      <w:r w:rsidRPr="00A45753">
        <w:t xml:space="preserve">Critiques </w:t>
      </w:r>
      <w:r w:rsidR="6B3277DB">
        <w:t>of statements</w:t>
      </w:r>
    </w:p>
    <w:p w:rsidRPr="00A45753" w:rsidR="00810FD7" w:rsidP="00810FD7" w:rsidRDefault="00810FD7" w14:paraId="38923BA3" w14:textId="77777777">
      <w:pPr>
        <w:spacing w:before="0"/>
        <w:rPr>
          <w:rFonts w:cs="Open Sans"/>
        </w:rPr>
      </w:pPr>
      <w:r>
        <w:rPr>
          <w:rFonts w:cs="Open Sans"/>
        </w:rPr>
        <w:t>As noted above</w:t>
      </w:r>
      <w:r w:rsidRPr="00A45753">
        <w:rPr>
          <w:rFonts w:cs="Open Sans"/>
        </w:rPr>
        <w:t xml:space="preserve">, these documents do not state that medical interventions should only be provided in circumstances of medical necessity or provide any guidance about when interventions are medically necessary. On the contrary, the </w:t>
      </w:r>
      <w:r w:rsidRPr="00A45753">
        <w:rPr>
          <w:rFonts w:cs="Open Sans"/>
        </w:rPr>
        <w:lastRenderedPageBreak/>
        <w:t>documents clearly contemplate at least some interventions being conducted in circumstances where that threshold is not met.</w:t>
      </w:r>
    </w:p>
    <w:p w:rsidRPr="00305605" w:rsidR="00810FD7" w:rsidP="00810FD7" w:rsidRDefault="00810FD7" w14:paraId="5D06BAC6" w14:textId="29F3E88E">
      <w:pPr>
        <w:spacing w:before="0"/>
        <w:rPr>
          <w:rFonts w:cs="Open Sans"/>
        </w:rPr>
      </w:pPr>
      <w:r w:rsidRPr="00A45753">
        <w:rPr>
          <w:rFonts w:cs="Open Sans"/>
        </w:rPr>
        <w:t xml:space="preserve">Intersex advocacy groups stated that the 2006 Consensus Statement </w:t>
      </w:r>
      <w:r>
        <w:rPr>
          <w:rFonts w:cs="Open Sans"/>
        </w:rPr>
        <w:t xml:space="preserve">and the 2016 update </w:t>
      </w:r>
      <w:r w:rsidRPr="00A45753">
        <w:rPr>
          <w:rFonts w:cs="Open Sans"/>
        </w:rPr>
        <w:t>w</w:t>
      </w:r>
      <w:r>
        <w:rPr>
          <w:rFonts w:cs="Open Sans"/>
        </w:rPr>
        <w:t>ere</w:t>
      </w:r>
      <w:r w:rsidRPr="00A45753">
        <w:rPr>
          <w:rFonts w:cs="Open Sans"/>
        </w:rPr>
        <w:t xml:space="preserve"> problematic, as </w:t>
      </w:r>
      <w:r>
        <w:rPr>
          <w:rFonts w:cs="Open Sans"/>
        </w:rPr>
        <w:t>they</w:t>
      </w:r>
      <w:r w:rsidRPr="00A45753">
        <w:rPr>
          <w:rFonts w:cs="Open Sans"/>
        </w:rPr>
        <w:t xml:space="preserve"> impl</w:t>
      </w:r>
      <w:r>
        <w:rPr>
          <w:rFonts w:cs="Open Sans"/>
        </w:rPr>
        <w:t>y</w:t>
      </w:r>
      <w:r w:rsidRPr="00A45753">
        <w:rPr>
          <w:rFonts w:cs="Open Sans"/>
        </w:rPr>
        <w:t xml:space="preserve"> a </w:t>
      </w:r>
      <w:r w:rsidRPr="0117CC5D" w:rsidR="50657B2F">
        <w:rPr>
          <w:rFonts w:cs="Open Sans"/>
        </w:rPr>
        <w:t>“</w:t>
      </w:r>
      <w:r w:rsidRPr="00A45753">
        <w:rPr>
          <w:rFonts w:cs="Open Sans"/>
        </w:rPr>
        <w:t>consensus</w:t>
      </w:r>
      <w:r w:rsidRPr="0117CC5D" w:rsidR="45C9A583">
        <w:rPr>
          <w:rFonts w:cs="Open Sans"/>
        </w:rPr>
        <w:t>”</w:t>
      </w:r>
      <w:r w:rsidRPr="00A45753">
        <w:rPr>
          <w:rFonts w:cs="Open Sans"/>
        </w:rPr>
        <w:t xml:space="preserve"> on how to manage treatment of people born with variations in sex characteristics</w:t>
      </w:r>
      <w:r>
        <w:rPr>
          <w:rFonts w:cs="Open Sans"/>
        </w:rPr>
        <w:t>. However,</w:t>
      </w:r>
      <w:r w:rsidRPr="19C2AE08" w:rsidR="72306307">
        <w:rPr>
          <w:rFonts w:cs="Open Sans"/>
        </w:rPr>
        <w:t xml:space="preserve"> </w:t>
      </w:r>
      <w:r w:rsidRPr="19C2AE08" w:rsidR="131B51CF">
        <w:rPr>
          <w:rFonts w:cs="Open Sans"/>
        </w:rPr>
        <w:t>the</w:t>
      </w:r>
      <w:r>
        <w:rPr>
          <w:rFonts w:cs="Open Sans"/>
        </w:rPr>
        <w:t xml:space="preserve"> Consensus Statement says that</w:t>
      </w:r>
    </w:p>
    <w:p w:rsidRPr="00A45753" w:rsidR="00810FD7" w:rsidP="00810FD7" w:rsidRDefault="00810FD7" w14:paraId="6638209C" w14:textId="77777777">
      <w:pPr>
        <w:widowControl w:val="0"/>
        <w:ind w:left="720"/>
        <w:rPr>
          <w:rFonts w:cs="Open Sans"/>
          <w:sz w:val="22"/>
          <w:szCs w:val="22"/>
        </w:rPr>
      </w:pPr>
      <w:r w:rsidRPr="00A45753">
        <w:rPr>
          <w:rFonts w:cs="Open Sans"/>
          <w:sz w:val="22"/>
          <w:szCs w:val="22"/>
        </w:rPr>
        <w:t>There is still no consensual attitude regarding indications, timing, procedure and evaluation of outcome of DSD surgery … Timing, choice of the individual and irreversibility of surgical procedures are sources of concerns. There is no evidence regarding the impact of surgically treated or non-treated DSDs during childhood for the individual, the parents, society or the risk of stigmatization. The low level of evidence for management should lead multidisciplinary expert teams to design collaborative prospective studies involving all parties and using protocols of evaluation.</w:t>
      </w:r>
      <w:r w:rsidRPr="00A45753">
        <w:rPr>
          <w:rStyle w:val="EndnoteReference"/>
          <w:rFonts w:cs="Open Sans"/>
          <w:sz w:val="22"/>
          <w:szCs w:val="22"/>
        </w:rPr>
        <w:endnoteReference w:id="462"/>
      </w:r>
    </w:p>
    <w:p w:rsidRPr="00A45753" w:rsidR="00810FD7" w:rsidP="00810FD7" w:rsidRDefault="00810FD7" w14:paraId="06F33F3A" w14:textId="362F9931">
      <w:pPr>
        <w:pStyle w:val="Heading3"/>
      </w:pPr>
      <w:bookmarkStart w:name="_Toc85541449" w:id="343"/>
      <w:r w:rsidRPr="00A45753">
        <w:t xml:space="preserve">The </w:t>
      </w:r>
      <w:r w:rsidR="154D8F9F">
        <w:t xml:space="preserve">2013 </w:t>
      </w:r>
      <w:r w:rsidRPr="00A45753">
        <w:t xml:space="preserve">Victorian </w:t>
      </w:r>
      <w:r w:rsidR="006A408C">
        <w:t>D</w:t>
      </w:r>
      <w:r w:rsidRPr="00A45753">
        <w:t>ecision-</w:t>
      </w:r>
      <w:r w:rsidR="006A408C">
        <w:t>M</w:t>
      </w:r>
      <w:r w:rsidRPr="00A45753">
        <w:t xml:space="preserve">aking </w:t>
      </w:r>
      <w:r w:rsidR="006A408C">
        <w:t>P</w:t>
      </w:r>
      <w:r w:rsidRPr="00A45753">
        <w:t>rinciples</w:t>
      </w:r>
      <w:bookmarkEnd w:id="343"/>
    </w:p>
    <w:p w:rsidRPr="00A45753" w:rsidR="00810FD7" w:rsidP="00810FD7" w:rsidRDefault="00810FD7" w14:paraId="3CCD3916" w14:textId="77777777">
      <w:pPr>
        <w:widowControl w:val="0"/>
        <w:rPr>
          <w:rFonts w:cs="Open Sans"/>
        </w:rPr>
      </w:pPr>
      <w:r w:rsidRPr="00A45753">
        <w:rPr>
          <w:rFonts w:cs="Open Sans"/>
        </w:rPr>
        <w:t xml:space="preserve">In 2013, the Victorian Department of Health and Human Services issued the </w:t>
      </w:r>
      <w:r w:rsidRPr="00A45753">
        <w:t xml:space="preserve">Victorian </w:t>
      </w:r>
      <w:r>
        <w:t>D</w:t>
      </w:r>
      <w:r w:rsidRPr="00A45753">
        <w:t>ecision-</w:t>
      </w:r>
      <w:r>
        <w:t>M</w:t>
      </w:r>
      <w:r w:rsidRPr="00A45753">
        <w:t xml:space="preserve">aking </w:t>
      </w:r>
      <w:r>
        <w:t>P</w:t>
      </w:r>
      <w:r w:rsidRPr="00A45753">
        <w:t>rinciples</w:t>
      </w:r>
      <w:r w:rsidRPr="00A45753">
        <w:rPr>
          <w:rFonts w:cs="Open Sans"/>
        </w:rPr>
        <w:t>.</w:t>
      </w:r>
      <w:r w:rsidRPr="00A45753">
        <w:rPr>
          <w:rStyle w:val="EndnoteReference"/>
          <w:rFonts w:cs="Open Sans"/>
        </w:rPr>
        <w:endnoteReference w:id="463"/>
      </w:r>
      <w:r w:rsidRPr="00A45753">
        <w:rPr>
          <w:rFonts w:cs="Open Sans"/>
        </w:rPr>
        <w:t xml:space="preserve"> </w:t>
      </w:r>
    </w:p>
    <w:p w:rsidRPr="00A45753" w:rsidR="00810FD7" w:rsidP="00810FD7" w:rsidRDefault="00810FD7" w14:paraId="2813DEDF" w14:textId="77777777">
      <w:pPr>
        <w:pStyle w:val="Heading4"/>
      </w:pPr>
      <w:r w:rsidRPr="00A45753">
        <w:t xml:space="preserve">Purpose of principles </w:t>
      </w:r>
    </w:p>
    <w:p w:rsidR="00810FD7" w:rsidP="00810FD7" w:rsidRDefault="00810FD7" w14:paraId="1D59CC0F" w14:textId="77777777">
      <w:r w:rsidRPr="00A45753">
        <w:t xml:space="preserve">The stated purpose of the </w:t>
      </w:r>
      <w:r>
        <w:t xml:space="preserve">2013 </w:t>
      </w:r>
      <w:r w:rsidRPr="00A45753">
        <w:t xml:space="preserve">Victorian </w:t>
      </w:r>
      <w:r>
        <w:t>D</w:t>
      </w:r>
      <w:r w:rsidRPr="00A45753">
        <w:t>ecision-</w:t>
      </w:r>
      <w:r>
        <w:t>M</w:t>
      </w:r>
      <w:r w:rsidRPr="00A45753">
        <w:t xml:space="preserve">aking </w:t>
      </w:r>
      <w:r>
        <w:t>P</w:t>
      </w:r>
      <w:r w:rsidRPr="00A45753">
        <w:t xml:space="preserve">rinciples is to help achieve the best possible outcomes for infants, children and adolescents with intersex conditions who are cared for in Victorian hospitals. The principles are framed as current best practice, with an acknowledgment that medical management, human rights, ethical and legal considerations and standards and approaches to treatment for intersex conditions are constantly evolving. </w:t>
      </w:r>
    </w:p>
    <w:p w:rsidRPr="00A45753" w:rsidR="00810FD7" w:rsidP="00810FD7" w:rsidRDefault="00810FD7" w14:paraId="18F61406" w14:textId="77777777">
      <w:r w:rsidRPr="00A45753">
        <w:t>The principles are not binding</w:t>
      </w:r>
      <w:r>
        <w:t>; they</w:t>
      </w:r>
      <w:r w:rsidRPr="00A45753">
        <w:t xml:space="preserve"> assist in decision making. Clinicians refer to the </w:t>
      </w:r>
      <w:r>
        <w:t>2013 Victorian D</w:t>
      </w:r>
      <w:r w:rsidRPr="00A45753">
        <w:t>ecision-</w:t>
      </w:r>
      <w:r>
        <w:t>M</w:t>
      </w:r>
      <w:r w:rsidRPr="00A45753">
        <w:t xml:space="preserve">aking </w:t>
      </w:r>
      <w:r>
        <w:t>P</w:t>
      </w:r>
      <w:r w:rsidRPr="00A45753">
        <w:t>rinciples as providing guidance.</w:t>
      </w:r>
      <w:r w:rsidRPr="0117CC5D">
        <w:rPr>
          <w:rStyle w:val="EndnoteReference"/>
          <w:rFonts w:cs="Open Sans"/>
        </w:rPr>
        <w:endnoteReference w:id="464"/>
      </w:r>
    </w:p>
    <w:p w:rsidRPr="00A45753" w:rsidR="00810FD7" w:rsidP="00810FD7" w:rsidRDefault="00810FD7" w14:paraId="336AE2FA" w14:textId="77777777">
      <w:pPr>
        <w:pStyle w:val="Heading4"/>
      </w:pPr>
      <w:r w:rsidRPr="00A45753">
        <w:lastRenderedPageBreak/>
        <w:t>Scope of principles</w:t>
      </w:r>
    </w:p>
    <w:p w:rsidRPr="00A45753" w:rsidR="00810FD7" w:rsidP="00810FD7" w:rsidRDefault="00810FD7" w14:paraId="26925E86" w14:textId="77777777">
      <w:pPr>
        <w:autoSpaceDE w:val="0"/>
        <w:autoSpaceDN w:val="0"/>
        <w:adjustRightInd w:val="0"/>
        <w:spacing w:before="0" w:after="0"/>
      </w:pPr>
      <w:r w:rsidRPr="00A45753">
        <w:t xml:space="preserve">The </w:t>
      </w:r>
      <w:r>
        <w:t xml:space="preserve">2013 </w:t>
      </w:r>
      <w:r w:rsidRPr="00A45753">
        <w:t xml:space="preserve">Victorian </w:t>
      </w:r>
      <w:r>
        <w:t>D</w:t>
      </w:r>
      <w:r w:rsidRPr="00A45753">
        <w:t>ecision-</w:t>
      </w:r>
      <w:r>
        <w:t>M</w:t>
      </w:r>
      <w:r w:rsidRPr="00A45753">
        <w:t xml:space="preserve">aking </w:t>
      </w:r>
      <w:r>
        <w:t>P</w:t>
      </w:r>
      <w:r w:rsidRPr="00A45753">
        <w:t xml:space="preserve">rinciples </w:t>
      </w:r>
      <w:r>
        <w:t xml:space="preserve">cover </w:t>
      </w:r>
      <w:r w:rsidRPr="00A45753">
        <w:t xml:space="preserve">five </w:t>
      </w:r>
      <w:r>
        <w:t>topics</w:t>
      </w:r>
      <w:r w:rsidRPr="00A45753">
        <w:t>:</w:t>
      </w:r>
    </w:p>
    <w:p w:rsidRPr="00A45753" w:rsidR="00810FD7" w:rsidP="00810FD7" w:rsidRDefault="00810FD7" w14:paraId="5840FC04" w14:textId="77777777">
      <w:pPr>
        <w:autoSpaceDE w:val="0"/>
        <w:autoSpaceDN w:val="0"/>
        <w:adjustRightInd w:val="0"/>
        <w:spacing w:before="0" w:after="0"/>
      </w:pPr>
      <w:r w:rsidRPr="00A45753">
        <w:t xml:space="preserve"> </w:t>
      </w:r>
    </w:p>
    <w:p w:rsidRPr="00A45753" w:rsidR="00810FD7" w:rsidP="002F7D27" w:rsidRDefault="00810FD7" w14:paraId="50110E47" w14:textId="77777777">
      <w:pPr>
        <w:pStyle w:val="ListParagraph"/>
        <w:numPr>
          <w:ilvl w:val="0"/>
          <w:numId w:val="54"/>
        </w:numPr>
        <w:autoSpaceDE w:val="0"/>
        <w:autoSpaceDN w:val="0"/>
        <w:adjustRightInd w:val="0"/>
        <w:spacing w:before="0" w:after="0"/>
      </w:pPr>
      <w:r w:rsidRPr="00A45753">
        <w:t xml:space="preserve">principles for supporting patients and parents </w:t>
      </w:r>
    </w:p>
    <w:p w:rsidRPr="00A45753" w:rsidR="00810FD7" w:rsidP="002F7D27" w:rsidRDefault="00810FD7" w14:paraId="395D980E" w14:textId="77777777">
      <w:pPr>
        <w:pStyle w:val="ListParagraph"/>
        <w:numPr>
          <w:ilvl w:val="0"/>
          <w:numId w:val="54"/>
        </w:numPr>
        <w:autoSpaceDE w:val="0"/>
        <w:autoSpaceDN w:val="0"/>
        <w:adjustRightInd w:val="0"/>
        <w:spacing w:before="0" w:after="0"/>
      </w:pPr>
      <w:r w:rsidRPr="00A45753">
        <w:t xml:space="preserve">medical management principles </w:t>
      </w:r>
    </w:p>
    <w:p w:rsidRPr="00A45753" w:rsidR="00810FD7" w:rsidP="002F7D27" w:rsidRDefault="00810FD7" w14:paraId="569F17E4" w14:textId="77777777">
      <w:pPr>
        <w:pStyle w:val="ListParagraph"/>
        <w:numPr>
          <w:ilvl w:val="0"/>
          <w:numId w:val="54"/>
        </w:numPr>
        <w:autoSpaceDE w:val="0"/>
        <w:autoSpaceDN w:val="0"/>
        <w:adjustRightInd w:val="0"/>
        <w:spacing w:before="0" w:after="0"/>
      </w:pPr>
      <w:r w:rsidRPr="00A45753">
        <w:t xml:space="preserve">human rights principles  </w:t>
      </w:r>
    </w:p>
    <w:p w:rsidRPr="00A45753" w:rsidR="00810FD7" w:rsidP="002F7D27" w:rsidRDefault="00810FD7" w14:paraId="3064789F" w14:textId="77777777">
      <w:pPr>
        <w:pStyle w:val="ListParagraph"/>
        <w:numPr>
          <w:ilvl w:val="0"/>
          <w:numId w:val="54"/>
        </w:numPr>
        <w:autoSpaceDE w:val="0"/>
        <w:autoSpaceDN w:val="0"/>
        <w:adjustRightInd w:val="0"/>
        <w:spacing w:before="0" w:after="0"/>
      </w:pPr>
      <w:r w:rsidRPr="00A45753">
        <w:t>ethical principles</w:t>
      </w:r>
    </w:p>
    <w:p w:rsidRPr="00A45753" w:rsidR="00810FD7" w:rsidP="002F7D27" w:rsidRDefault="00810FD7" w14:paraId="197429BB" w14:textId="77777777">
      <w:pPr>
        <w:pStyle w:val="ListParagraph"/>
        <w:numPr>
          <w:ilvl w:val="0"/>
          <w:numId w:val="54"/>
        </w:numPr>
        <w:autoSpaceDE w:val="0"/>
        <w:autoSpaceDN w:val="0"/>
        <w:adjustRightInd w:val="0"/>
        <w:spacing w:before="0" w:after="0"/>
      </w:pPr>
      <w:r w:rsidRPr="00A45753">
        <w:t>legal principles.</w:t>
      </w:r>
    </w:p>
    <w:p w:rsidRPr="00A45753" w:rsidR="00810FD7" w:rsidP="00810FD7" w:rsidRDefault="00810FD7" w14:paraId="1871A6BB" w14:textId="77777777">
      <w:pPr>
        <w:pStyle w:val="Heading4"/>
      </w:pPr>
      <w:r w:rsidRPr="00A45753">
        <w:t>Guidance on consent, decision</w:t>
      </w:r>
      <w:r>
        <w:t xml:space="preserve"> </w:t>
      </w:r>
      <w:r w:rsidRPr="00A45753">
        <w:t>making</w:t>
      </w:r>
      <w:r>
        <w:t>, medical necessity and rationales for intervention</w:t>
      </w:r>
    </w:p>
    <w:p w:rsidRPr="00A45753" w:rsidR="00810FD7" w:rsidP="00810FD7" w:rsidRDefault="00810FD7" w14:paraId="5B160576" w14:textId="77777777">
      <w:pPr>
        <w:spacing w:before="0"/>
        <w:rPr>
          <w:rFonts w:cs="Open Sans"/>
        </w:rPr>
      </w:pPr>
      <w:r w:rsidRPr="00A45753">
        <w:rPr>
          <w:rFonts w:cs="Open Sans"/>
        </w:rPr>
        <w:t xml:space="preserve">Most of the discussion about consent relates to the legal framework in Australia. </w:t>
      </w:r>
      <w:r w:rsidRPr="00A45753">
        <w:t xml:space="preserve">The </w:t>
      </w:r>
      <w:r>
        <w:t xml:space="preserve">2013 </w:t>
      </w:r>
      <w:r w:rsidRPr="00A45753">
        <w:t xml:space="preserve">Victorian </w:t>
      </w:r>
      <w:r>
        <w:t>D</w:t>
      </w:r>
      <w:r w:rsidRPr="00A45753">
        <w:t>ecision-</w:t>
      </w:r>
      <w:r>
        <w:t>M</w:t>
      </w:r>
      <w:r w:rsidRPr="00A45753">
        <w:t xml:space="preserve">aking </w:t>
      </w:r>
      <w:r>
        <w:t>P</w:t>
      </w:r>
      <w:r w:rsidRPr="00A45753">
        <w:t xml:space="preserve">rinciples </w:t>
      </w:r>
      <w:r w:rsidRPr="00A45753">
        <w:rPr>
          <w:rFonts w:cs="Open Sans"/>
        </w:rPr>
        <w:t>explain the circumstances in which individual consent must be sought</w:t>
      </w:r>
      <w:r>
        <w:rPr>
          <w:rFonts w:cs="Open Sans"/>
        </w:rPr>
        <w:t>,</w:t>
      </w:r>
      <w:r w:rsidRPr="00A45753">
        <w:rPr>
          <w:rFonts w:cs="Open Sans"/>
        </w:rPr>
        <w:t xml:space="preserve"> </w:t>
      </w:r>
      <w:r>
        <w:rPr>
          <w:rFonts w:cs="Open Sans"/>
        </w:rPr>
        <w:t xml:space="preserve">and </w:t>
      </w:r>
      <w:r w:rsidRPr="00A45753">
        <w:rPr>
          <w:rFonts w:cs="Open Sans"/>
        </w:rPr>
        <w:t xml:space="preserve">where the person is considered </w:t>
      </w:r>
      <w:r w:rsidRPr="00A45753">
        <w:rPr>
          <w:rFonts w:cs="Open Sans"/>
          <w:i/>
          <w:iCs/>
        </w:rPr>
        <w:t>Gillick</w:t>
      </w:r>
      <w:r w:rsidRPr="00A45753">
        <w:rPr>
          <w:rFonts w:cs="Open Sans"/>
        </w:rPr>
        <w:t xml:space="preserve"> competent. </w:t>
      </w:r>
      <w:r>
        <w:rPr>
          <w:rFonts w:cs="Open Sans"/>
        </w:rPr>
        <w:t xml:space="preserve">They </w:t>
      </w:r>
      <w:r w:rsidRPr="00A45753">
        <w:rPr>
          <w:rFonts w:cs="Open Sans"/>
        </w:rPr>
        <w:t xml:space="preserve">explain </w:t>
      </w:r>
      <w:r>
        <w:rPr>
          <w:rFonts w:cs="Open Sans"/>
        </w:rPr>
        <w:t>when</w:t>
      </w:r>
      <w:r w:rsidRPr="00A45753">
        <w:rPr>
          <w:rFonts w:cs="Open Sans"/>
        </w:rPr>
        <w:t xml:space="preserve"> parents are not permitted to authorise interventions and court approval must be obtained, as </w:t>
      </w:r>
      <w:r>
        <w:rPr>
          <w:rFonts w:cs="Open Sans"/>
        </w:rPr>
        <w:t xml:space="preserve">set out in </w:t>
      </w:r>
      <w:r w:rsidRPr="00A45753">
        <w:rPr>
          <w:rFonts w:cs="Open Sans"/>
          <w:i/>
          <w:iCs/>
        </w:rPr>
        <w:t>Marion’s case</w:t>
      </w:r>
      <w:r w:rsidRPr="00A45753">
        <w:rPr>
          <w:rFonts w:cs="Open Sans"/>
        </w:rPr>
        <w:t>.</w:t>
      </w:r>
    </w:p>
    <w:p w:rsidRPr="00A45753" w:rsidR="00810FD7" w:rsidP="00810FD7" w:rsidRDefault="00810FD7" w14:paraId="76DC5C2D" w14:textId="77777777">
      <w:pPr>
        <w:spacing w:before="0"/>
        <w:rPr>
          <w:rFonts w:cs="Open Sans"/>
        </w:rPr>
      </w:pPr>
      <w:r w:rsidRPr="00A45753">
        <w:rPr>
          <w:rFonts w:cs="Open Sans"/>
        </w:rPr>
        <w:t>It suggests age-appropriate educational resources should be provided for parents, children and adolescents about sex and gender diversity. It also recommends the provision of information about, and referral to, support groups for parents and families, and ongoing follow-up and referral to psychological support for patients and their parents throughout the patient’s life.</w:t>
      </w:r>
      <w:r w:rsidRPr="0117CC5D">
        <w:rPr>
          <w:rStyle w:val="EndnoteReference"/>
          <w:rFonts w:cs="Open Sans"/>
        </w:rPr>
        <w:endnoteReference w:id="465"/>
      </w:r>
    </w:p>
    <w:p w:rsidRPr="00A45753" w:rsidR="00810FD7" w:rsidP="00810FD7" w:rsidRDefault="00810FD7" w14:paraId="7EC92228" w14:textId="77777777">
      <w:pPr>
        <w:spacing w:before="0"/>
        <w:rPr>
          <w:rFonts w:cs="Open Sans"/>
        </w:rPr>
      </w:pPr>
      <w:r w:rsidRPr="00A45753">
        <w:rPr>
          <w:rFonts w:cs="Open Sans"/>
        </w:rPr>
        <w:t xml:space="preserve">The </w:t>
      </w:r>
      <w:r>
        <w:rPr>
          <w:rFonts w:cs="Open Sans"/>
        </w:rPr>
        <w:t xml:space="preserve">2013 </w:t>
      </w:r>
      <w:r w:rsidRPr="00A45753">
        <w:rPr>
          <w:rFonts w:cs="Open Sans"/>
        </w:rPr>
        <w:t xml:space="preserve">Victorian </w:t>
      </w:r>
      <w:r>
        <w:rPr>
          <w:rFonts w:cs="Open Sans"/>
        </w:rPr>
        <w:t>D</w:t>
      </w:r>
      <w:r w:rsidRPr="00A45753">
        <w:rPr>
          <w:rFonts w:cs="Open Sans"/>
        </w:rPr>
        <w:t>ecision-</w:t>
      </w:r>
      <w:r>
        <w:rPr>
          <w:rFonts w:cs="Open Sans"/>
        </w:rPr>
        <w:t>M</w:t>
      </w:r>
      <w:r w:rsidRPr="00A45753">
        <w:rPr>
          <w:rFonts w:cs="Open Sans"/>
        </w:rPr>
        <w:t xml:space="preserve">aking </w:t>
      </w:r>
      <w:r>
        <w:rPr>
          <w:rFonts w:cs="Open Sans"/>
        </w:rPr>
        <w:t>P</w:t>
      </w:r>
      <w:r w:rsidRPr="00A45753">
        <w:rPr>
          <w:rFonts w:cs="Open Sans"/>
        </w:rPr>
        <w:t xml:space="preserve">rinciples do not address the </w:t>
      </w:r>
      <w:r>
        <w:rPr>
          <w:rFonts w:cs="Open Sans"/>
        </w:rPr>
        <w:t xml:space="preserve">specific </w:t>
      </w:r>
      <w:r w:rsidRPr="00A45753">
        <w:rPr>
          <w:rFonts w:cs="Open Sans"/>
        </w:rPr>
        <w:t xml:space="preserve">concept of medical necessity. However, they do address the </w:t>
      </w:r>
      <w:r>
        <w:rPr>
          <w:rFonts w:cs="Open Sans"/>
        </w:rPr>
        <w:t xml:space="preserve">related </w:t>
      </w:r>
      <w:r w:rsidRPr="00A45753">
        <w:rPr>
          <w:rFonts w:cs="Open Sans"/>
        </w:rPr>
        <w:t xml:space="preserve">question of whether a proposed treatment would be non-therapeutic. This is framed as a question relevant </w:t>
      </w:r>
      <w:r w:rsidRPr="00A45753">
        <w:t>to whether a proposed interventio</w:t>
      </w:r>
      <w:r w:rsidRPr="00A45753">
        <w:rPr>
          <w:rFonts w:cs="Open Sans"/>
        </w:rPr>
        <w:t xml:space="preserve">n may be authorised without Family Court approval, under the test articulated by the High Court in </w:t>
      </w:r>
      <w:r w:rsidRPr="00A45753">
        <w:rPr>
          <w:rFonts w:cs="Open Sans"/>
          <w:i/>
          <w:iCs/>
        </w:rPr>
        <w:t>Marion’s case</w:t>
      </w:r>
      <w:r w:rsidRPr="00A45753">
        <w:rPr>
          <w:rFonts w:cs="Open Sans"/>
        </w:rPr>
        <w:t xml:space="preserve">. </w:t>
      </w:r>
    </w:p>
    <w:p w:rsidRPr="00A45753" w:rsidR="00810FD7" w:rsidP="00810FD7" w:rsidRDefault="00810FD7" w14:paraId="05304375" w14:textId="77777777">
      <w:pPr>
        <w:widowControl w:val="0"/>
        <w:rPr>
          <w:rFonts w:cs="Open Sans"/>
        </w:rPr>
      </w:pPr>
      <w:r w:rsidRPr="00A45753">
        <w:rPr>
          <w:rFonts w:cs="Open Sans"/>
        </w:rPr>
        <w:t xml:space="preserve">The </w:t>
      </w:r>
      <w:r>
        <w:rPr>
          <w:rFonts w:cs="Open Sans"/>
        </w:rPr>
        <w:t xml:space="preserve">2013 </w:t>
      </w:r>
      <w:r w:rsidRPr="00A45753">
        <w:rPr>
          <w:rFonts w:cs="Open Sans"/>
        </w:rPr>
        <w:t xml:space="preserve">Victorian </w:t>
      </w:r>
      <w:r>
        <w:rPr>
          <w:rFonts w:cs="Open Sans"/>
        </w:rPr>
        <w:t>D</w:t>
      </w:r>
      <w:r w:rsidRPr="00A45753">
        <w:rPr>
          <w:rFonts w:cs="Open Sans"/>
        </w:rPr>
        <w:t>ecision-</w:t>
      </w:r>
      <w:r>
        <w:rPr>
          <w:rFonts w:cs="Open Sans"/>
        </w:rPr>
        <w:t>M</w:t>
      </w:r>
      <w:r w:rsidRPr="00A45753">
        <w:rPr>
          <w:rFonts w:cs="Open Sans"/>
        </w:rPr>
        <w:t xml:space="preserve">aking </w:t>
      </w:r>
      <w:r>
        <w:rPr>
          <w:rFonts w:cs="Open Sans"/>
        </w:rPr>
        <w:t>P</w:t>
      </w:r>
      <w:r w:rsidRPr="00A45753">
        <w:rPr>
          <w:rFonts w:cs="Open Sans"/>
        </w:rPr>
        <w:t>rinciples recommend that decision</w:t>
      </w:r>
      <w:r>
        <w:rPr>
          <w:rFonts w:cs="Open Sans"/>
        </w:rPr>
        <w:t xml:space="preserve"> </w:t>
      </w:r>
      <w:r w:rsidRPr="00A45753">
        <w:rPr>
          <w:rFonts w:cs="Open Sans"/>
        </w:rPr>
        <w:t>making should be guided by the need to preserve the potential for fertility, preserve or increase capacity to have satisfying sexual relations, and leave options open for the future.</w:t>
      </w:r>
      <w:r w:rsidRPr="0117CC5D">
        <w:rPr>
          <w:rStyle w:val="EndnoteReference"/>
          <w:rFonts w:cs="Open Sans"/>
        </w:rPr>
        <w:endnoteReference w:id="466"/>
      </w:r>
      <w:r w:rsidRPr="00A45753">
        <w:rPr>
          <w:rFonts w:cs="Open Sans"/>
        </w:rPr>
        <w:t xml:space="preserve"> </w:t>
      </w:r>
      <w:r>
        <w:rPr>
          <w:rFonts w:cs="Open Sans"/>
        </w:rPr>
        <w:t>The</w:t>
      </w:r>
      <w:r w:rsidRPr="00A45753">
        <w:rPr>
          <w:rFonts w:cs="Open Sans"/>
        </w:rPr>
        <w:t xml:space="preserve"> principles </w:t>
      </w:r>
      <w:r>
        <w:rPr>
          <w:rFonts w:cs="Open Sans"/>
        </w:rPr>
        <w:t xml:space="preserve">address </w:t>
      </w:r>
      <w:r w:rsidRPr="00A45753">
        <w:rPr>
          <w:rFonts w:cs="Open Sans"/>
        </w:rPr>
        <w:t xml:space="preserve">the imperative to </w:t>
      </w:r>
      <w:r>
        <w:rPr>
          <w:rFonts w:cs="Open Sans"/>
        </w:rPr>
        <w:t>‘m</w:t>
      </w:r>
      <w:r w:rsidRPr="00A45753">
        <w:rPr>
          <w:rFonts w:cs="Open Sans"/>
        </w:rPr>
        <w:t>inimise psychosocial risk to child</w:t>
      </w:r>
      <w:r>
        <w:rPr>
          <w:rFonts w:cs="Open Sans"/>
        </w:rPr>
        <w:t>’</w:t>
      </w:r>
      <w:r w:rsidRPr="00A45753">
        <w:rPr>
          <w:rFonts w:cs="Open Sans"/>
        </w:rPr>
        <w:t xml:space="preserve">, </w:t>
      </w:r>
      <w:r>
        <w:rPr>
          <w:rFonts w:cs="Open Sans"/>
        </w:rPr>
        <w:t xml:space="preserve">setting out four relevant factors that provide </w:t>
      </w:r>
      <w:r w:rsidRPr="00A45753">
        <w:rPr>
          <w:rFonts w:cs="Open Sans"/>
        </w:rPr>
        <w:t>reasonable justification for intervention</w:t>
      </w:r>
      <w:r>
        <w:rPr>
          <w:rFonts w:cs="Open Sans"/>
        </w:rPr>
        <w:t>. T</w:t>
      </w:r>
      <w:r w:rsidRPr="00A45753">
        <w:rPr>
          <w:rFonts w:cs="Open Sans"/>
        </w:rPr>
        <w:t xml:space="preserve">hree of </w:t>
      </w:r>
      <w:r>
        <w:rPr>
          <w:rFonts w:cs="Open Sans"/>
        </w:rPr>
        <w:t xml:space="preserve">those factors </w:t>
      </w:r>
      <w:r w:rsidRPr="00A45753">
        <w:rPr>
          <w:rFonts w:cs="Open Sans"/>
        </w:rPr>
        <w:t>relate to family, cultural, or social bonding issues. The four factors are</w:t>
      </w:r>
      <w:r w:rsidRPr="00A45753">
        <w:rPr>
          <w:rFonts w:cs="Open Sans"/>
          <w:lang w:val="en-US"/>
        </w:rPr>
        <w:t xml:space="preserve">: </w:t>
      </w:r>
    </w:p>
    <w:p w:rsidRPr="00A45753" w:rsidR="00810FD7" w:rsidP="002F7D27" w:rsidRDefault="00810FD7" w14:paraId="27989AC6" w14:textId="77777777">
      <w:pPr>
        <w:pStyle w:val="ListParagraph"/>
        <w:widowControl w:val="0"/>
        <w:numPr>
          <w:ilvl w:val="0"/>
          <w:numId w:val="54"/>
        </w:numPr>
        <w:rPr>
          <w:rFonts w:cs="Open Sans"/>
          <w:lang w:val="en-US"/>
        </w:rPr>
      </w:pPr>
      <w:r w:rsidRPr="00A45753">
        <w:rPr>
          <w:rFonts w:cs="Open Sans"/>
          <w:lang w:val="en-US"/>
        </w:rPr>
        <w:lastRenderedPageBreak/>
        <w:t xml:space="preserve">risk of assigning the ‘wrong’ sex of rearing, meaning a gender that the child will later reject or feel uncomfortable with, potentially leading to depression or other mental health problems </w:t>
      </w:r>
    </w:p>
    <w:p w:rsidRPr="00A45753" w:rsidR="00810FD7" w:rsidP="002F7D27" w:rsidRDefault="00810FD7" w14:paraId="24766B68" w14:textId="77777777">
      <w:pPr>
        <w:pStyle w:val="ListParagraph"/>
        <w:widowControl w:val="0"/>
        <w:numPr>
          <w:ilvl w:val="0"/>
          <w:numId w:val="54"/>
        </w:numPr>
        <w:rPr>
          <w:rFonts w:cs="Open Sans"/>
          <w:lang w:val="en-US"/>
        </w:rPr>
      </w:pPr>
      <w:r w:rsidRPr="00A45753">
        <w:rPr>
          <w:rFonts w:cs="Open Sans"/>
          <w:lang w:val="en-US"/>
        </w:rPr>
        <w:t xml:space="preserve">risk that the child will not be accepted by parents in the chosen sex of rearing, leading to impaired bonding and associated negative consequences </w:t>
      </w:r>
    </w:p>
    <w:p w:rsidRPr="00A45753" w:rsidR="00810FD7" w:rsidP="002F7D27" w:rsidRDefault="00810FD7" w14:paraId="6E034793" w14:textId="77777777">
      <w:pPr>
        <w:pStyle w:val="ListParagraph"/>
        <w:widowControl w:val="0"/>
        <w:numPr>
          <w:ilvl w:val="0"/>
          <w:numId w:val="54"/>
        </w:numPr>
        <w:rPr>
          <w:rFonts w:cs="Open Sans"/>
          <w:lang w:val="en-US"/>
        </w:rPr>
      </w:pPr>
      <w:r w:rsidRPr="00A45753">
        <w:rPr>
          <w:rFonts w:cs="Open Sans"/>
          <w:lang w:val="en-US"/>
        </w:rPr>
        <w:t>risk of social or cultural disadvantage to the child</w:t>
      </w:r>
      <w:r>
        <w:rPr>
          <w:rFonts w:cs="Open Sans"/>
          <w:lang w:val="en-US"/>
        </w:rPr>
        <w:t>;</w:t>
      </w:r>
      <w:r w:rsidRPr="00A45753">
        <w:rPr>
          <w:rFonts w:cs="Open Sans"/>
          <w:lang w:val="en-US"/>
        </w:rPr>
        <w:t xml:space="preserve"> for example, reduced opportunities for intimate relationships, or reduced opportunity for meaningful employment and capacity to earn an income </w:t>
      </w:r>
    </w:p>
    <w:p w:rsidRPr="00A45753" w:rsidR="00810FD7" w:rsidP="002F7D27" w:rsidRDefault="00810FD7" w14:paraId="0EDDC798" w14:textId="77777777">
      <w:pPr>
        <w:pStyle w:val="ListParagraph"/>
        <w:widowControl w:val="0"/>
        <w:numPr>
          <w:ilvl w:val="0"/>
          <w:numId w:val="54"/>
        </w:numPr>
        <w:rPr>
          <w:rFonts w:cs="Open Sans"/>
          <w:lang w:val="en-US"/>
        </w:rPr>
      </w:pPr>
      <w:r w:rsidRPr="00A45753">
        <w:rPr>
          <w:rFonts w:cs="Open Sans"/>
          <w:lang w:val="en-US"/>
        </w:rPr>
        <w:t>risk of social isolation, restrictions or difficulties, for example, caused by embarrassment or social stigma associated with having genitalia that does not match the gender in which the person lives.</w:t>
      </w:r>
      <w:r w:rsidRPr="0117CC5D">
        <w:rPr>
          <w:rStyle w:val="EndnoteReference"/>
          <w:rFonts w:cs="Open Sans"/>
          <w:lang w:val="en-US"/>
        </w:rPr>
        <w:endnoteReference w:id="467"/>
      </w:r>
    </w:p>
    <w:p w:rsidRPr="00A45753" w:rsidR="00810FD7" w:rsidP="00810FD7" w:rsidRDefault="00810FD7" w14:paraId="6D3EC8FD" w14:textId="77777777">
      <w:pPr>
        <w:pStyle w:val="Heading4"/>
      </w:pPr>
      <w:r w:rsidRPr="00A45753">
        <w:t xml:space="preserve">Critiques of the Victorian </w:t>
      </w:r>
      <w:r>
        <w:t>D</w:t>
      </w:r>
      <w:r w:rsidRPr="00A45753">
        <w:t>ecision-</w:t>
      </w:r>
      <w:r>
        <w:t>M</w:t>
      </w:r>
      <w:r w:rsidRPr="00A45753">
        <w:t xml:space="preserve">aking </w:t>
      </w:r>
      <w:r>
        <w:t>P</w:t>
      </w:r>
      <w:r w:rsidRPr="00A45753">
        <w:t>rinciples</w:t>
      </w:r>
    </w:p>
    <w:p w:rsidR="00810FD7" w:rsidP="00810FD7" w:rsidRDefault="00810FD7" w14:paraId="1CB189A6" w14:textId="77777777">
      <w:pPr>
        <w:widowControl w:val="0"/>
      </w:pPr>
      <w:r w:rsidRPr="00BE39EB">
        <w:t xml:space="preserve">Some intersex advocates have </w:t>
      </w:r>
      <w:r w:rsidRPr="00A45753">
        <w:t xml:space="preserve">criticised the </w:t>
      </w:r>
      <w:r>
        <w:t xml:space="preserve">2013 </w:t>
      </w:r>
      <w:r w:rsidRPr="00A45753">
        <w:t xml:space="preserve">Victorian </w:t>
      </w:r>
      <w:r>
        <w:t>D</w:t>
      </w:r>
      <w:r w:rsidRPr="00A45753">
        <w:t>ecision-</w:t>
      </w:r>
      <w:r>
        <w:t>M</w:t>
      </w:r>
      <w:r w:rsidRPr="00A45753">
        <w:t>aking</w:t>
      </w:r>
      <w:r>
        <w:t xml:space="preserve"> P</w:t>
      </w:r>
      <w:r w:rsidRPr="00A45753">
        <w:t>rinciples as still permitting early interventions that are not medical</w:t>
      </w:r>
      <w:r>
        <w:t>ly</w:t>
      </w:r>
      <w:r w:rsidRPr="00A45753">
        <w:t xml:space="preserve"> necessary and reject them as inadequate to protect human rights.</w:t>
      </w:r>
      <w:r w:rsidRPr="177D145B">
        <w:rPr>
          <w:vertAlign w:val="superscript"/>
        </w:rPr>
        <w:endnoteReference w:id="468"/>
      </w:r>
      <w:r w:rsidRPr="00EE0084">
        <w:rPr>
          <w:sz w:val="20"/>
          <w:szCs w:val="20"/>
        </w:rPr>
        <w:t xml:space="preserve"> </w:t>
      </w:r>
    </w:p>
    <w:p w:rsidRPr="00A45753" w:rsidR="00810FD7" w:rsidP="00810FD7" w:rsidRDefault="00810FD7" w14:paraId="61FA62F8" w14:textId="77777777">
      <w:pPr>
        <w:widowControl w:val="0"/>
        <w:rPr>
          <w:rFonts w:cs="Open Sans"/>
        </w:rPr>
      </w:pPr>
      <w:r>
        <w:t xml:space="preserve">By contrast, </w:t>
      </w:r>
      <w:r w:rsidRPr="00A45753">
        <w:rPr>
          <w:rFonts w:cs="Open Sans"/>
        </w:rPr>
        <w:t>an MDT member</w:t>
      </w:r>
      <w:r w:rsidRPr="00A45753">
        <w:t xml:space="preserve"> </w:t>
      </w:r>
      <w:r>
        <w:t>said</w:t>
      </w:r>
      <w:r w:rsidRPr="00A45753">
        <w:t xml:space="preserve"> that this document emerged from broad consultation and reflects the importance of holistic care from multidisciplinary teams, as well as a concern to limit medical treatment and prioritise the psychosocial care and welfare of these individuals and their families.</w:t>
      </w:r>
      <w:r w:rsidRPr="0117CC5D">
        <w:rPr>
          <w:rStyle w:val="EndnoteReference"/>
        </w:rPr>
        <w:endnoteReference w:id="469"/>
      </w:r>
      <w:r w:rsidRPr="00A45753">
        <w:t xml:space="preserve"> </w:t>
      </w:r>
    </w:p>
    <w:p w:rsidRPr="00A45753" w:rsidR="00810FD7" w:rsidP="00810FD7" w:rsidRDefault="00810FD7" w14:paraId="5DB3B0BD" w14:textId="77777777">
      <w:pPr>
        <w:widowControl w:val="0"/>
        <w:rPr>
          <w:rFonts w:cs="Open Sans"/>
        </w:rPr>
      </w:pPr>
      <w:r w:rsidRPr="00A45753">
        <w:rPr>
          <w:rFonts w:cs="Open Sans"/>
        </w:rPr>
        <w:t xml:space="preserve">The Commission understands that the Victorian Department of Health and Human Services will be reviewing </w:t>
      </w:r>
      <w:r>
        <w:rPr>
          <w:rFonts w:cs="Open Sans"/>
        </w:rPr>
        <w:t>and updating the</w:t>
      </w:r>
      <w:r w:rsidRPr="00A45753">
        <w:rPr>
          <w:rFonts w:cs="Open Sans"/>
        </w:rPr>
        <w:t xml:space="preserve"> </w:t>
      </w:r>
      <w:r>
        <w:rPr>
          <w:rFonts w:cs="Open Sans"/>
        </w:rPr>
        <w:t xml:space="preserve">2013 </w:t>
      </w:r>
      <w:r w:rsidRPr="00A45753">
        <w:t xml:space="preserve">Victorian </w:t>
      </w:r>
      <w:r>
        <w:t>D</w:t>
      </w:r>
      <w:r w:rsidRPr="00A45753">
        <w:t>ecision-</w:t>
      </w:r>
      <w:r>
        <w:t>M</w:t>
      </w:r>
      <w:r w:rsidRPr="00A45753">
        <w:t xml:space="preserve">aking </w:t>
      </w:r>
      <w:r>
        <w:t>P</w:t>
      </w:r>
      <w:r w:rsidRPr="00A45753">
        <w:t>rinciples</w:t>
      </w:r>
      <w:r w:rsidRPr="00A45753">
        <w:rPr>
          <w:rFonts w:cs="Open Sans"/>
        </w:rPr>
        <w:t xml:space="preserve"> to </w:t>
      </w:r>
      <w:r>
        <w:rPr>
          <w:rFonts w:cs="Open Sans"/>
        </w:rPr>
        <w:t>ensure they</w:t>
      </w:r>
      <w:r w:rsidRPr="00A45753">
        <w:rPr>
          <w:rFonts w:cs="Open Sans"/>
        </w:rPr>
        <w:t xml:space="preserve"> reflect more contemporary understandings and approaches. At present, the </w:t>
      </w:r>
      <w:r>
        <w:rPr>
          <w:rFonts w:cs="Open Sans"/>
        </w:rPr>
        <w:t xml:space="preserve">2013 </w:t>
      </w:r>
      <w:r w:rsidRPr="00A45753">
        <w:t xml:space="preserve">Victorian </w:t>
      </w:r>
      <w:r>
        <w:t>D</w:t>
      </w:r>
      <w:r w:rsidRPr="00A45753">
        <w:t>ecision-</w:t>
      </w:r>
      <w:r>
        <w:t>M</w:t>
      </w:r>
      <w:r w:rsidRPr="00A45753">
        <w:t xml:space="preserve">aking </w:t>
      </w:r>
      <w:r>
        <w:t>P</w:t>
      </w:r>
      <w:r w:rsidRPr="00A45753">
        <w:t xml:space="preserve">rinciples are not consistent with the Commission’s views on when interventions should be able to be authorised, based on the </w:t>
      </w:r>
      <w:r>
        <w:t>Medical necessity principle</w:t>
      </w:r>
      <w:r w:rsidRPr="00A45753">
        <w:t>.</w:t>
      </w:r>
      <w:r w:rsidRPr="0117CC5D">
        <w:rPr>
          <w:rStyle w:val="EndnoteReference"/>
        </w:rPr>
        <w:endnoteReference w:id="470"/>
      </w:r>
    </w:p>
    <w:p w:rsidRPr="00A45753" w:rsidR="00810FD7" w:rsidP="00810FD7" w:rsidRDefault="00810FD7" w14:paraId="51902B09" w14:textId="77777777">
      <w:pPr>
        <w:pStyle w:val="Heading3"/>
      </w:pPr>
      <w:bookmarkStart w:name="_Toc85541450" w:id="344"/>
      <w:r w:rsidRPr="00A45753">
        <w:lastRenderedPageBreak/>
        <w:t>Non-binding nature of existing guidelines</w:t>
      </w:r>
      <w:bookmarkEnd w:id="344"/>
    </w:p>
    <w:p w:rsidRPr="00A45753" w:rsidR="00810FD7" w:rsidP="00810FD7" w:rsidRDefault="00810FD7" w14:paraId="22CFD316" w14:textId="77777777">
      <w:pPr>
        <w:spacing w:before="0"/>
      </w:pPr>
      <w:r w:rsidRPr="00A45753">
        <w:t>An</w:t>
      </w:r>
      <w:r w:rsidRPr="00A45753">
        <w:rPr>
          <w:rFonts w:cs="Open Sans"/>
        </w:rPr>
        <w:t xml:space="preserve"> MDT member observed </w:t>
      </w:r>
      <w:r w:rsidRPr="00A45753">
        <w:t>that existing guidelines provide the framework on which their team base care management of individuals born with variations in sex characteristics.</w:t>
      </w:r>
      <w:r w:rsidRPr="0117CC5D">
        <w:rPr>
          <w:rStyle w:val="EndnoteReference"/>
        </w:rPr>
        <w:endnoteReference w:id="471"/>
      </w:r>
      <w:r w:rsidRPr="00A45753">
        <w:t xml:space="preserve"> </w:t>
      </w:r>
    </w:p>
    <w:p w:rsidRPr="00A45753" w:rsidR="00810FD7" w:rsidP="00810FD7" w:rsidRDefault="00810FD7" w14:paraId="19E1AC2A" w14:textId="77777777">
      <w:pPr>
        <w:spacing w:before="0"/>
        <w:rPr>
          <w:rFonts w:cs="Open Sans"/>
        </w:rPr>
      </w:pPr>
      <w:r>
        <w:rPr>
          <w:rFonts w:cs="Open Sans"/>
        </w:rPr>
        <w:t>Some</w:t>
      </w:r>
      <w:r w:rsidRPr="00A45753">
        <w:rPr>
          <w:rFonts w:cs="Open Sans"/>
        </w:rPr>
        <w:t xml:space="preserve"> clinicians </w:t>
      </w:r>
      <w:r>
        <w:rPr>
          <w:rFonts w:cs="Open Sans"/>
        </w:rPr>
        <w:t xml:space="preserve">said </w:t>
      </w:r>
      <w:r w:rsidRPr="00A45753">
        <w:rPr>
          <w:rFonts w:cs="Open Sans"/>
        </w:rPr>
        <w:t xml:space="preserve">that the non-binding nature </w:t>
      </w:r>
      <w:r>
        <w:rPr>
          <w:rFonts w:cs="Open Sans"/>
        </w:rPr>
        <w:t xml:space="preserve">of this guidance </w:t>
      </w:r>
      <w:r w:rsidRPr="00A45753">
        <w:rPr>
          <w:rFonts w:cs="Open Sans"/>
        </w:rPr>
        <w:t>was a benefit as it allows for individual variability.</w:t>
      </w:r>
      <w:r w:rsidRPr="0117CC5D">
        <w:rPr>
          <w:rStyle w:val="EndnoteReference"/>
          <w:rFonts w:cs="Open Sans"/>
        </w:rPr>
        <w:endnoteReference w:id="472"/>
      </w:r>
      <w:r w:rsidRPr="00A45753">
        <w:rPr>
          <w:rFonts w:cs="Open Sans"/>
        </w:rPr>
        <w:t xml:space="preserve"> APEG stated: </w:t>
      </w:r>
    </w:p>
    <w:p w:rsidRPr="00A45753" w:rsidR="00810FD7" w:rsidP="00810FD7" w:rsidRDefault="00810FD7" w14:paraId="01969171" w14:textId="77777777">
      <w:pPr>
        <w:spacing w:before="0"/>
        <w:ind w:left="720"/>
        <w:rPr>
          <w:rFonts w:cs="Open Sans"/>
          <w:sz w:val="22"/>
          <w:szCs w:val="22"/>
        </w:rPr>
      </w:pPr>
      <w:r w:rsidRPr="00A45753">
        <w:rPr>
          <w:rFonts w:cs="Open Sans"/>
          <w:sz w:val="22"/>
          <w:szCs w:val="22"/>
        </w:rPr>
        <w:t xml:space="preserve">Australian physicians and surgeons contribute to the development, endorse and follow international multidisciplinary guidelines for the management of specific conditions under the umbrella </w:t>
      </w:r>
      <w:r>
        <w:rPr>
          <w:rFonts w:cs="Open Sans"/>
          <w:sz w:val="22"/>
          <w:szCs w:val="22"/>
        </w:rPr>
        <w:t>‘</w:t>
      </w:r>
      <w:r w:rsidRPr="00A45753">
        <w:rPr>
          <w:rFonts w:cs="Open Sans"/>
          <w:sz w:val="22"/>
          <w:szCs w:val="22"/>
        </w:rPr>
        <w:t>people born with variations in sex characteristics</w:t>
      </w:r>
      <w:r>
        <w:rPr>
          <w:rFonts w:cs="Open Sans"/>
          <w:sz w:val="22"/>
          <w:szCs w:val="22"/>
        </w:rPr>
        <w:t>’</w:t>
      </w:r>
      <w:r w:rsidRPr="00A45753">
        <w:rPr>
          <w:rFonts w:cs="Open Sans"/>
          <w:sz w:val="22"/>
          <w:szCs w:val="22"/>
        </w:rPr>
        <w:t>. Guidelines give a framework for clinical care based on best available evidence; however they are as the name implies ‘guidelines’ or proposed strategies for interventions but should not be thought of as ‘mandatory’ as they cannot account for every individual variation.</w:t>
      </w:r>
      <w:r w:rsidRPr="0117CC5D">
        <w:rPr>
          <w:rStyle w:val="EndnoteReference"/>
          <w:rFonts w:cs="Open Sans"/>
        </w:rPr>
        <w:endnoteReference w:id="473"/>
      </w:r>
    </w:p>
    <w:p w:rsidRPr="00A45753" w:rsidR="00810FD7" w:rsidP="00810FD7" w:rsidRDefault="00810FD7" w14:paraId="085648C9" w14:textId="77777777">
      <w:pPr>
        <w:spacing w:before="0"/>
        <w:rPr>
          <w:rFonts w:eastAsia="Open Sans" w:cs="Open Sans"/>
          <w:vertAlign w:val="superscript"/>
        </w:rPr>
      </w:pPr>
      <w:r w:rsidRPr="00A45753">
        <w:rPr>
          <w:rFonts w:cs="Open Sans"/>
        </w:rPr>
        <w:t>Intersex advocates stated that the non-binding nature of the existing guidelines meant they could not be considered as an effective framework to ensure human rights compliant interventions occurred.</w:t>
      </w:r>
      <w:r w:rsidRPr="0117CC5D">
        <w:rPr>
          <w:rStyle w:val="EndnoteReference"/>
          <w:rFonts w:cs="Open Sans"/>
        </w:rPr>
        <w:endnoteReference w:id="474"/>
      </w:r>
      <w:r w:rsidRPr="00A45753">
        <w:rPr>
          <w:rFonts w:cs="Open Sans"/>
        </w:rPr>
        <w:t xml:space="preserve"> A LGBTI community organisation</w:t>
      </w:r>
      <w:r w:rsidRPr="00A45753">
        <w:rPr>
          <w:rFonts w:cs="Open Sans"/>
          <w:b/>
          <w:bCs/>
        </w:rPr>
        <w:t xml:space="preserve"> </w:t>
      </w:r>
      <w:r w:rsidRPr="00A45753">
        <w:rPr>
          <w:rFonts w:cs="Open Sans"/>
        </w:rPr>
        <w:t xml:space="preserve">argued that there is no published, independent evidence to indicate that any of the guidelines </w:t>
      </w:r>
      <w:r>
        <w:rPr>
          <w:rFonts w:cs="Open Sans"/>
        </w:rPr>
        <w:t>affect</w:t>
      </w:r>
      <w:r w:rsidRPr="00A45753">
        <w:rPr>
          <w:rFonts w:cs="Open Sans"/>
        </w:rPr>
        <w:t xml:space="preserve"> practice. They attributed this to, among other things, their non-binding nature.</w:t>
      </w:r>
      <w:r w:rsidRPr="0117CC5D">
        <w:rPr>
          <w:rStyle w:val="EndnoteReference"/>
          <w:rFonts w:cs="Open Sans"/>
        </w:rPr>
        <w:endnoteReference w:id="475"/>
      </w:r>
      <w:r>
        <w:rPr>
          <w:rFonts w:cs="Open Sans"/>
        </w:rPr>
        <w:t xml:space="preserve"> T</w:t>
      </w:r>
      <w:r w:rsidRPr="00A45753">
        <w:rPr>
          <w:rFonts w:cs="Open Sans"/>
        </w:rPr>
        <w:t xml:space="preserve">hey </w:t>
      </w:r>
      <w:r>
        <w:rPr>
          <w:rFonts w:cs="Open Sans"/>
        </w:rPr>
        <w:t>also</w:t>
      </w:r>
      <w:r w:rsidRPr="00A45753">
        <w:rPr>
          <w:rFonts w:cs="Open Sans"/>
        </w:rPr>
        <w:t xml:space="preserve"> argued that the guidelines were ineffective in protecting human rights given their endorsement of psycho-social rationales for intervention. </w:t>
      </w:r>
    </w:p>
    <w:p w:rsidRPr="00E11E71" w:rsidR="00810FD7" w:rsidP="004E1B63" w:rsidRDefault="00810FD7" w14:paraId="71330B5A" w14:textId="794B66BC">
      <w:pPr>
        <w:pStyle w:val="AHRCHeading2"/>
      </w:pPr>
      <w:bookmarkStart w:name="_Toc85541451" w:id="345"/>
      <w:r w:rsidRPr="00E11E71">
        <w:t>Need for clinical guidance</w:t>
      </w:r>
      <w:bookmarkEnd w:id="345"/>
      <w:r w:rsidRPr="00E11E71">
        <w:t xml:space="preserve"> </w:t>
      </w:r>
    </w:p>
    <w:p w:rsidRPr="00A45753" w:rsidR="00810FD7" w:rsidP="00810FD7" w:rsidRDefault="00810FD7" w14:paraId="4E477A36" w14:textId="77777777">
      <w:r w:rsidRPr="00A45753">
        <w:t xml:space="preserve">Most stakeholders were in favour of new guidelines. Support from people with lived experience </w:t>
      </w:r>
      <w:r>
        <w:t xml:space="preserve">of variations in sex characteristics </w:t>
      </w:r>
      <w:r w:rsidRPr="00A45753">
        <w:t xml:space="preserve">was based on the view that guidelines are needed to limit interventions to circumstances of medical necessity and provide for minimum standards of care. Support for guidelines from some clinicians was based on the need for updates to best practice information. However, some clinical </w:t>
      </w:r>
      <w:r>
        <w:t>stakeholders</w:t>
      </w:r>
      <w:r w:rsidRPr="00A45753">
        <w:t xml:space="preserve"> questioned the usefulness of guidelines.</w:t>
      </w:r>
    </w:p>
    <w:p w:rsidRPr="00A45753" w:rsidR="00810FD7" w:rsidP="00810FD7" w:rsidRDefault="00810FD7" w14:paraId="27284B40" w14:textId="77777777">
      <w:pPr>
        <w:pStyle w:val="Heading3"/>
      </w:pPr>
      <w:bookmarkStart w:name="_Toc85541452" w:id="346"/>
      <w:r w:rsidRPr="00A45753">
        <w:t>Stakeholder views on new guidance</w:t>
      </w:r>
      <w:bookmarkEnd w:id="346"/>
    </w:p>
    <w:p w:rsidRPr="00A45753" w:rsidR="00810FD7" w:rsidP="00810FD7" w:rsidRDefault="00810FD7" w14:paraId="4FDBA3BA" w14:textId="77777777">
      <w:pPr>
        <w:widowControl w:val="0"/>
        <w:rPr>
          <w:rFonts w:cs="Open Sans"/>
          <w:iCs/>
        </w:rPr>
      </w:pPr>
      <w:r>
        <w:rPr>
          <w:rFonts w:cs="Open Sans"/>
        </w:rPr>
        <w:t>Many</w:t>
      </w:r>
      <w:r w:rsidRPr="00A45753">
        <w:rPr>
          <w:rFonts w:cs="Open Sans"/>
        </w:rPr>
        <w:t xml:space="preserve"> stakeholders </w:t>
      </w:r>
      <w:r>
        <w:rPr>
          <w:rFonts w:cs="Open Sans"/>
        </w:rPr>
        <w:t xml:space="preserve">supported </w:t>
      </w:r>
      <w:r w:rsidRPr="00A45753">
        <w:rPr>
          <w:rFonts w:cs="Open Sans"/>
        </w:rPr>
        <w:t xml:space="preserve">new guidelines. </w:t>
      </w:r>
      <w:r w:rsidRPr="00A45753">
        <w:rPr>
          <w:rFonts w:cs="Open Sans"/>
          <w:iCs/>
        </w:rPr>
        <w:t xml:space="preserve">APEG submitted that the </w:t>
      </w:r>
      <w:r w:rsidRPr="00A45753">
        <w:rPr>
          <w:rFonts w:cs="Open Sans"/>
          <w:iCs/>
        </w:rPr>
        <w:lastRenderedPageBreak/>
        <w:t xml:space="preserve">development of </w:t>
      </w:r>
      <w:r>
        <w:rPr>
          <w:rFonts w:cs="Open Sans"/>
          <w:iCs/>
        </w:rPr>
        <w:t xml:space="preserve">new </w:t>
      </w:r>
      <w:r w:rsidRPr="00A45753">
        <w:rPr>
          <w:rFonts w:cs="Open Sans"/>
          <w:iCs/>
        </w:rPr>
        <w:t>guidelines could allow for regular reviews of available evidence to update recommendations for practice, though they said that this was predicated on the provision of sufficient funding to resource a writing team.</w:t>
      </w:r>
      <w:r w:rsidRPr="0117CC5D">
        <w:rPr>
          <w:rStyle w:val="EndnoteReference"/>
          <w:rFonts w:cs="Open Sans"/>
        </w:rPr>
        <w:endnoteReference w:id="476"/>
      </w:r>
      <w:r w:rsidRPr="00A45753">
        <w:rPr>
          <w:rFonts w:cs="Open Sans"/>
          <w:iCs/>
        </w:rPr>
        <w:t xml:space="preserve"> </w:t>
      </w:r>
    </w:p>
    <w:p w:rsidRPr="00A45753" w:rsidR="00810FD7" w:rsidP="00810FD7" w:rsidRDefault="00810FD7" w14:paraId="3824E95E" w14:textId="77777777">
      <w:pPr>
        <w:widowControl w:val="0"/>
        <w:rPr>
          <w:rFonts w:cs="Open Sans"/>
        </w:rPr>
      </w:pPr>
      <w:r w:rsidRPr="00A45753">
        <w:rPr>
          <w:rFonts w:cs="Open Sans"/>
        </w:rPr>
        <w:t>Intersex peer-support and advocacy organisations, people with lived experience, as well as human rights and legal organisations, were also supportive of new guidelines</w:t>
      </w:r>
      <w:r>
        <w:rPr>
          <w:rFonts w:cs="Open Sans"/>
        </w:rPr>
        <w:t>.</w:t>
      </w:r>
      <w:r w:rsidRPr="0117CC5D">
        <w:rPr>
          <w:rStyle w:val="EndnoteReference"/>
          <w:rFonts w:cs="Open Sans"/>
        </w:rPr>
        <w:endnoteReference w:id="477"/>
      </w:r>
      <w:r w:rsidRPr="00A45753">
        <w:rPr>
          <w:rFonts w:cs="Open Sans"/>
        </w:rPr>
        <w:t xml:space="preserve"> They argued that the 2006 Consensus Statement as a non-binding document does not provide a minimum care standard nor consistency of care, as adherence to the 2006 Consensus Statement is subject to individual </w:t>
      </w:r>
      <w:r>
        <w:rPr>
          <w:rFonts w:cs="Open Sans"/>
        </w:rPr>
        <w:t xml:space="preserve">clinician </w:t>
      </w:r>
      <w:r w:rsidRPr="00A45753">
        <w:rPr>
          <w:rFonts w:cs="Open Sans"/>
        </w:rPr>
        <w:t xml:space="preserve">preference. They also considered that the content of the 2006 Consensus Statement fails to protect human rights as it does not prohibit medical interventions on psychosocial grounds. </w:t>
      </w:r>
    </w:p>
    <w:p w:rsidRPr="00A45753" w:rsidR="00810FD7" w:rsidP="00810FD7" w:rsidRDefault="00810FD7" w14:paraId="7B1989F8" w14:textId="77777777">
      <w:pPr>
        <w:rPr>
          <w:rFonts w:cs="Open Sans"/>
        </w:rPr>
      </w:pPr>
      <w:r w:rsidRPr="00A45753">
        <w:rPr>
          <w:rFonts w:cs="Open Sans"/>
        </w:rPr>
        <w:t>These organisations state</w:t>
      </w:r>
      <w:r>
        <w:rPr>
          <w:rFonts w:cs="Open Sans"/>
        </w:rPr>
        <w:t>d</w:t>
      </w:r>
      <w:r w:rsidRPr="00A45753">
        <w:rPr>
          <w:rFonts w:cs="Open Sans"/>
        </w:rPr>
        <w:t xml:space="preserve"> that the current system has failed to adequately protect the human rights of individuals with variations in sex characteristics and so new guidelines are a necessary part of a framework to ensure human rights.</w:t>
      </w:r>
      <w:r w:rsidRPr="0117CC5D">
        <w:rPr>
          <w:rStyle w:val="EndnoteReference"/>
          <w:rFonts w:cs="Open Sans"/>
        </w:rPr>
        <w:endnoteReference w:id="478"/>
      </w:r>
    </w:p>
    <w:p w:rsidRPr="00A45753" w:rsidR="00810FD7" w:rsidP="00810FD7" w:rsidRDefault="00810FD7" w14:paraId="1DCEF298" w14:textId="77E03083">
      <w:pPr>
        <w:rPr>
          <w:rFonts w:cs="Open Sans"/>
        </w:rPr>
      </w:pPr>
      <w:r w:rsidRPr="00A45753">
        <w:rPr>
          <w:rFonts w:cs="Open Sans"/>
        </w:rPr>
        <w:t>Arguments against the development of new guidelines included that</w:t>
      </w:r>
    </w:p>
    <w:p w:rsidRPr="00A45753" w:rsidR="00810FD7" w:rsidP="002F7D27" w:rsidRDefault="00810FD7" w14:paraId="273D82AB" w14:textId="77777777">
      <w:pPr>
        <w:pStyle w:val="ListParagraph"/>
        <w:numPr>
          <w:ilvl w:val="0"/>
          <w:numId w:val="55"/>
        </w:numPr>
      </w:pPr>
      <w:r w:rsidRPr="00A45753">
        <w:rPr>
          <w:rFonts w:cs="Open Sans"/>
        </w:rPr>
        <w:t>each case is so individual that guidelines would be of limited value</w:t>
      </w:r>
      <w:r w:rsidRPr="0117CC5D">
        <w:rPr>
          <w:rStyle w:val="EndnoteReference"/>
          <w:rFonts w:cs="Open Sans"/>
        </w:rPr>
        <w:endnoteReference w:id="479"/>
      </w:r>
      <w:r w:rsidRPr="00A45753">
        <w:rPr>
          <w:rFonts w:cs="Open Sans"/>
        </w:rPr>
        <w:t xml:space="preserve"> </w:t>
      </w:r>
    </w:p>
    <w:p w:rsidRPr="00A45753" w:rsidR="00810FD7" w:rsidP="002F7D27" w:rsidRDefault="00810FD7" w14:paraId="7DCA9E9A" w14:textId="77777777">
      <w:pPr>
        <w:pStyle w:val="ListParagraph"/>
        <w:numPr>
          <w:ilvl w:val="0"/>
          <w:numId w:val="55"/>
        </w:numPr>
        <w:rPr>
          <w:rFonts w:cs="Open Sans"/>
        </w:rPr>
      </w:pPr>
      <w:r w:rsidRPr="00A45753">
        <w:t>Australian guidelines would do no more than duplicate the existing 2006 Consensus Statement.</w:t>
      </w:r>
      <w:r w:rsidRPr="0117CC5D">
        <w:rPr>
          <w:rStyle w:val="EndnoteReference"/>
          <w:rFonts w:cs="Open Sans"/>
        </w:rPr>
        <w:endnoteReference w:id="480"/>
      </w:r>
    </w:p>
    <w:p w:rsidRPr="00A45753" w:rsidR="00810FD7" w:rsidP="00810FD7" w:rsidRDefault="00810FD7" w14:paraId="61337AE5" w14:textId="77777777">
      <w:pPr>
        <w:pStyle w:val="Heading3"/>
      </w:pPr>
      <w:bookmarkStart w:name="_Toc85541453" w:id="347"/>
      <w:r w:rsidRPr="00A45753">
        <w:t>Possible content of new guidelines</w:t>
      </w:r>
      <w:bookmarkEnd w:id="347"/>
    </w:p>
    <w:p w:rsidRPr="00A45753" w:rsidR="00810FD7" w:rsidP="00810FD7" w:rsidRDefault="00810FD7" w14:paraId="0EFE9443" w14:textId="77777777">
      <w:pPr>
        <w:rPr>
          <w:rFonts w:cs="Open Sans"/>
        </w:rPr>
      </w:pPr>
      <w:r w:rsidRPr="00A45753">
        <w:rPr>
          <w:rFonts w:cs="Open Sans"/>
        </w:rPr>
        <w:t>Stakeholders made a range of suggestions about the possible content of any new guidelines</w:t>
      </w:r>
      <w:r>
        <w:rPr>
          <w:rFonts w:cs="Open Sans"/>
        </w:rPr>
        <w:t xml:space="preserve">, including in relation to </w:t>
      </w:r>
      <w:r w:rsidRPr="00A45753">
        <w:rPr>
          <w:rFonts w:cs="Open Sans"/>
        </w:rPr>
        <w:t xml:space="preserve">clinical management, long-term care needs, as well as philosophical approaches to guidelines. </w:t>
      </w:r>
    </w:p>
    <w:p w:rsidRPr="00A45753" w:rsidR="00810FD7" w:rsidP="00810FD7" w:rsidRDefault="00810FD7" w14:paraId="578A857C" w14:textId="77777777">
      <w:pPr>
        <w:widowControl w:val="0"/>
      </w:pPr>
      <w:r w:rsidRPr="00A45753">
        <w:t xml:space="preserve">Legal and intersex </w:t>
      </w:r>
      <w:r>
        <w:t>advocacy</w:t>
      </w:r>
      <w:r w:rsidRPr="00A45753">
        <w:t xml:space="preserve"> organisations envisaged a broad scope for national standards or guidelines, covering more than just recommendations for clinical care. These stakeholders proposed </w:t>
      </w:r>
      <w:r>
        <w:t>National Guidelines</w:t>
      </w:r>
      <w:r w:rsidRPr="00A45753">
        <w:t xml:space="preserve"> covering both clinical care and management and decision-making processes</w:t>
      </w:r>
      <w:r>
        <w:t>, as summarised below.</w:t>
      </w:r>
      <w:r>
        <w:rPr>
          <w:rStyle w:val="EndnoteReference"/>
        </w:rPr>
        <w:endnoteReference w:id="481"/>
      </w:r>
      <w:r w:rsidRPr="00A45753">
        <w:t xml:space="preserve"> </w:t>
      </w:r>
    </w:p>
    <w:p w:rsidRPr="00A45753" w:rsidR="00810FD7" w:rsidP="00810FD7" w:rsidRDefault="00810FD7" w14:paraId="782FDA42" w14:textId="77777777">
      <w:pPr>
        <w:pStyle w:val="Heading4"/>
      </w:pPr>
      <w:r w:rsidRPr="00A45753">
        <w:lastRenderedPageBreak/>
        <w:t>Clinical management</w:t>
      </w:r>
    </w:p>
    <w:p w:rsidRPr="00455258" w:rsidR="00810FD7" w:rsidP="00810FD7" w:rsidRDefault="00810FD7" w14:paraId="5ED50B9D" w14:textId="6EB2032E">
      <w:pPr>
        <w:rPr>
          <w:rFonts w:cs="Open Sans"/>
        </w:rPr>
      </w:pPr>
      <w:r>
        <w:rPr>
          <w:rFonts w:cs="Open Sans"/>
        </w:rPr>
        <w:t>New guidelines should</w:t>
      </w:r>
    </w:p>
    <w:p w:rsidRPr="00A45753" w:rsidR="00810FD7" w:rsidP="002F7D27" w:rsidRDefault="00810FD7" w14:paraId="2E2B66C5" w14:textId="77777777">
      <w:pPr>
        <w:pStyle w:val="ListParagraph"/>
        <w:numPr>
          <w:ilvl w:val="0"/>
          <w:numId w:val="53"/>
        </w:numPr>
        <w:rPr>
          <w:rFonts w:cs="Open Sans"/>
        </w:rPr>
      </w:pPr>
      <w:r w:rsidRPr="00A45753">
        <w:rPr>
          <w:rFonts w:cs="Open Sans"/>
        </w:rPr>
        <w:t>prescribe standards of care, across the lifetime</w:t>
      </w:r>
      <w:r w:rsidRPr="0117CC5D">
        <w:rPr>
          <w:rStyle w:val="EndnoteReference"/>
          <w:rFonts w:cs="Open Sans"/>
        </w:rPr>
        <w:endnoteReference w:id="482"/>
      </w:r>
    </w:p>
    <w:p w:rsidRPr="00A45753" w:rsidR="00810FD7" w:rsidP="002F7D27" w:rsidRDefault="00810FD7" w14:paraId="52125A26" w14:textId="77777777">
      <w:pPr>
        <w:pStyle w:val="ListParagraph"/>
        <w:widowControl w:val="0"/>
        <w:numPr>
          <w:ilvl w:val="0"/>
          <w:numId w:val="53"/>
        </w:numPr>
        <w:ind w:left="714" w:hanging="357"/>
        <w:rPr>
          <w:rFonts w:cs="Open Sans"/>
        </w:rPr>
      </w:pPr>
      <w:r w:rsidRPr="00A45753">
        <w:rPr>
          <w:rFonts w:cs="Open Sans"/>
        </w:rPr>
        <w:t xml:space="preserve">contain specific guidance on the treatment of different types of variations in sex characteristics as distinct components of the overall </w:t>
      </w:r>
      <w:r>
        <w:rPr>
          <w:rFonts w:cs="Open Sans"/>
        </w:rPr>
        <w:t>National Guidelines</w:t>
      </w:r>
    </w:p>
    <w:p w:rsidRPr="00A45753" w:rsidR="00810FD7" w:rsidP="002F7D27" w:rsidRDefault="00810FD7" w14:paraId="251941B1" w14:textId="77777777">
      <w:pPr>
        <w:pStyle w:val="ListParagraph"/>
        <w:numPr>
          <w:ilvl w:val="0"/>
          <w:numId w:val="53"/>
        </w:numPr>
        <w:rPr>
          <w:rFonts w:cs="Open Sans"/>
        </w:rPr>
      </w:pPr>
      <w:r w:rsidRPr="00A45753">
        <w:rPr>
          <w:rFonts w:cs="Open Sans"/>
        </w:rPr>
        <w:t>set out contemporary evidence of available treatments, their benefits, risks and expected outcomes in the short, medium and long-term, and identify areas which remain uncertain</w:t>
      </w:r>
      <w:r>
        <w:rPr>
          <w:rFonts w:cs="Open Sans"/>
        </w:rPr>
        <w:t>.</w:t>
      </w:r>
      <w:r w:rsidRPr="0117CC5D">
        <w:rPr>
          <w:rStyle w:val="EndnoteReference"/>
          <w:rFonts w:cs="Open Sans"/>
        </w:rPr>
        <w:endnoteReference w:id="483"/>
      </w:r>
    </w:p>
    <w:p w:rsidRPr="00A45753" w:rsidR="00810FD7" w:rsidP="00810FD7" w:rsidRDefault="00810FD7" w14:paraId="54F9EDA1" w14:textId="77777777">
      <w:pPr>
        <w:pStyle w:val="Heading4"/>
      </w:pPr>
      <w:r w:rsidRPr="00A45753">
        <w:t xml:space="preserve">Rationales and consent </w:t>
      </w:r>
    </w:p>
    <w:p w:rsidRPr="00455258" w:rsidR="00810FD7" w:rsidP="00810FD7" w:rsidRDefault="00810FD7" w14:paraId="131E1A86" w14:textId="3E30E3A3">
      <w:pPr>
        <w:rPr>
          <w:rFonts w:cs="Open Sans"/>
        </w:rPr>
      </w:pPr>
      <w:r>
        <w:rPr>
          <w:rFonts w:cs="Open Sans"/>
        </w:rPr>
        <w:t>New guidelines should</w:t>
      </w:r>
    </w:p>
    <w:p w:rsidRPr="00A45753" w:rsidR="00810FD7" w:rsidP="002F7D27" w:rsidRDefault="00810FD7" w14:paraId="04EC42C7" w14:textId="77777777">
      <w:pPr>
        <w:pStyle w:val="ListParagraph"/>
        <w:numPr>
          <w:ilvl w:val="0"/>
          <w:numId w:val="53"/>
        </w:numPr>
        <w:rPr>
          <w:rFonts w:cs="Open Sans"/>
        </w:rPr>
      </w:pPr>
      <w:r w:rsidRPr="00A45753">
        <w:rPr>
          <w:rFonts w:cs="Open Sans"/>
        </w:rPr>
        <w:t>detail rationales and procedures that should be deferred until such time as an individual can determine if or when they wish to proceed</w:t>
      </w:r>
      <w:r w:rsidRPr="0117CC5D">
        <w:rPr>
          <w:rStyle w:val="EndnoteReference"/>
          <w:rFonts w:cs="Open Sans"/>
        </w:rPr>
        <w:endnoteReference w:id="484"/>
      </w:r>
    </w:p>
    <w:p w:rsidRPr="00A45753" w:rsidR="00810FD7" w:rsidP="002F7D27" w:rsidRDefault="00810FD7" w14:paraId="76CA7354" w14:textId="1B936B45">
      <w:pPr>
        <w:pStyle w:val="ListParagraph"/>
        <w:numPr>
          <w:ilvl w:val="0"/>
          <w:numId w:val="53"/>
        </w:numPr>
        <w:rPr>
          <w:rFonts w:cs="Open Sans"/>
        </w:rPr>
      </w:pPr>
      <w:r w:rsidRPr="00A45753">
        <w:rPr>
          <w:rFonts w:cs="Open Sans"/>
        </w:rPr>
        <w:t>identify psychosocial purposes that should or should not be taken into account in deciding on whether treatment is medically necessary and non</w:t>
      </w:r>
      <w:r w:rsidR="002D1499">
        <w:rPr>
          <w:rFonts w:cs="Open Sans"/>
        </w:rPr>
        <w:t>-</w:t>
      </w:r>
      <w:r w:rsidRPr="00A45753">
        <w:rPr>
          <w:rFonts w:cs="Open Sans"/>
        </w:rPr>
        <w:t>deferrable</w:t>
      </w:r>
      <w:r w:rsidRPr="0117CC5D">
        <w:rPr>
          <w:rStyle w:val="EndnoteReference"/>
          <w:rFonts w:cs="Open Sans"/>
        </w:rPr>
        <w:endnoteReference w:id="485"/>
      </w:r>
    </w:p>
    <w:p w:rsidRPr="00A45753" w:rsidR="00810FD7" w:rsidP="002F7D27" w:rsidRDefault="00810FD7" w14:paraId="4FB74FB5" w14:textId="0EBE3C9A">
      <w:pPr>
        <w:pStyle w:val="ListParagraph"/>
        <w:widowControl w:val="0"/>
        <w:numPr>
          <w:ilvl w:val="0"/>
          <w:numId w:val="53"/>
        </w:numPr>
        <w:ind w:left="714" w:hanging="357"/>
        <w:rPr>
          <w:rFonts w:cs="Open Sans"/>
        </w:rPr>
      </w:pPr>
      <w:r w:rsidRPr="00A45753">
        <w:rPr>
          <w:rFonts w:cs="Open Sans"/>
        </w:rPr>
        <w:t xml:space="preserve">provide appropriate direction for clinicians, parents, guardians and </w:t>
      </w:r>
      <w:r w:rsidR="008F4A9F">
        <w:rPr>
          <w:rFonts w:cs="Open Sans"/>
        </w:rPr>
        <w:t xml:space="preserve">children about the </w:t>
      </w:r>
      <w:r w:rsidRPr="00A45753">
        <w:rPr>
          <w:rFonts w:cs="Open Sans"/>
        </w:rPr>
        <w:t xml:space="preserve">circumstances </w:t>
      </w:r>
      <w:r w:rsidR="008F4A9F">
        <w:rPr>
          <w:rFonts w:cs="Open Sans"/>
        </w:rPr>
        <w:t>in which</w:t>
      </w:r>
      <w:r w:rsidRPr="00A45753">
        <w:rPr>
          <w:rFonts w:cs="Open Sans"/>
        </w:rPr>
        <w:t xml:space="preserve"> parents </w:t>
      </w:r>
      <w:r w:rsidR="008F4A9F">
        <w:rPr>
          <w:rFonts w:cs="Open Sans"/>
        </w:rPr>
        <w:t xml:space="preserve">can and </w:t>
      </w:r>
      <w:r w:rsidRPr="00A45753">
        <w:rPr>
          <w:rFonts w:cs="Open Sans"/>
        </w:rPr>
        <w:t xml:space="preserve">cannot give consent to treatment for </w:t>
      </w:r>
      <w:r>
        <w:rPr>
          <w:rFonts w:cs="Open Sans"/>
        </w:rPr>
        <w:t xml:space="preserve">children </w:t>
      </w:r>
      <w:r w:rsidRPr="00A45753">
        <w:rPr>
          <w:rFonts w:cs="Open Sans"/>
        </w:rPr>
        <w:t>and young people</w:t>
      </w:r>
      <w:r>
        <w:rPr>
          <w:rFonts w:cs="Open Sans"/>
        </w:rPr>
        <w:t xml:space="preserve"> who are not </w:t>
      </w:r>
      <w:r w:rsidRPr="00A45753">
        <w:rPr>
          <w:rFonts w:cs="Open Sans"/>
          <w:i/>
          <w:iCs/>
        </w:rPr>
        <w:t xml:space="preserve">Gillick </w:t>
      </w:r>
      <w:r>
        <w:rPr>
          <w:rFonts w:cs="Open Sans"/>
        </w:rPr>
        <w:t>competent</w:t>
      </w:r>
      <w:r w:rsidRPr="0117CC5D">
        <w:rPr>
          <w:rStyle w:val="EndnoteReference"/>
          <w:rFonts w:cs="Open Sans"/>
        </w:rPr>
        <w:endnoteReference w:id="486"/>
      </w:r>
    </w:p>
    <w:p w:rsidRPr="00A45753" w:rsidR="00810FD7" w:rsidP="002F7D27" w:rsidRDefault="00810FD7" w14:paraId="4679A5B3" w14:textId="77777777">
      <w:pPr>
        <w:pStyle w:val="ListParagraph"/>
        <w:widowControl w:val="0"/>
        <w:numPr>
          <w:ilvl w:val="0"/>
          <w:numId w:val="53"/>
        </w:numPr>
        <w:ind w:left="714" w:hanging="357"/>
        <w:rPr>
          <w:rFonts w:cs="Open Sans"/>
        </w:rPr>
      </w:pPr>
      <w:r w:rsidRPr="00A45753">
        <w:t>provide standardised materials to assist with the documentation of informed consent in decision making.</w:t>
      </w:r>
    </w:p>
    <w:p w:rsidRPr="00A939B6" w:rsidR="00810FD7" w:rsidP="00810FD7" w:rsidRDefault="00810FD7" w14:paraId="43D6A0CA" w14:textId="77777777">
      <w:pPr>
        <w:pStyle w:val="Heading4"/>
      </w:pPr>
      <w:r w:rsidRPr="00A45753">
        <w:t xml:space="preserve">Legal </w:t>
      </w:r>
      <w:r>
        <w:t xml:space="preserve">and </w:t>
      </w:r>
      <w:r w:rsidRPr="00A939B6">
        <w:t>human rights framework</w:t>
      </w:r>
    </w:p>
    <w:p w:rsidRPr="00A939B6" w:rsidR="00810FD7" w:rsidP="00810FD7" w:rsidRDefault="00810FD7" w14:paraId="1BE33A47" w14:textId="77777777">
      <w:pPr>
        <w:ind w:left="360"/>
        <w:rPr>
          <w:rFonts w:cs="Open Sans"/>
        </w:rPr>
      </w:pPr>
      <w:r w:rsidRPr="00A939B6">
        <w:rPr>
          <w:rFonts w:cs="Open Sans"/>
        </w:rPr>
        <w:t>New guidelines should be consistent with the human rights principles set out in Chapter 2 and</w:t>
      </w:r>
    </w:p>
    <w:p w:rsidRPr="00A45753" w:rsidR="00810FD7" w:rsidP="002F7D27" w:rsidRDefault="00810FD7" w14:paraId="773F87E9" w14:textId="77777777">
      <w:pPr>
        <w:pStyle w:val="ListParagraph"/>
        <w:numPr>
          <w:ilvl w:val="0"/>
          <w:numId w:val="53"/>
        </w:numPr>
        <w:rPr>
          <w:rFonts w:cs="Open Sans"/>
        </w:rPr>
      </w:pPr>
      <w:r w:rsidRPr="00A45753">
        <w:rPr>
          <w:rFonts w:cs="Open Sans"/>
        </w:rPr>
        <w:t>explain the human rights approach to weighing of rights, using the proportionality principle</w:t>
      </w:r>
    </w:p>
    <w:p w:rsidRPr="00A45753" w:rsidR="00810FD7" w:rsidP="002F7D27" w:rsidRDefault="00810FD7" w14:paraId="5B4DF8D8" w14:textId="77777777">
      <w:pPr>
        <w:pStyle w:val="ListParagraph"/>
        <w:numPr>
          <w:ilvl w:val="0"/>
          <w:numId w:val="53"/>
        </w:numPr>
        <w:rPr>
          <w:rFonts w:cs="Open Sans"/>
        </w:rPr>
      </w:pPr>
      <w:r w:rsidRPr="00A45753">
        <w:rPr>
          <w:rFonts w:cs="Open Sans"/>
        </w:rPr>
        <w:lastRenderedPageBreak/>
        <w:t xml:space="preserve">provide information for hospitals and clinical teams on the human rights </w:t>
      </w:r>
      <w:r>
        <w:rPr>
          <w:rFonts w:cs="Open Sans"/>
        </w:rPr>
        <w:t>affected</w:t>
      </w:r>
      <w:r w:rsidRPr="00A45753">
        <w:rPr>
          <w:rFonts w:cs="Open Sans"/>
        </w:rPr>
        <w:t xml:space="preserve"> by clinical decision</w:t>
      </w:r>
      <w:r>
        <w:rPr>
          <w:rFonts w:cs="Open Sans"/>
        </w:rPr>
        <w:t xml:space="preserve"> </w:t>
      </w:r>
      <w:r w:rsidRPr="00A45753">
        <w:rPr>
          <w:rFonts w:cs="Open Sans"/>
        </w:rPr>
        <w:t xml:space="preserve">making </w:t>
      </w:r>
    </w:p>
    <w:p w:rsidRPr="00A45753" w:rsidR="00810FD7" w:rsidP="002F7D27" w:rsidRDefault="00810FD7" w14:paraId="59505268" w14:textId="77777777">
      <w:pPr>
        <w:pStyle w:val="ListParagraph"/>
        <w:widowControl w:val="0"/>
        <w:numPr>
          <w:ilvl w:val="0"/>
          <w:numId w:val="53"/>
        </w:numPr>
        <w:ind w:left="714" w:hanging="357"/>
        <w:rPr>
          <w:rFonts w:cs="Open Sans"/>
        </w:rPr>
      </w:pPr>
      <w:r w:rsidRPr="00A45753">
        <w:t xml:space="preserve">develop guidance </w:t>
      </w:r>
      <w:r>
        <w:t>on</w:t>
      </w:r>
      <w:r w:rsidRPr="00A45753">
        <w:t xml:space="preserve"> legal definitions of ‘medical necessity’ and ‘therapeutic treatment’</w:t>
      </w:r>
    </w:p>
    <w:p w:rsidRPr="00A45753" w:rsidR="00810FD7" w:rsidP="002F7D27" w:rsidRDefault="00810FD7" w14:paraId="797634BF" w14:textId="77777777">
      <w:pPr>
        <w:pStyle w:val="ListParagraph"/>
        <w:widowControl w:val="0"/>
        <w:numPr>
          <w:ilvl w:val="0"/>
          <w:numId w:val="53"/>
        </w:numPr>
        <w:ind w:left="714" w:hanging="357"/>
        <w:rPr>
          <w:rFonts w:cs="Open Sans"/>
        </w:rPr>
      </w:pPr>
      <w:r w:rsidRPr="00A45753">
        <w:rPr>
          <w:rFonts w:cs="Open Sans"/>
        </w:rPr>
        <w:t>provide direction regarding the types of procedures and scenarios where judicial oversight is necessary</w:t>
      </w:r>
      <w:r w:rsidRPr="0117CC5D">
        <w:rPr>
          <w:rStyle w:val="EndnoteReference"/>
          <w:rFonts w:cs="Open Sans"/>
        </w:rPr>
        <w:endnoteReference w:id="487"/>
      </w:r>
    </w:p>
    <w:p w:rsidRPr="00A45753" w:rsidR="00810FD7" w:rsidP="002F7D27" w:rsidRDefault="00810FD7" w14:paraId="46D282D7" w14:textId="77777777">
      <w:pPr>
        <w:pStyle w:val="ListParagraph"/>
        <w:numPr>
          <w:ilvl w:val="0"/>
          <w:numId w:val="53"/>
        </w:numPr>
        <w:rPr>
          <w:rFonts w:cs="Open Sans"/>
        </w:rPr>
      </w:pPr>
      <w:r w:rsidRPr="00A45753">
        <w:rPr>
          <w:rFonts w:cs="Open Sans"/>
        </w:rPr>
        <w:t xml:space="preserve">provide for redress for individuals subjected to </w:t>
      </w:r>
      <w:r>
        <w:rPr>
          <w:rFonts w:cs="Open Sans"/>
        </w:rPr>
        <w:t>some</w:t>
      </w:r>
      <w:r w:rsidRPr="00A45753">
        <w:rPr>
          <w:rFonts w:cs="Open Sans"/>
        </w:rPr>
        <w:t xml:space="preserve"> medical interventions without their informed consent</w:t>
      </w:r>
      <w:r>
        <w:rPr>
          <w:rFonts w:cs="Open Sans"/>
        </w:rPr>
        <w:t>.</w:t>
      </w:r>
    </w:p>
    <w:p w:rsidRPr="00A45753" w:rsidR="00810FD7" w:rsidP="00810FD7" w:rsidRDefault="00810FD7" w14:paraId="14F24AE6" w14:textId="77777777">
      <w:pPr>
        <w:pStyle w:val="Heading4"/>
      </w:pPr>
      <w:r w:rsidRPr="00A45753">
        <w:t xml:space="preserve">Information, data and privacy requirements </w:t>
      </w:r>
    </w:p>
    <w:p w:rsidRPr="00A45753" w:rsidR="00810FD7" w:rsidP="00810FD7" w:rsidRDefault="00810FD7" w14:paraId="2E301666" w14:textId="7499BBA7">
      <w:pPr>
        <w:rPr>
          <w:rFonts w:cs="Open Sans"/>
        </w:rPr>
      </w:pPr>
      <w:r>
        <w:rPr>
          <w:rFonts w:cs="Open Sans"/>
        </w:rPr>
        <w:t>New guidelines should</w:t>
      </w:r>
    </w:p>
    <w:p w:rsidRPr="00A45753" w:rsidR="00810FD7" w:rsidP="002F7D27" w:rsidRDefault="00810FD7" w14:paraId="05D80D6B" w14:textId="77777777">
      <w:pPr>
        <w:pStyle w:val="ListParagraph"/>
        <w:numPr>
          <w:ilvl w:val="0"/>
          <w:numId w:val="53"/>
        </w:numPr>
        <w:rPr>
          <w:rFonts w:cs="Open Sans"/>
        </w:rPr>
      </w:pPr>
      <w:r w:rsidRPr="00A45753">
        <w:rPr>
          <w:rFonts w:cs="Open Sans"/>
        </w:rPr>
        <w:t>prescribe arrangements for protecting privacy and safeguarding security of data and records</w:t>
      </w:r>
      <w:r w:rsidRPr="0117CC5D">
        <w:rPr>
          <w:rStyle w:val="EndnoteReference"/>
          <w:rFonts w:cs="Open Sans"/>
        </w:rPr>
        <w:endnoteReference w:id="488"/>
      </w:r>
    </w:p>
    <w:p w:rsidRPr="00A45753" w:rsidR="00810FD7" w:rsidP="002F7D27" w:rsidRDefault="00810FD7" w14:paraId="4C87647D" w14:textId="77777777">
      <w:pPr>
        <w:pStyle w:val="ListParagraph"/>
        <w:numPr>
          <w:ilvl w:val="0"/>
          <w:numId w:val="53"/>
        </w:numPr>
        <w:rPr>
          <w:rFonts w:cs="Open Sans"/>
        </w:rPr>
      </w:pPr>
      <w:r w:rsidRPr="00A45753">
        <w:rPr>
          <w:rFonts w:cs="Open Sans"/>
        </w:rPr>
        <w:t xml:space="preserve">identify criteria and suggested content for information disclosure to parents and carers, and individuals with variations </w:t>
      </w:r>
      <w:r>
        <w:rPr>
          <w:rFonts w:cs="Open Sans"/>
        </w:rPr>
        <w:t>in</w:t>
      </w:r>
      <w:r w:rsidRPr="00A45753">
        <w:rPr>
          <w:rFonts w:cs="Open Sans"/>
        </w:rPr>
        <w:t xml:space="preserve"> sex characteristics</w:t>
      </w:r>
      <w:r>
        <w:rPr>
          <w:rFonts w:cs="Open Sans"/>
        </w:rPr>
        <w:t>.</w:t>
      </w:r>
    </w:p>
    <w:p w:rsidR="00810FD7" w:rsidDel="00067D0E" w:rsidP="00810FD7" w:rsidRDefault="00810FD7" w14:paraId="0126E61B" w14:textId="77777777">
      <w:pPr>
        <w:pStyle w:val="Heading4"/>
      </w:pPr>
      <w:r w:rsidRPr="00A45753">
        <w:t>Psychological and peer support requirements</w:t>
      </w:r>
    </w:p>
    <w:p w:rsidRPr="00A45753" w:rsidR="00810FD7" w:rsidDel="00067D0E" w:rsidP="00810FD7" w:rsidRDefault="00810FD7" w14:paraId="4C56535A" w14:textId="48C0F4E5">
      <w:pPr>
        <w:rPr>
          <w:rFonts w:cs="Open Sans"/>
        </w:rPr>
      </w:pPr>
      <w:r>
        <w:rPr>
          <w:rFonts w:cs="Open Sans"/>
        </w:rPr>
        <w:t>New guidelines should</w:t>
      </w:r>
    </w:p>
    <w:p w:rsidRPr="00A45753" w:rsidR="00810FD7" w:rsidP="002F7D27" w:rsidRDefault="00810FD7" w14:paraId="26C890B8" w14:textId="77777777">
      <w:pPr>
        <w:pStyle w:val="ListParagraph"/>
        <w:widowControl w:val="0"/>
        <w:numPr>
          <w:ilvl w:val="0"/>
          <w:numId w:val="53"/>
        </w:numPr>
        <w:ind w:left="714" w:hanging="357"/>
        <w:rPr>
          <w:rFonts w:cs="Open Sans"/>
        </w:rPr>
      </w:pPr>
      <w:r w:rsidRPr="00A45753">
        <w:rPr>
          <w:rFonts w:cs="Open Sans"/>
        </w:rPr>
        <w:t>require dialogue to be commenced with the child by appropriately qualified medical and psychological experts to assist the child in determining an outcome</w:t>
      </w:r>
      <w:r w:rsidRPr="0117CC5D">
        <w:rPr>
          <w:rStyle w:val="EndnoteReference"/>
          <w:rFonts w:cs="Open Sans"/>
        </w:rPr>
        <w:endnoteReference w:id="489"/>
      </w:r>
    </w:p>
    <w:p w:rsidRPr="00A45753" w:rsidR="00810FD7" w:rsidP="002F7D27" w:rsidRDefault="00810FD7" w14:paraId="7764ACCB" w14:textId="6FDA35D9">
      <w:pPr>
        <w:pStyle w:val="ListParagraph"/>
        <w:widowControl w:val="0"/>
        <w:numPr>
          <w:ilvl w:val="0"/>
          <w:numId w:val="53"/>
        </w:numPr>
        <w:ind w:left="714" w:hanging="357"/>
        <w:rPr>
          <w:rFonts w:cs="Open Sans"/>
        </w:rPr>
      </w:pPr>
      <w:r w:rsidRPr="00A45753">
        <w:rPr>
          <w:rFonts w:cs="Open Sans"/>
        </w:rPr>
        <w:t>require provision of</w:t>
      </w:r>
      <w:r w:rsidR="00197508">
        <w:rPr>
          <w:rFonts w:cs="Open Sans"/>
        </w:rPr>
        <w:t xml:space="preserve"> referral to</w:t>
      </w:r>
      <w:r w:rsidRPr="00A45753">
        <w:rPr>
          <w:rFonts w:cs="Open Sans"/>
        </w:rPr>
        <w:t xml:space="preserve"> peer support </w:t>
      </w:r>
      <w:r w:rsidR="00204920">
        <w:rPr>
          <w:rFonts w:cs="Open Sans"/>
        </w:rPr>
        <w:t xml:space="preserve">organisations </w:t>
      </w:r>
      <w:r w:rsidRPr="00A45753">
        <w:rPr>
          <w:rFonts w:cs="Open Sans"/>
        </w:rPr>
        <w:t>and access to information for children, parents and guardians</w:t>
      </w:r>
      <w:r>
        <w:rPr>
          <w:rFonts w:cs="Open Sans"/>
        </w:rPr>
        <w:t>.</w:t>
      </w:r>
    </w:p>
    <w:p w:rsidRPr="00A45753" w:rsidR="00810FD7" w:rsidP="00810FD7" w:rsidRDefault="00810FD7" w14:paraId="6C45F2A9" w14:textId="77777777">
      <w:pPr>
        <w:pStyle w:val="Heading4"/>
      </w:pPr>
      <w:r w:rsidRPr="00A45753">
        <w:t>Philosophical approach</w:t>
      </w:r>
    </w:p>
    <w:p w:rsidRPr="004F40DD" w:rsidR="00810FD7" w:rsidP="00810FD7" w:rsidRDefault="00810FD7" w14:paraId="527B349B" w14:textId="2D7FDF84">
      <w:pPr>
        <w:rPr>
          <w:rFonts w:cs="Open Sans"/>
        </w:rPr>
      </w:pPr>
      <w:r>
        <w:rPr>
          <w:rFonts w:cs="Open Sans"/>
        </w:rPr>
        <w:t>New guidelines should</w:t>
      </w:r>
    </w:p>
    <w:p w:rsidR="00810FD7" w:rsidP="002F7D27" w:rsidRDefault="00810FD7" w14:paraId="5B9DF7D9" w14:textId="77777777">
      <w:pPr>
        <w:pStyle w:val="ListParagraph"/>
        <w:numPr>
          <w:ilvl w:val="0"/>
          <w:numId w:val="53"/>
        </w:numPr>
        <w:rPr>
          <w:rFonts w:cs="Open Sans"/>
        </w:rPr>
      </w:pPr>
      <w:r w:rsidRPr="00A45753">
        <w:rPr>
          <w:rFonts w:cs="Open Sans"/>
        </w:rPr>
        <w:lastRenderedPageBreak/>
        <w:t>acknowledge and make specific provision to address imbalances of knowledge and power between clinicians and individuals, their parents or carers</w:t>
      </w:r>
      <w:r w:rsidRPr="0117CC5D">
        <w:rPr>
          <w:rStyle w:val="EndnoteReference"/>
          <w:rFonts w:cs="Open Sans"/>
        </w:rPr>
        <w:endnoteReference w:id="490"/>
      </w:r>
    </w:p>
    <w:p w:rsidRPr="00AE4B27" w:rsidR="00810FD7" w:rsidDel="00B9659D" w:rsidP="002F7D27" w:rsidRDefault="00810FD7" w14:paraId="563A1BFE" w14:textId="77777777">
      <w:pPr>
        <w:pStyle w:val="ListParagraph"/>
        <w:numPr>
          <w:ilvl w:val="0"/>
          <w:numId w:val="53"/>
        </w:numPr>
        <w:rPr>
          <w:rFonts w:cs="Open Sans"/>
        </w:rPr>
      </w:pPr>
      <w:r w:rsidRPr="00AE4B27">
        <w:rPr>
          <w:rFonts w:cs="Open Sans"/>
        </w:rPr>
        <w:t>reflect views of those with lived experience</w:t>
      </w:r>
      <w:r w:rsidRPr="177D145B">
        <w:rPr>
          <w:rFonts w:cs="Open Sans"/>
        </w:rPr>
        <w:t xml:space="preserve"> of variations in sex characteristics</w:t>
      </w:r>
      <w:r w:rsidRPr="0117CC5D">
        <w:rPr>
          <w:rStyle w:val="EndnoteReference"/>
          <w:rFonts w:cs="Open Sans"/>
        </w:rPr>
        <w:endnoteReference w:id="491"/>
      </w:r>
    </w:p>
    <w:p w:rsidRPr="00A45753" w:rsidR="00810FD7" w:rsidP="002F7D27" w:rsidRDefault="00810FD7" w14:paraId="0E50C927" w14:textId="77777777">
      <w:pPr>
        <w:pStyle w:val="ListParagraph"/>
        <w:numPr>
          <w:ilvl w:val="0"/>
          <w:numId w:val="53"/>
        </w:numPr>
        <w:rPr>
          <w:rFonts w:cs="Open Sans"/>
        </w:rPr>
      </w:pPr>
      <w:r w:rsidRPr="00A45753">
        <w:rPr>
          <w:rFonts w:cs="Open Sans"/>
        </w:rPr>
        <w:t>affirm the value of bodily diversity</w:t>
      </w:r>
      <w:r w:rsidRPr="0117CC5D">
        <w:rPr>
          <w:rStyle w:val="EndnoteReference"/>
          <w:rFonts w:cs="Open Sans"/>
        </w:rPr>
        <w:endnoteReference w:id="492"/>
      </w:r>
    </w:p>
    <w:p w:rsidRPr="00A45753" w:rsidR="00810FD7" w:rsidP="002F7D27" w:rsidRDefault="00810FD7" w14:paraId="4C418388" w14:textId="77777777">
      <w:pPr>
        <w:pStyle w:val="ListParagraph"/>
        <w:numPr>
          <w:ilvl w:val="0"/>
          <w:numId w:val="53"/>
        </w:numPr>
        <w:rPr>
          <w:rFonts w:cs="Open Sans"/>
        </w:rPr>
      </w:pPr>
      <w:r w:rsidRPr="00A45753">
        <w:rPr>
          <w:rFonts w:cs="Open Sans"/>
        </w:rPr>
        <w:t>affirm respect for bodily integrity</w:t>
      </w:r>
      <w:r w:rsidRPr="0117CC5D">
        <w:rPr>
          <w:rStyle w:val="EndnoteReference"/>
          <w:rFonts w:cs="Open Sans"/>
        </w:rPr>
        <w:endnoteReference w:id="493"/>
      </w:r>
    </w:p>
    <w:p w:rsidRPr="00A45753" w:rsidR="00810FD7" w:rsidP="002F7D27" w:rsidRDefault="00810FD7" w14:paraId="085FD240" w14:textId="77777777">
      <w:pPr>
        <w:pStyle w:val="ListParagraph"/>
        <w:numPr>
          <w:ilvl w:val="0"/>
          <w:numId w:val="53"/>
        </w:numPr>
        <w:rPr>
          <w:rFonts w:cs="Open Sans"/>
        </w:rPr>
      </w:pPr>
      <w:r w:rsidRPr="00A45753">
        <w:rPr>
          <w:rFonts w:cs="Open Sans"/>
        </w:rPr>
        <w:t>state that care must be predicated on the body one has, not one’s sex marker or gender identity or expression</w:t>
      </w:r>
      <w:r>
        <w:rPr>
          <w:rFonts w:cs="Open Sans"/>
        </w:rPr>
        <w:t>.</w:t>
      </w:r>
      <w:r w:rsidRPr="0117CC5D">
        <w:rPr>
          <w:rStyle w:val="EndnoteReference"/>
          <w:rFonts w:cs="Open Sans"/>
        </w:rPr>
        <w:endnoteReference w:id="494"/>
      </w:r>
    </w:p>
    <w:p w:rsidRPr="00A45753" w:rsidR="00810FD7" w:rsidP="00810FD7" w:rsidRDefault="00810FD7" w14:paraId="5F118C8F" w14:textId="77777777">
      <w:r w:rsidRPr="00A45753">
        <w:rPr>
          <w:rFonts w:cs="Open Sans"/>
        </w:rPr>
        <w:t xml:space="preserve">Clinical </w:t>
      </w:r>
      <w:r>
        <w:rPr>
          <w:rFonts w:cs="Open Sans"/>
        </w:rPr>
        <w:t>stakeholders</w:t>
      </w:r>
      <w:r w:rsidRPr="00A45753">
        <w:rPr>
          <w:rFonts w:cs="Open Sans"/>
        </w:rPr>
        <w:t xml:space="preserve"> tend</w:t>
      </w:r>
      <w:r>
        <w:rPr>
          <w:rFonts w:cs="Open Sans"/>
        </w:rPr>
        <w:t>ed</w:t>
      </w:r>
      <w:r w:rsidRPr="00A45753">
        <w:rPr>
          <w:rFonts w:cs="Open Sans"/>
        </w:rPr>
        <w:t xml:space="preserve"> to see the purpose of standards</w:t>
      </w:r>
      <w:r>
        <w:rPr>
          <w:rFonts w:cs="Open Sans"/>
        </w:rPr>
        <w:t xml:space="preserve"> and </w:t>
      </w:r>
      <w:r w:rsidRPr="00A45753">
        <w:rPr>
          <w:rFonts w:cs="Open Sans"/>
        </w:rPr>
        <w:t xml:space="preserve">guidelines as providing direction on questions such as clarifying terms such as ‘medical necessity’, ‘therapeutic treatment’ and guidance to assist with the documentation of informed consent in decision-making. They </w:t>
      </w:r>
      <w:r w:rsidRPr="00A45753">
        <w:t xml:space="preserve">noted a current lack of consensus about such matters as </w:t>
      </w:r>
      <w:r>
        <w:t xml:space="preserve">the </w:t>
      </w:r>
      <w:r w:rsidRPr="00A45753">
        <w:t>deferability of certain interventions.</w:t>
      </w:r>
      <w:r w:rsidRPr="0117CC5D">
        <w:rPr>
          <w:rStyle w:val="EndnoteReference"/>
          <w:rFonts w:cs="Open Sans"/>
        </w:rPr>
        <w:endnoteReference w:id="495"/>
      </w:r>
      <w:r w:rsidRPr="007C3A7E">
        <w:rPr>
          <w:sz w:val="20"/>
          <w:szCs w:val="20"/>
        </w:rPr>
        <w:t xml:space="preserve"> </w:t>
      </w:r>
    </w:p>
    <w:p w:rsidRPr="00A45753" w:rsidR="00810FD7" w:rsidP="004E1B63" w:rsidRDefault="00810FD7" w14:paraId="3F4A2357" w14:textId="51E30245">
      <w:pPr>
        <w:pStyle w:val="AHRCHeading2"/>
        <w:rPr>
          <w:rFonts w:eastAsia="Open Sans"/>
        </w:rPr>
      </w:pPr>
      <w:bookmarkStart w:name="_Toc85541454" w:id="348"/>
      <w:r>
        <w:t>N</w:t>
      </w:r>
      <w:r w:rsidRPr="00A45753">
        <w:t xml:space="preserve">ew </w:t>
      </w:r>
      <w:r>
        <w:t>National Guidelines</w:t>
      </w:r>
      <w:bookmarkEnd w:id="348"/>
    </w:p>
    <w:p w:rsidRPr="0077011D" w:rsidR="00810FD7" w:rsidP="00810FD7" w:rsidRDefault="00810FD7" w14:paraId="1A3A8ED5" w14:textId="77777777">
      <w:pPr>
        <w:pStyle w:val="CommentText"/>
        <w:rPr>
          <w:b/>
          <w:bCs/>
          <w:sz w:val="24"/>
          <w:szCs w:val="24"/>
        </w:rPr>
      </w:pPr>
      <w:bookmarkStart w:name="_Toc71210659" w:id="349"/>
      <w:bookmarkStart w:name="_Toc71807652" w:id="350"/>
      <w:bookmarkStart w:name="_Toc71807768" w:id="351"/>
      <w:bookmarkStart w:name="_Toc71807835" w:id="352"/>
      <w:bookmarkStart w:name="_Toc71807890" w:id="353"/>
      <w:bookmarkStart w:name="_Toc71210661" w:id="354"/>
      <w:bookmarkStart w:name="_Toc71807654" w:id="355"/>
      <w:bookmarkStart w:name="_Toc71807770" w:id="356"/>
      <w:bookmarkStart w:name="_Toc71807837" w:id="357"/>
      <w:bookmarkStart w:name="_Toc71807892" w:id="358"/>
      <w:bookmarkStart w:name="_Toc71210662" w:id="359"/>
      <w:bookmarkStart w:name="_Toc71807655" w:id="360"/>
      <w:bookmarkStart w:name="_Toc71807771" w:id="361"/>
      <w:bookmarkStart w:name="_Toc71807838" w:id="362"/>
      <w:bookmarkStart w:name="_Toc71807893" w:id="363"/>
      <w:bookmarkStart w:name="_Toc71210663" w:id="364"/>
      <w:bookmarkStart w:name="_Toc71807656" w:id="365"/>
      <w:bookmarkStart w:name="_Toc71807772" w:id="366"/>
      <w:bookmarkStart w:name="_Toc71807839" w:id="367"/>
      <w:bookmarkStart w:name="_Toc71807894" w:id="368"/>
      <w:bookmarkStart w:name="_Toc71210666" w:id="369"/>
      <w:bookmarkStart w:name="_Toc71807659" w:id="370"/>
      <w:bookmarkStart w:name="_Toc71807775" w:id="371"/>
      <w:bookmarkStart w:name="_Toc71807842" w:id="372"/>
      <w:bookmarkStart w:name="_Toc71807897" w:id="373"/>
      <w:bookmarkStart w:name="_Toc71210669" w:id="374"/>
      <w:bookmarkStart w:name="_Toc71807662" w:id="375"/>
      <w:bookmarkStart w:name="_Toc71807778" w:id="376"/>
      <w:bookmarkStart w:name="_Toc71807845" w:id="377"/>
      <w:bookmarkStart w:name="_Toc71807900" w:id="378"/>
      <w:bookmarkStart w:name="_Toc71210670" w:id="379"/>
      <w:bookmarkStart w:name="_Toc71807663" w:id="380"/>
      <w:bookmarkStart w:name="_Toc71807779" w:id="381"/>
      <w:bookmarkStart w:name="_Toc71807846" w:id="382"/>
      <w:bookmarkStart w:name="_Toc71807901" w:id="383"/>
      <w:bookmarkStart w:name="_Toc73350253" w:id="384"/>
      <w:bookmarkStart w:name="_Toc73350439" w:id="385"/>
      <w:bookmarkStart w:name="_Toc73350496" w:id="386"/>
      <w:bookmarkStart w:name="_Toc73350687" w:id="387"/>
      <w:bookmarkStart w:name="_Toc73365483" w:id="388"/>
      <w:bookmarkStart w:name="_Toc73370282" w:id="389"/>
      <w:bookmarkStart w:name="_Toc73375657" w:id="390"/>
      <w:bookmarkStart w:name="_Toc42167945" w:id="391"/>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sidRPr="0077011D">
        <w:rPr>
          <w:b/>
          <w:bCs/>
          <w:sz w:val="24"/>
          <w:szCs w:val="24"/>
        </w:rPr>
        <w:t xml:space="preserve">Recommendation 6: </w:t>
      </w:r>
    </w:p>
    <w:p w:rsidRPr="00A11A48" w:rsidR="00810FD7" w:rsidP="00810FD7" w:rsidRDefault="00810FD7" w14:paraId="53864D21" w14:textId="448B4E28">
      <w:pPr>
        <w:rPr>
          <w:rFonts w:eastAsia="Calibri" w:cs="Open Sans"/>
          <w:b/>
          <w:bCs/>
        </w:rPr>
      </w:pPr>
      <w:r w:rsidRPr="00A11A48">
        <w:rPr>
          <w:rFonts w:eastAsia="Calibri" w:cs="Open Sans"/>
          <w:b/>
          <w:bCs/>
        </w:rPr>
        <w:t xml:space="preserve">(a) The Australian Government should convene and fund a national multidisciplinary expert group to develop </w:t>
      </w:r>
      <w:r w:rsidRPr="00A11A48">
        <w:rPr>
          <w:rFonts w:eastAsia="Times New Roman" w:cs="Open Sans"/>
          <w:b/>
          <w:bCs/>
          <w:i/>
          <w:iCs/>
        </w:rPr>
        <w:t xml:space="preserve">National Guidelines on medical interventions for people born with variations </w:t>
      </w:r>
      <w:r>
        <w:rPr>
          <w:rFonts w:eastAsia="Times New Roman" w:cs="Open Sans"/>
          <w:b/>
          <w:bCs/>
          <w:i/>
          <w:iCs/>
        </w:rPr>
        <w:t>in</w:t>
      </w:r>
      <w:r w:rsidRPr="00A11A48">
        <w:rPr>
          <w:rFonts w:eastAsia="Times New Roman" w:cs="Open Sans"/>
          <w:b/>
          <w:bCs/>
          <w:i/>
          <w:iCs/>
        </w:rPr>
        <w:t xml:space="preserve"> sex characteristics </w:t>
      </w:r>
      <w:r w:rsidRPr="00A11A48">
        <w:rPr>
          <w:rFonts w:eastAsia="Times New Roman" w:cs="Open Sans"/>
          <w:b/>
          <w:bCs/>
        </w:rPr>
        <w:t>(National Guidelines)</w:t>
      </w:r>
      <w:r w:rsidRPr="00A11A48">
        <w:rPr>
          <w:rFonts w:eastAsia="Calibri" w:cs="Open Sans"/>
          <w:b/>
          <w:bCs/>
        </w:rPr>
        <w:t xml:space="preserve">, with input from specialist clinicians and health professional bodies, people with lived experience and their parents and carers, </w:t>
      </w:r>
      <w:r>
        <w:rPr>
          <w:rFonts w:eastAsia="Calibri" w:cs="Open Sans"/>
          <w:b/>
          <w:bCs/>
        </w:rPr>
        <w:t xml:space="preserve">advocacy and </w:t>
      </w:r>
      <w:r w:rsidRPr="00A11A48">
        <w:rPr>
          <w:rFonts w:eastAsia="Calibri" w:cs="Open Sans"/>
          <w:b/>
          <w:bCs/>
        </w:rPr>
        <w:t xml:space="preserve">peer-support groups, and human rights </w:t>
      </w:r>
      <w:r w:rsidR="00F959A8">
        <w:rPr>
          <w:rFonts w:eastAsia="Calibri" w:cs="Open Sans"/>
          <w:b/>
          <w:bCs/>
        </w:rPr>
        <w:t>organisations</w:t>
      </w:r>
      <w:r w:rsidRPr="00A11A48">
        <w:rPr>
          <w:rFonts w:eastAsia="Calibri" w:cs="Open Sans"/>
          <w:b/>
          <w:bCs/>
        </w:rPr>
        <w:t xml:space="preserve">. </w:t>
      </w:r>
    </w:p>
    <w:p w:rsidRPr="00A11A48" w:rsidR="00810FD7" w:rsidP="00810FD7" w:rsidRDefault="00810FD7" w14:paraId="6249DD54" w14:textId="77777777">
      <w:pPr>
        <w:rPr>
          <w:rFonts w:eastAsia="Calibri" w:cs="Open Sans"/>
          <w:b/>
          <w:bCs/>
        </w:rPr>
      </w:pPr>
      <w:r w:rsidRPr="00A11A48">
        <w:rPr>
          <w:rFonts w:eastAsia="Calibri" w:cs="Open Sans"/>
          <w:b/>
          <w:bCs/>
        </w:rPr>
        <w:t xml:space="preserve">(b) The National Guidelines should </w:t>
      </w:r>
      <w:r w:rsidRPr="00A939B6">
        <w:rPr>
          <w:rFonts w:eastAsia="Calibri" w:cs="Open Sans"/>
          <w:b/>
          <w:bCs/>
        </w:rPr>
        <w:t>reflect human rights principles including in relation to medical necessity (see Recommendation 4) and the provision of adequate information for informed consent (see Recommendation 3), as well as</w:t>
      </w:r>
      <w:r w:rsidRPr="00A939B6">
        <w:rPr>
          <w:rFonts w:eastAsia="Calibri" w:cs="Open Sans"/>
          <w:b/>
        </w:rPr>
        <w:t xml:space="preserve"> </w:t>
      </w:r>
      <w:r w:rsidRPr="00A939B6">
        <w:rPr>
          <w:rFonts w:eastAsia="Calibri" w:cs="Open Sans"/>
          <w:b/>
          <w:bCs/>
        </w:rPr>
        <w:t>include best practice and treatment protocols for the management of different variations in sex characteristics and reviews</w:t>
      </w:r>
      <w:r w:rsidRPr="00A11A48">
        <w:rPr>
          <w:rFonts w:eastAsia="Calibri" w:cs="Open Sans"/>
          <w:b/>
          <w:bCs/>
        </w:rPr>
        <w:t xml:space="preserve"> of existing and emerging evidence-based research. </w:t>
      </w:r>
    </w:p>
    <w:p w:rsidRPr="00A11A48" w:rsidR="00810FD7" w:rsidP="00810FD7" w:rsidRDefault="00810FD7" w14:paraId="46BCC066" w14:textId="77777777">
      <w:pPr>
        <w:rPr>
          <w:rFonts w:eastAsia="Calibri" w:cs="Open Sans"/>
          <w:b/>
          <w:bCs/>
        </w:rPr>
      </w:pPr>
      <w:r w:rsidRPr="00A11A48">
        <w:rPr>
          <w:rFonts w:eastAsia="Calibri" w:cs="Open Sans"/>
          <w:b/>
          <w:bCs/>
        </w:rPr>
        <w:t>(c) The National Guidelines</w:t>
      </w:r>
      <w:r w:rsidRPr="00A11A48">
        <w:rPr>
          <w:rFonts w:eastAsia="Times New Roman" w:cs="Open Sans"/>
          <w:b/>
          <w:bCs/>
          <w:i/>
          <w:iCs/>
        </w:rPr>
        <w:t xml:space="preserve"> </w:t>
      </w:r>
      <w:r w:rsidRPr="00A11A48">
        <w:rPr>
          <w:rFonts w:eastAsia="Calibri" w:cs="Open Sans"/>
          <w:b/>
          <w:bCs/>
        </w:rPr>
        <w:t>should be reviewed periodically, to ensure guidance is based on the best available data and evidence.</w:t>
      </w:r>
    </w:p>
    <w:p w:rsidRPr="00A22257" w:rsidR="00810FD7" w:rsidP="00810FD7" w:rsidRDefault="00810FD7" w14:paraId="522DDD93" w14:textId="6C97735D">
      <w:pPr>
        <w:rPr>
          <w:rFonts w:cs="Open Sans"/>
        </w:rPr>
      </w:pPr>
      <w:r>
        <w:rPr>
          <w:rFonts w:cs="Open Sans"/>
        </w:rPr>
        <w:lastRenderedPageBreak/>
        <w:t>There are currently no National Guidelines providing minimum standards of care. T</w:t>
      </w:r>
      <w:r w:rsidRPr="00A22257">
        <w:rPr>
          <w:rFonts w:cs="Open Sans"/>
        </w:rPr>
        <w:t>he existing guidelines</w:t>
      </w:r>
      <w:r>
        <w:rPr>
          <w:rFonts w:cs="Open Sans"/>
        </w:rPr>
        <w:t xml:space="preserve"> – </w:t>
      </w:r>
      <w:r w:rsidRPr="00A22257">
        <w:rPr>
          <w:rFonts w:cs="Open Sans"/>
        </w:rPr>
        <w:t xml:space="preserve">the 2006 Consensus Statement, </w:t>
      </w:r>
      <w:r>
        <w:rPr>
          <w:rFonts w:cs="Open Sans"/>
        </w:rPr>
        <w:t xml:space="preserve">the </w:t>
      </w:r>
      <w:r w:rsidRPr="00A22257">
        <w:rPr>
          <w:rFonts w:cs="Open Sans"/>
        </w:rPr>
        <w:t xml:space="preserve">2016 </w:t>
      </w:r>
      <w:r>
        <w:rPr>
          <w:rFonts w:cs="Open Sans"/>
        </w:rPr>
        <w:t xml:space="preserve">Consensus Statement </w:t>
      </w:r>
      <w:r w:rsidRPr="00A22257">
        <w:rPr>
          <w:rFonts w:cs="Open Sans"/>
        </w:rPr>
        <w:t>Update and</w:t>
      </w:r>
      <w:r>
        <w:rPr>
          <w:rFonts w:cs="Open Sans"/>
        </w:rPr>
        <w:t xml:space="preserve"> the</w:t>
      </w:r>
      <w:r w:rsidRPr="00A22257">
        <w:rPr>
          <w:rFonts w:cs="Open Sans"/>
        </w:rPr>
        <w:t xml:space="preserve"> </w:t>
      </w:r>
      <w:r>
        <w:rPr>
          <w:rFonts w:cs="Open Sans"/>
        </w:rPr>
        <w:t xml:space="preserve">2013 </w:t>
      </w:r>
      <w:r w:rsidRPr="00A22257">
        <w:rPr>
          <w:rFonts w:cs="Open Sans"/>
        </w:rPr>
        <w:t>Vic</w:t>
      </w:r>
      <w:r>
        <w:rPr>
          <w:rFonts w:cs="Open Sans"/>
        </w:rPr>
        <w:t>torian Decision-Making</w:t>
      </w:r>
      <w:r w:rsidRPr="00A22257">
        <w:rPr>
          <w:rFonts w:cs="Open Sans"/>
        </w:rPr>
        <w:t xml:space="preserve"> Principles</w:t>
      </w:r>
      <w:r>
        <w:rPr>
          <w:rFonts w:cs="Open Sans"/>
        </w:rPr>
        <w:t xml:space="preserve"> – </w:t>
      </w:r>
      <w:r w:rsidRPr="00A22257">
        <w:rPr>
          <w:rFonts w:cs="Open Sans"/>
        </w:rPr>
        <w:t>collectively are inadequate because</w:t>
      </w:r>
      <w:r>
        <w:rPr>
          <w:rFonts w:cs="Open Sans"/>
        </w:rPr>
        <w:t xml:space="preserve"> they</w:t>
      </w:r>
      <w:r w:rsidRPr="00A22257">
        <w:rPr>
          <w:rFonts w:cs="Open Sans"/>
        </w:rPr>
        <w:t xml:space="preserve"> </w:t>
      </w:r>
    </w:p>
    <w:p w:rsidR="00810FD7" w:rsidP="002F7D27" w:rsidRDefault="00810FD7" w14:paraId="449A260C" w14:textId="77777777">
      <w:pPr>
        <w:pStyle w:val="ListParagraph"/>
        <w:numPr>
          <w:ilvl w:val="0"/>
          <w:numId w:val="57"/>
        </w:numPr>
        <w:rPr>
          <w:rFonts w:cs="Open Sans"/>
        </w:rPr>
      </w:pPr>
      <w:r w:rsidRPr="007B7215">
        <w:rPr>
          <w:rFonts w:cs="Open Sans"/>
        </w:rPr>
        <w:t>do not fully reflect a human rights approach</w:t>
      </w:r>
      <w:r>
        <w:rPr>
          <w:rFonts w:cs="Open Sans"/>
        </w:rPr>
        <w:t>, contemplating interventions for reasons other than medical necessity</w:t>
      </w:r>
      <w:r w:rsidRPr="007B7215">
        <w:rPr>
          <w:rFonts w:cs="Open Sans"/>
        </w:rPr>
        <w:t xml:space="preserve"> </w:t>
      </w:r>
    </w:p>
    <w:p w:rsidR="00810FD7" w:rsidP="002F7D27" w:rsidRDefault="00810FD7" w14:paraId="68B2656F" w14:textId="77777777">
      <w:pPr>
        <w:pStyle w:val="ListParagraph"/>
        <w:numPr>
          <w:ilvl w:val="0"/>
          <w:numId w:val="57"/>
        </w:numPr>
        <w:rPr>
          <w:rFonts w:cs="Open Sans"/>
        </w:rPr>
      </w:pPr>
      <w:r w:rsidRPr="007B7215">
        <w:rPr>
          <w:rFonts w:cs="Open Sans"/>
        </w:rPr>
        <w:t xml:space="preserve">leave important issues unaddressed, including any guidance on </w:t>
      </w:r>
      <w:r w:rsidRPr="0066249D">
        <w:rPr>
          <w:rFonts w:cs="Open Sans"/>
        </w:rPr>
        <w:t>limiting intervention to circumstances of</w:t>
      </w:r>
      <w:r w:rsidRPr="00BA7460">
        <w:rPr>
          <w:rFonts w:cs="Open Sans"/>
        </w:rPr>
        <w:t xml:space="preserve"> definition of </w:t>
      </w:r>
      <w:r w:rsidRPr="0068730B">
        <w:rPr>
          <w:rFonts w:cs="Open Sans"/>
        </w:rPr>
        <w:t>medical necessity</w:t>
      </w:r>
      <w:r w:rsidRPr="00EF0A84">
        <w:rPr>
          <w:rFonts w:cs="Open Sans"/>
        </w:rPr>
        <w:t>, minimum consent requirements</w:t>
      </w:r>
    </w:p>
    <w:p w:rsidR="00810FD7" w:rsidP="002F7D27" w:rsidRDefault="00810FD7" w14:paraId="1EEA53AE" w14:textId="77777777">
      <w:pPr>
        <w:pStyle w:val="ListParagraph"/>
        <w:numPr>
          <w:ilvl w:val="0"/>
          <w:numId w:val="57"/>
        </w:numPr>
        <w:rPr>
          <w:rFonts w:cs="Open Sans"/>
        </w:rPr>
      </w:pPr>
      <w:r w:rsidRPr="007B7215">
        <w:rPr>
          <w:rFonts w:cs="Open Sans"/>
        </w:rPr>
        <w:t>are not the product of inclusive consultation</w:t>
      </w:r>
    </w:p>
    <w:p w:rsidRPr="007018FA" w:rsidR="00810FD7" w:rsidP="002F7D27" w:rsidRDefault="00810FD7" w14:paraId="1E98F375" w14:textId="77777777">
      <w:pPr>
        <w:pStyle w:val="ListParagraph"/>
        <w:numPr>
          <w:ilvl w:val="0"/>
          <w:numId w:val="57"/>
        </w:numPr>
        <w:rPr>
          <w:rFonts w:cs="Open Sans"/>
        </w:rPr>
      </w:pPr>
      <w:r w:rsidRPr="007B7215">
        <w:rPr>
          <w:rFonts w:cs="Open Sans"/>
        </w:rPr>
        <w:t>need to be updated to take account of the most recent available research</w:t>
      </w:r>
      <w:r>
        <w:rPr>
          <w:rFonts w:cs="Open Sans"/>
        </w:rPr>
        <w:t>, including from psychological and peer expertise.</w:t>
      </w:r>
    </w:p>
    <w:p w:rsidRPr="00A45753" w:rsidR="00810FD7" w:rsidP="00810FD7" w:rsidRDefault="00810FD7" w14:paraId="6CC0A0A6" w14:textId="77777777">
      <w:pPr>
        <w:rPr>
          <w:rFonts w:cs="Open Sans"/>
        </w:rPr>
      </w:pPr>
      <w:r w:rsidRPr="177D145B">
        <w:rPr>
          <w:rFonts w:cs="Open Sans"/>
        </w:rPr>
        <w:t>New</w:t>
      </w:r>
      <w:r w:rsidRPr="00A45753">
        <w:rPr>
          <w:rFonts w:cs="Open Sans"/>
        </w:rPr>
        <w:t xml:space="preserve"> </w:t>
      </w:r>
      <w:r>
        <w:rPr>
          <w:rFonts w:cs="Open Sans"/>
        </w:rPr>
        <w:t>National Guidelines</w:t>
      </w:r>
      <w:r w:rsidRPr="00A45753">
        <w:rPr>
          <w:rFonts w:cs="Open Sans"/>
        </w:rPr>
        <w:t xml:space="preserve"> are needed to provide guidance on decision making in the context of medical interventions modifying sex characteristics, and on clinical best practice more generally.</w:t>
      </w:r>
    </w:p>
    <w:p w:rsidRPr="00BF1E12" w:rsidR="00810FD7" w:rsidP="00810FD7" w:rsidRDefault="00810FD7" w14:paraId="34DFF5A5" w14:textId="77777777">
      <w:r w:rsidRPr="00A45753">
        <w:rPr>
          <w:rFonts w:cs="Open Sans"/>
        </w:rPr>
        <w:t xml:space="preserve">This conclusion is consistent with that </w:t>
      </w:r>
      <w:r w:rsidRPr="00A45753">
        <w:t xml:space="preserve">of the </w:t>
      </w:r>
      <w:r w:rsidRPr="00A45753">
        <w:rPr>
          <w:rFonts w:cs="Open Sans"/>
        </w:rPr>
        <w:t xml:space="preserve">Senate Committee, which </w:t>
      </w:r>
      <w:r w:rsidRPr="00A45753">
        <w:rPr>
          <w:rFonts w:eastAsia="Open Sans"/>
        </w:rPr>
        <w:t>called for guidelines to be issued on the treatment of common intersex conditions based on medical management, ethical, human rights and legal principles.</w:t>
      </w:r>
      <w:r w:rsidRPr="0117CC5D">
        <w:rPr>
          <w:rStyle w:val="EndnoteReference"/>
          <w:rFonts w:eastAsia="Open Sans"/>
        </w:rPr>
        <w:endnoteReference w:id="496"/>
      </w:r>
      <w:r w:rsidRPr="00A45753">
        <w:rPr>
          <w:rFonts w:cs="Open Sans"/>
        </w:rPr>
        <w:t xml:space="preserve"> The Senate Committee also recommended that ‘</w:t>
      </w:r>
      <w:r w:rsidRPr="00A45753">
        <w:t>all medical treatment of intersex people take place under guidelines that ensure treatment is managed by m</w:t>
      </w:r>
      <w:r w:rsidRPr="00BF1E12">
        <w:t>ultidisciplinary teams within a human rights framework’.</w:t>
      </w:r>
      <w:r w:rsidRPr="0117CC5D">
        <w:rPr>
          <w:rStyle w:val="EndnoteReference"/>
        </w:rPr>
        <w:endnoteReference w:id="497"/>
      </w:r>
    </w:p>
    <w:p w:rsidR="00810FD7" w:rsidP="00810FD7" w:rsidRDefault="00810FD7" w14:paraId="0EDF7FCE" w14:textId="77777777">
      <w:r w:rsidRPr="00BF1E12">
        <w:t>The Commission considers that the new National Guidelines should reflect the human rights framework and principles set out at Chapter 2 of this report in Recommendation 1.</w:t>
      </w:r>
    </w:p>
    <w:p w:rsidR="00810FD7" w:rsidP="00810FD7" w:rsidRDefault="00810FD7" w14:paraId="2F36B28A" w14:textId="77777777">
      <w:r>
        <w:t xml:space="preserve">The Commission recommends that the National Guidelines should </w:t>
      </w:r>
      <w:r w:rsidRPr="00F05769">
        <w:t xml:space="preserve">set out what is required to obtain informed consent before performing a medical intervention for a person born with variations </w:t>
      </w:r>
      <w:r>
        <w:t>in</w:t>
      </w:r>
      <w:r w:rsidRPr="00F05769">
        <w:t xml:space="preserve"> sex characteristics</w:t>
      </w:r>
      <w:r>
        <w:t xml:space="preserve"> (see Recommendation 3)</w:t>
      </w:r>
      <w:r w:rsidRPr="00F05769">
        <w:t xml:space="preserve">. </w:t>
      </w:r>
    </w:p>
    <w:p w:rsidRPr="0065359F" w:rsidR="00810FD7" w:rsidP="00810FD7" w:rsidRDefault="00810FD7" w14:paraId="606C3485" w14:textId="6C99E059">
      <w:r>
        <w:lastRenderedPageBreak/>
        <w:t xml:space="preserve">The National Guidelines should also </w:t>
      </w:r>
      <w:r w:rsidRPr="008F53CA">
        <w:t>set out the circumstances</w:t>
      </w:r>
      <w:r>
        <w:t xml:space="preserve"> of </w:t>
      </w:r>
      <w:r w:rsidRPr="008F53CA">
        <w:t xml:space="preserve">medical necessity in which medical interventions </w:t>
      </w:r>
      <w:r w:rsidR="00440DFD">
        <w:t>modifying</w:t>
      </w:r>
      <w:r w:rsidRPr="008F53CA">
        <w:t xml:space="preserve"> sex characteristics can justifiably be conducted without personal consent</w:t>
      </w:r>
      <w:r>
        <w:t xml:space="preserve"> (see Recommendation 4)</w:t>
      </w:r>
      <w:r w:rsidRPr="008F53CA">
        <w:t xml:space="preserve">. </w:t>
      </w:r>
    </w:p>
    <w:p w:rsidR="00810FD7" w:rsidP="00810FD7" w:rsidRDefault="00810FD7" w14:paraId="3227AABC" w14:textId="77777777">
      <w:pPr>
        <w:rPr>
          <w:rFonts w:cs="Open Sans"/>
        </w:rPr>
      </w:pPr>
      <w:r w:rsidRPr="53E6E5F8">
        <w:rPr>
          <w:rFonts w:cs="Open Sans"/>
        </w:rPr>
        <w:t>The Commission supports the development</w:t>
      </w:r>
      <w:r>
        <w:rPr>
          <w:rFonts w:cs="Open Sans"/>
        </w:rPr>
        <w:t>, as part of the National Guidelines,</w:t>
      </w:r>
      <w:r w:rsidRPr="53E6E5F8">
        <w:rPr>
          <w:rFonts w:cs="Open Sans"/>
        </w:rPr>
        <w:t xml:space="preserve"> of clinical guidelines articulating best practice clinical care, including minimum practice standards. </w:t>
      </w:r>
    </w:p>
    <w:p w:rsidR="00810FD7" w:rsidP="00810FD7" w:rsidRDefault="00810FD7" w14:paraId="36CDAEA9" w14:textId="77777777">
      <w:pPr>
        <w:pStyle w:val="Heading3"/>
      </w:pPr>
      <w:bookmarkStart w:name="_Toc79700375" w:id="392"/>
      <w:bookmarkStart w:name="_Toc85541455" w:id="393"/>
      <w:r>
        <w:t>Best practice and treatment protocols</w:t>
      </w:r>
      <w:bookmarkEnd w:id="392"/>
      <w:bookmarkEnd w:id="393"/>
    </w:p>
    <w:p w:rsidR="00810FD7" w:rsidP="00810FD7" w:rsidRDefault="00810FD7" w14:paraId="0BB2645C" w14:textId="77777777">
      <w:pPr>
        <w:widowControl w:val="0"/>
      </w:pPr>
      <w:r w:rsidRPr="00A45753">
        <w:rPr>
          <w:rFonts w:cs="Open Sans"/>
        </w:rPr>
        <w:t>The</w:t>
      </w:r>
      <w:r>
        <w:rPr>
          <w:rFonts w:cs="Open Sans"/>
        </w:rPr>
        <w:t xml:space="preserve"> National Guidelines </w:t>
      </w:r>
      <w:r w:rsidRPr="00E12C21">
        <w:rPr>
          <w:rFonts w:cs="Open Sans"/>
        </w:rPr>
        <w:t xml:space="preserve">should </w:t>
      </w:r>
      <w:r w:rsidRPr="00E12C21">
        <w:t xml:space="preserve">include best practice and treatment protocols for the management of different variations in sex characteristics and reviews of existing and emerging evidence-based research. </w:t>
      </w:r>
    </w:p>
    <w:p w:rsidRPr="00A45753" w:rsidR="00810FD7" w:rsidP="00810FD7" w:rsidRDefault="00810FD7" w14:paraId="55C0E487" w14:textId="77777777">
      <w:pPr>
        <w:widowControl w:val="0"/>
        <w:rPr>
          <w:rFonts w:eastAsia="Open Sans"/>
        </w:rPr>
      </w:pPr>
      <w:r>
        <w:t xml:space="preserve">In particular, </w:t>
      </w:r>
      <w:r>
        <w:rPr>
          <w:rFonts w:cs="Open Sans"/>
        </w:rPr>
        <w:t>this clinical guidance</w:t>
      </w:r>
      <w:r w:rsidRPr="00A45753">
        <w:rPr>
          <w:rFonts w:cs="Open Sans"/>
        </w:rPr>
        <w:t xml:space="preserve"> should recommend that clinical management take place in the context of comprehensive multidisciplinary care, including professional psychological care. </w:t>
      </w:r>
    </w:p>
    <w:p w:rsidRPr="00A45753" w:rsidR="00810FD7" w:rsidP="00810FD7" w:rsidRDefault="00810FD7" w14:paraId="640BF757" w14:textId="0C5EBCD8">
      <w:r w:rsidRPr="00A45753">
        <w:rPr>
          <w:rFonts w:cs="Open Sans"/>
        </w:rPr>
        <w:t xml:space="preserve">New clinical </w:t>
      </w:r>
      <w:r>
        <w:rPr>
          <w:rFonts w:cs="Open Sans"/>
        </w:rPr>
        <w:t>guidance</w:t>
      </w:r>
      <w:r w:rsidRPr="00A45753">
        <w:rPr>
          <w:rFonts w:cs="Open Sans"/>
        </w:rPr>
        <w:t xml:space="preserve"> should also </w:t>
      </w:r>
      <w:r w:rsidRPr="00A45753">
        <w:t>recommend specifically that treating practitioners refer individuals and</w:t>
      </w:r>
      <w:r>
        <w:t>,</w:t>
      </w:r>
      <w:r w:rsidRPr="00A45753">
        <w:t xml:space="preserve"> where relevant, their families, to peer support </w:t>
      </w:r>
      <w:r w:rsidR="00C234A9">
        <w:t>organisations</w:t>
      </w:r>
      <w:r w:rsidRPr="00A45753">
        <w:t xml:space="preserve">. </w:t>
      </w:r>
    </w:p>
    <w:p w:rsidRPr="00F82F45" w:rsidR="00810FD7" w:rsidP="00810FD7" w:rsidRDefault="00810FD7" w14:paraId="3A1CBED0" w14:textId="77777777">
      <w:pPr>
        <w:widowControl w:val="0"/>
        <w:rPr>
          <w:rFonts w:cs="Open Sans"/>
          <w:sz w:val="20"/>
          <w:szCs w:val="20"/>
        </w:rPr>
      </w:pPr>
      <w:r w:rsidRPr="00A45753">
        <w:t xml:space="preserve">There are a range of other issues, including </w:t>
      </w:r>
      <w:r>
        <w:t xml:space="preserve">support for affect individuals, access to and control of health records, and data collection for research purposes, </w:t>
      </w:r>
      <w:r w:rsidRPr="00A45753">
        <w:t>that could also be addressed in clinical guidelines.</w:t>
      </w:r>
      <w:r w:rsidRPr="0117CC5D">
        <w:rPr>
          <w:rStyle w:val="EndnoteReference"/>
        </w:rPr>
        <w:endnoteReference w:id="498"/>
      </w:r>
      <w:r w:rsidRPr="00F82F45">
        <w:rPr>
          <w:sz w:val="20"/>
          <w:szCs w:val="20"/>
        </w:rPr>
        <w:t xml:space="preserve"> </w:t>
      </w:r>
    </w:p>
    <w:p w:rsidRPr="00C2621B" w:rsidR="00810FD7" w:rsidP="004E1B63" w:rsidRDefault="00810FD7" w14:paraId="585FEEA2" w14:textId="36B6B584">
      <w:pPr>
        <w:pStyle w:val="AHRCHeading2"/>
      </w:pPr>
      <w:bookmarkStart w:name="_Toc85541456" w:id="394"/>
      <w:r w:rsidRPr="00C2621B">
        <w:t>Should the National Guidelines be binding?</w:t>
      </w:r>
      <w:bookmarkEnd w:id="394"/>
    </w:p>
    <w:p w:rsidRPr="00A45753" w:rsidR="00810FD7" w:rsidP="00810FD7" w:rsidRDefault="00810FD7" w14:paraId="7352992A" w14:textId="77777777">
      <w:pPr>
        <w:pStyle w:val="Heading3"/>
      </w:pPr>
      <w:bookmarkStart w:name="_Toc85541457" w:id="395"/>
      <w:r w:rsidRPr="00A45753">
        <w:t>Status of guidelines</w:t>
      </w:r>
      <w:bookmarkEnd w:id="395"/>
    </w:p>
    <w:p w:rsidRPr="00A45753" w:rsidR="00810FD7" w:rsidP="00810FD7" w:rsidRDefault="00810FD7" w14:paraId="42CAC8B5" w14:textId="77777777">
      <w:bookmarkStart w:name="_Toc71210673" w:id="396"/>
      <w:bookmarkStart w:name="_Toc71807666" w:id="397"/>
      <w:bookmarkStart w:name="_Toc71807782" w:id="398"/>
      <w:bookmarkStart w:name="_Toc71807849" w:id="399"/>
      <w:bookmarkStart w:name="_Toc71807904" w:id="400"/>
      <w:bookmarkStart w:name="_Toc71210674" w:id="401"/>
      <w:bookmarkStart w:name="_Toc71807667" w:id="402"/>
      <w:bookmarkStart w:name="_Toc71807783" w:id="403"/>
      <w:bookmarkStart w:name="_Toc71807850" w:id="404"/>
      <w:bookmarkStart w:name="_Toc71807905" w:id="405"/>
      <w:bookmarkStart w:name="_Toc71210675" w:id="406"/>
      <w:bookmarkStart w:name="_Toc71807668" w:id="407"/>
      <w:bookmarkStart w:name="_Toc71807784" w:id="408"/>
      <w:bookmarkStart w:name="_Toc71807851" w:id="409"/>
      <w:bookmarkStart w:name="_Toc71807906" w:id="410"/>
      <w:bookmarkStart w:name="_Toc70502419" w:id="411"/>
      <w:bookmarkStart w:name="_Toc70502421" w:id="412"/>
      <w:bookmarkStart w:name="_Toc71210679" w:id="413"/>
      <w:bookmarkStart w:name="_Toc71807672" w:id="414"/>
      <w:bookmarkStart w:name="_Toc71807788" w:id="415"/>
      <w:bookmarkStart w:name="_Toc71807855" w:id="416"/>
      <w:bookmarkStart w:name="_Toc71807910" w:id="417"/>
      <w:bookmarkStart w:name="_Toc70502422" w:id="418"/>
      <w:bookmarkStart w:name="_Toc71210680" w:id="419"/>
      <w:bookmarkStart w:name="_Toc71807673" w:id="420"/>
      <w:bookmarkStart w:name="_Toc71807789" w:id="421"/>
      <w:bookmarkStart w:name="_Toc71807856" w:id="422"/>
      <w:bookmarkStart w:name="_Toc71807911" w:id="423"/>
      <w:bookmarkStart w:name="_Toc70502423" w:id="424"/>
      <w:bookmarkStart w:name="_Toc71210681" w:id="425"/>
      <w:bookmarkStart w:name="_Toc71807674" w:id="426"/>
      <w:bookmarkStart w:name="_Toc71807790" w:id="427"/>
      <w:bookmarkStart w:name="_Toc71807857" w:id="428"/>
      <w:bookmarkStart w:name="_Toc71807912" w:id="429"/>
      <w:bookmarkStart w:name="_Toc70502424" w:id="430"/>
      <w:bookmarkStart w:name="_Toc71210682" w:id="431"/>
      <w:bookmarkStart w:name="_Toc71807675" w:id="432"/>
      <w:bookmarkStart w:name="_Toc71807791" w:id="433"/>
      <w:bookmarkStart w:name="_Toc71807858" w:id="434"/>
      <w:bookmarkStart w:name="_Toc71807913" w:id="435"/>
      <w:bookmarkStart w:name="_Toc70502425" w:id="436"/>
      <w:bookmarkStart w:name="_Toc71210683" w:id="437"/>
      <w:bookmarkStart w:name="_Toc71807676" w:id="438"/>
      <w:bookmarkStart w:name="_Toc71807792" w:id="439"/>
      <w:bookmarkStart w:name="_Toc71807859" w:id="440"/>
      <w:bookmarkStart w:name="_Toc71807914" w:id="441"/>
      <w:bookmarkStart w:name="_Toc70502426" w:id="442"/>
      <w:bookmarkStart w:name="_Toc71210684" w:id="443"/>
      <w:bookmarkStart w:name="_Toc71807677" w:id="444"/>
      <w:bookmarkStart w:name="_Toc71807793" w:id="445"/>
      <w:bookmarkStart w:name="_Toc71807860" w:id="446"/>
      <w:bookmarkStart w:name="_Toc71807915" w:id="447"/>
      <w:bookmarkStart w:name="_Toc70502427" w:id="448"/>
      <w:bookmarkStart w:name="_Toc71210685" w:id="449"/>
      <w:bookmarkStart w:name="_Toc71807678" w:id="450"/>
      <w:bookmarkStart w:name="_Toc71807794" w:id="451"/>
      <w:bookmarkStart w:name="_Toc71807861" w:id="452"/>
      <w:bookmarkStart w:name="_Toc71807916" w:id="453"/>
      <w:bookmarkStart w:name="_Toc70502428" w:id="454"/>
      <w:bookmarkStart w:name="_Toc71210686" w:id="455"/>
      <w:bookmarkStart w:name="_Toc71807679" w:id="456"/>
      <w:bookmarkStart w:name="_Toc71807795" w:id="457"/>
      <w:bookmarkStart w:name="_Toc71807862" w:id="458"/>
      <w:bookmarkStart w:name="_Toc71807917" w:id="459"/>
      <w:bookmarkEnd w:id="391"/>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sidRPr="00A45753">
        <w:t xml:space="preserve">There are a range of models for developing </w:t>
      </w:r>
      <w:r w:rsidRPr="00BF1E12">
        <w:t>and issuing medical and ethical guidelines such as the recommended new National Guidelines.</w:t>
      </w:r>
    </w:p>
    <w:p w:rsidRPr="00A45753" w:rsidR="00810FD7" w:rsidP="00810FD7" w:rsidRDefault="00810FD7" w14:paraId="7882A9AF" w14:textId="77777777">
      <w:r w:rsidRPr="00A45753">
        <w:t>Clinical guidelines are commonly developed by working parties of health practitioners and issued by expert bodies, such as the Royal Australian College of General Practitioners,</w:t>
      </w:r>
      <w:r w:rsidRPr="0117CC5D">
        <w:rPr>
          <w:rStyle w:val="EndnoteReference"/>
        </w:rPr>
        <w:endnoteReference w:id="499"/>
      </w:r>
      <w:r w:rsidRPr="00A45753">
        <w:t xml:space="preserve"> or Cancer Council Australia.</w:t>
      </w:r>
      <w:r w:rsidRPr="0117CC5D">
        <w:rPr>
          <w:rStyle w:val="EndnoteReference"/>
        </w:rPr>
        <w:endnoteReference w:id="500"/>
      </w:r>
    </w:p>
    <w:p w:rsidRPr="00A45753" w:rsidR="00810FD7" w:rsidP="00810FD7" w:rsidRDefault="00810FD7" w14:paraId="47B487EC" w14:textId="77777777">
      <w:r w:rsidRPr="00A45753">
        <w:t xml:space="preserve">Clinical guidelines can be defined as ‘evidence-based statements that include recommendations intended to optimise patient care and assist health care </w:t>
      </w:r>
      <w:r w:rsidRPr="00A45753">
        <w:lastRenderedPageBreak/>
        <w:t>practitioners to make decisions about appropriate health care for specific clinical circumstances’.</w:t>
      </w:r>
      <w:r w:rsidRPr="0117CC5D">
        <w:rPr>
          <w:rStyle w:val="EndnoteReference"/>
        </w:rPr>
        <w:endnoteReference w:id="501"/>
      </w:r>
      <w:r w:rsidRPr="00A45753">
        <w:t xml:space="preserve"> They should assist clinicians and patients in shared decision making.</w:t>
      </w:r>
      <w:r w:rsidRPr="0117CC5D">
        <w:rPr>
          <w:rStyle w:val="EndnoteReference"/>
        </w:rPr>
        <w:endnoteReference w:id="502"/>
      </w:r>
    </w:p>
    <w:p w:rsidRPr="00A45753" w:rsidR="00810FD7" w:rsidP="00810FD7" w:rsidRDefault="00810FD7" w14:paraId="73CF518E" w14:textId="77777777">
      <w:r>
        <w:t>In a strict sense, c</w:t>
      </w:r>
      <w:r w:rsidRPr="00A45753">
        <w:t xml:space="preserve">linical guidelines are not legally binding on health practitioners or others and do not usually have any legislative basis but are important in defining best practice. </w:t>
      </w:r>
    </w:p>
    <w:p w:rsidRPr="00A45753" w:rsidR="00810FD7" w:rsidP="00810FD7" w:rsidRDefault="00810FD7" w14:paraId="7378B935" w14:textId="77777777">
      <w:r w:rsidRPr="00A45753">
        <w:t xml:space="preserve">Clinical guidelines may be an important reference point when assessing minimum standards of care in the context of complaints made about professional standards. Breach of clinical guidelines may lead to disciplinary action by professional regulatory entities, such as the Australian Health Practitioner Regulatory Authority. </w:t>
      </w:r>
    </w:p>
    <w:p w:rsidRPr="00A45753" w:rsidR="00810FD7" w:rsidP="00810FD7" w:rsidRDefault="00810FD7" w14:paraId="79661392" w14:textId="77777777">
      <w:r w:rsidRPr="00A45753">
        <w:t xml:space="preserve">Compliance with clinical guidelines may help protect health practitioners from civil liability. For example, under the </w:t>
      </w:r>
      <w:r w:rsidRPr="00A45753">
        <w:rPr>
          <w:i/>
          <w:iCs/>
        </w:rPr>
        <w:t>Civil Liability Act</w:t>
      </w:r>
      <w:r w:rsidRPr="00A45753">
        <w:t xml:space="preserve"> </w:t>
      </w:r>
      <w:r w:rsidRPr="00E6428D">
        <w:rPr>
          <w:i/>
          <w:iCs/>
        </w:rPr>
        <w:t>2002</w:t>
      </w:r>
      <w:r w:rsidRPr="00A45753">
        <w:t xml:space="preserve"> (NSW) a professional does not incur liability in negligence if they act in a manner that is ‘widely accepted in Australia by peer professional opinion as competent professional practice’,</w:t>
      </w:r>
      <w:r w:rsidRPr="0117CC5D">
        <w:rPr>
          <w:rStyle w:val="EndnoteReference"/>
        </w:rPr>
        <w:endnoteReference w:id="503"/>
      </w:r>
      <w:r w:rsidRPr="00A45753">
        <w:t xml:space="preserve"> which can be reflected in clinical guidelines.</w:t>
      </w:r>
    </w:p>
    <w:p w:rsidRPr="00A45753" w:rsidR="00810FD7" w:rsidP="00810FD7" w:rsidRDefault="00810FD7" w14:paraId="5C09C8D7" w14:textId="77777777">
      <w:r w:rsidRPr="00A45753">
        <w:t>Some clinical and other healthcare guidelines are made binding by administrative means. For example, the National Safety and Quality Health Service Standards provide a nationally</w:t>
      </w:r>
      <w:r>
        <w:t xml:space="preserve"> </w:t>
      </w:r>
      <w:r w:rsidRPr="00A45753">
        <w:t>consistent statement of the level of care consumers can expect from health service organisations,</w:t>
      </w:r>
      <w:r w:rsidRPr="0117CC5D">
        <w:rPr>
          <w:rStyle w:val="EndnoteReference"/>
        </w:rPr>
        <w:endnoteReference w:id="504"/>
      </w:r>
      <w:r w:rsidRPr="00A45753">
        <w:t xml:space="preserve"> and implementation of the standards is mandated in all hospitals, day procedure services and public dental services across Australia.</w:t>
      </w:r>
      <w:r w:rsidRPr="0117CC5D">
        <w:rPr>
          <w:rStyle w:val="EndnoteReference"/>
        </w:rPr>
        <w:endnoteReference w:id="505"/>
      </w:r>
    </w:p>
    <w:p w:rsidRPr="00A45753" w:rsidR="00810FD7" w:rsidP="00810FD7" w:rsidRDefault="00810FD7" w14:paraId="7E6AC33B" w14:textId="77777777">
      <w:r w:rsidRPr="00A45753">
        <w:t>Some guidelines have a legislative basis</w:t>
      </w:r>
      <w:r>
        <w:t xml:space="preserve"> – </w:t>
      </w:r>
      <w:r w:rsidRPr="00A45753">
        <w:t>for example</w:t>
      </w:r>
      <w:r>
        <w:t>,</w:t>
      </w:r>
      <w:r w:rsidRPr="00A45753">
        <w:t xml:space="preserve"> those issued by the National Health and Medical Research Council (NHMRC) under the </w:t>
      </w:r>
      <w:r w:rsidRPr="00A45753">
        <w:rPr>
          <w:i/>
          <w:iCs/>
        </w:rPr>
        <w:t>National Health and Medical Research Council Act 1992</w:t>
      </w:r>
      <w:r w:rsidRPr="00A45753">
        <w:t xml:space="preserve"> (Cth). The Act enables the NHMRC to issue evidence-based guidelines in various areas relating to human health, including clinical practice.</w:t>
      </w:r>
      <w:r w:rsidRPr="0117CC5D">
        <w:rPr>
          <w:rStyle w:val="EndnoteReference"/>
        </w:rPr>
        <w:endnoteReference w:id="506"/>
      </w:r>
      <w:r w:rsidRPr="00A45753">
        <w:t xml:space="preserve"> In addition, the NHMRC may approve guidelines developed by external bodies.</w:t>
      </w:r>
      <w:r w:rsidRPr="0117CC5D">
        <w:rPr>
          <w:rStyle w:val="EndnoteReference"/>
        </w:rPr>
        <w:endnoteReference w:id="507"/>
      </w:r>
      <w:r w:rsidRPr="00A45753">
        <w:t xml:space="preserve"> </w:t>
      </w:r>
    </w:p>
    <w:p w:rsidRPr="00A45753" w:rsidR="00810FD7" w:rsidP="00810FD7" w:rsidRDefault="00810FD7" w14:paraId="60D0BA8C" w14:textId="77777777">
      <w:r w:rsidRPr="00A45753">
        <w:t xml:space="preserve">Legislation may make guidelines binding in prescribed circumstances. For example, under the </w:t>
      </w:r>
      <w:r w:rsidRPr="00A45753">
        <w:rPr>
          <w:i/>
          <w:iCs/>
        </w:rPr>
        <w:t>Guardianship Act 1987</w:t>
      </w:r>
      <w:r w:rsidRPr="00A45753">
        <w:t xml:space="preserve"> (NSW), the </w:t>
      </w:r>
      <w:r w:rsidRPr="00A45753">
        <w:rPr>
          <w:rFonts w:cs="Open Sans"/>
        </w:rPr>
        <w:t xml:space="preserve">NSW Civil and </w:t>
      </w:r>
      <w:r w:rsidRPr="00A45753">
        <w:rPr>
          <w:rFonts w:cs="Open Sans"/>
        </w:rPr>
        <w:lastRenderedPageBreak/>
        <w:t xml:space="preserve">Administrative Tribunal is empowered to give consent to medical treatment, including ‘special treatment’, a term that includes any new treatment that has not yet gained the support of a substantial number of medical practitioners. The legislation provides that the Tribunal may only give consent to new treatment if satisfied that any relevant NHMRC </w:t>
      </w:r>
      <w:r w:rsidRPr="00A45753">
        <w:t>guidelines have been or will be complied with as regards the patient.</w:t>
      </w:r>
      <w:r w:rsidRPr="0117CC5D">
        <w:rPr>
          <w:rStyle w:val="EndnoteReference"/>
          <w:rFonts w:cs="Open Sans"/>
        </w:rPr>
        <w:endnoteReference w:id="508"/>
      </w:r>
      <w:r w:rsidRPr="00A45753">
        <w:rPr>
          <w:rFonts w:cs="Open Sans"/>
        </w:rPr>
        <w:t xml:space="preserve"> </w:t>
      </w:r>
      <w:r w:rsidRPr="00A45753">
        <w:t xml:space="preserve"> </w:t>
      </w:r>
    </w:p>
    <w:p w:rsidRPr="00A45753" w:rsidR="00810FD7" w:rsidP="00810FD7" w:rsidRDefault="00810FD7" w14:paraId="42918079" w14:textId="77777777">
      <w:pPr>
        <w:pStyle w:val="Heading3"/>
      </w:pPr>
      <w:bookmarkStart w:name="_Toc85541458" w:id="460"/>
      <w:r w:rsidRPr="00A45753">
        <w:t>Stakeholder views on binding guidelines</w:t>
      </w:r>
      <w:bookmarkEnd w:id="460"/>
    </w:p>
    <w:p w:rsidRPr="00A45753" w:rsidR="00810FD7" w:rsidP="00810FD7" w:rsidRDefault="00810FD7" w14:paraId="62FA8636" w14:textId="77777777">
      <w:r w:rsidRPr="00A45753">
        <w:t>There were differences of opinion about whether any new guidelines should be binding</w:t>
      </w:r>
      <w:r>
        <w:t xml:space="preserve"> – that is to say, with stricter legal obligations attached than is presently the case – </w:t>
      </w:r>
      <w:r w:rsidRPr="00A45753">
        <w:t xml:space="preserve">on clinicians and others making decisions about medical interventions. </w:t>
      </w:r>
    </w:p>
    <w:p w:rsidRPr="00A45753" w:rsidR="00810FD7" w:rsidP="00810FD7" w:rsidRDefault="00810FD7" w14:paraId="3FFBA0CE" w14:textId="77777777">
      <w:r w:rsidRPr="00A45753">
        <w:t>Clinical stakeholders were divided on this question, while parent groups opposed binding guidelines. Intersex advocacy, health and human rights organisations were unanimous in support.</w:t>
      </w:r>
      <w:r w:rsidRPr="0117CC5D">
        <w:rPr>
          <w:rStyle w:val="EndnoteReference"/>
          <w:rFonts w:cs="Open Sans"/>
        </w:rPr>
        <w:endnoteReference w:id="509"/>
      </w:r>
      <w:r w:rsidRPr="00A45753">
        <w:t xml:space="preserve"> By ‘binding’, stakeholders understood that compliance would be legally required, and departures from the guidelines subject to </w:t>
      </w:r>
      <w:r>
        <w:t xml:space="preserve">more direct </w:t>
      </w:r>
      <w:r w:rsidRPr="00A45753">
        <w:t xml:space="preserve">legal remedies or sanctions. </w:t>
      </w:r>
    </w:p>
    <w:p w:rsidRPr="00A45753" w:rsidR="00810FD7" w:rsidP="00810FD7" w:rsidRDefault="00810FD7" w14:paraId="3354DAD9" w14:textId="77777777">
      <w:r>
        <w:t>Several clinical organisations opposed the making of binding guidelines because they would fetter nuanced medical decision making. They argued that the large number of variations, and the unique aspects of individual cases, defied comprehensive regulation.</w:t>
      </w:r>
    </w:p>
    <w:p w:rsidRPr="00A45753" w:rsidR="00810FD7" w:rsidP="00810FD7" w:rsidRDefault="00810FD7" w14:paraId="595C92C5" w14:textId="77777777">
      <w:r w:rsidRPr="00A45753">
        <w:t>APEG argued that guidelines ‘cannot account for every individual variation’</w:t>
      </w:r>
      <w:r>
        <w:t>.</w:t>
      </w:r>
      <w:r w:rsidRPr="0117CC5D">
        <w:rPr>
          <w:rStyle w:val="EndnoteReference"/>
        </w:rPr>
        <w:endnoteReference w:id="510"/>
      </w:r>
      <w:r w:rsidRPr="00A45753">
        <w:t xml:space="preserve"> Several clinical stakeholders were</w:t>
      </w:r>
      <w:r>
        <w:t xml:space="preserve"> strongly</w:t>
      </w:r>
      <w:r w:rsidRPr="00A45753">
        <w:t xml:space="preserve"> opposed to new guidelines being binding</w:t>
      </w:r>
      <w:r>
        <w:t>,</w:t>
      </w:r>
      <w:r w:rsidRPr="00A45753">
        <w:t xml:space="preserve"> because guidelines should only ever be a guide to practice and should not limit the clinician’s role to propose any intervention they deem appropriate. One clinician stated that ‘guidelines should not be legally binding but act as a tool to facilitate shared decision making in an individualised, patient focussed manner’.</w:t>
      </w:r>
      <w:r w:rsidRPr="0117CC5D">
        <w:rPr>
          <w:rStyle w:val="EndnoteReference"/>
        </w:rPr>
        <w:endnoteReference w:id="511"/>
      </w:r>
      <w:r w:rsidRPr="00A45753">
        <w:t xml:space="preserve"> </w:t>
      </w:r>
    </w:p>
    <w:p w:rsidRPr="00A45753" w:rsidR="00810FD7" w:rsidP="00810FD7" w:rsidRDefault="00810FD7" w14:paraId="4F776489" w14:textId="7C35DFE7">
      <w:pPr>
        <w:widowControl w:val="0"/>
        <w:rPr>
          <w:rFonts w:cs="Open Sans"/>
        </w:rPr>
      </w:pPr>
      <w:r>
        <w:rPr>
          <w:rFonts w:cs="Open Sans"/>
        </w:rPr>
        <w:t xml:space="preserve">In arguing </w:t>
      </w:r>
      <w:r w:rsidRPr="00A45753">
        <w:rPr>
          <w:rFonts w:cs="Open Sans"/>
        </w:rPr>
        <w:t>that guidelines should be binding</w:t>
      </w:r>
      <w:r>
        <w:rPr>
          <w:rFonts w:cs="Open Sans"/>
        </w:rPr>
        <w:t>, h</w:t>
      </w:r>
      <w:r w:rsidRPr="00A45753">
        <w:rPr>
          <w:rFonts w:cs="Open Sans"/>
        </w:rPr>
        <w:t xml:space="preserve">uman rights and community stakeholders </w:t>
      </w:r>
      <w:r>
        <w:rPr>
          <w:rFonts w:cs="Open Sans"/>
        </w:rPr>
        <w:t xml:space="preserve">observed </w:t>
      </w:r>
      <w:r w:rsidRPr="00A45753">
        <w:rPr>
          <w:rFonts w:cs="Open Sans"/>
        </w:rPr>
        <w:t xml:space="preserve">that medically </w:t>
      </w:r>
      <w:r>
        <w:rPr>
          <w:rFonts w:cs="Open Sans"/>
        </w:rPr>
        <w:t>un</w:t>
      </w:r>
      <w:r w:rsidRPr="00A45753">
        <w:rPr>
          <w:rFonts w:cs="Open Sans"/>
        </w:rPr>
        <w:t xml:space="preserve">necessary interventions continue to occur and that </w:t>
      </w:r>
      <w:r>
        <w:rPr>
          <w:rFonts w:cs="Open Sans"/>
        </w:rPr>
        <w:t xml:space="preserve">legal </w:t>
      </w:r>
      <w:r w:rsidRPr="00A45753">
        <w:rPr>
          <w:rFonts w:cs="Open Sans"/>
        </w:rPr>
        <w:t xml:space="preserve">guidelines are needed to </w:t>
      </w:r>
      <w:r>
        <w:rPr>
          <w:rFonts w:cs="Open Sans"/>
        </w:rPr>
        <w:t>address this</w:t>
      </w:r>
      <w:r w:rsidRPr="00A45753">
        <w:rPr>
          <w:rFonts w:cs="Open Sans"/>
        </w:rPr>
        <w:t>. A human rights organisation recommended</w:t>
      </w:r>
    </w:p>
    <w:p w:rsidRPr="00A45753" w:rsidR="00810FD7" w:rsidP="00810FD7" w:rsidRDefault="00810FD7" w14:paraId="3258B4DC" w14:textId="77777777">
      <w:pPr>
        <w:widowControl w:val="0"/>
        <w:ind w:left="720"/>
        <w:rPr>
          <w:rFonts w:cs="Open Sans"/>
        </w:rPr>
      </w:pPr>
      <w:r w:rsidRPr="00A45753">
        <w:rPr>
          <w:rFonts w:cs="Open Sans"/>
          <w:sz w:val="22"/>
          <w:szCs w:val="22"/>
        </w:rPr>
        <w:t xml:space="preserve">A rights-based healthcare protocol, with binding guidelines for healthcare professionals, should be implemented for individuals with variations of sex </w:t>
      </w:r>
      <w:r w:rsidRPr="00A45753">
        <w:rPr>
          <w:rFonts w:cs="Open Sans"/>
          <w:sz w:val="22"/>
          <w:szCs w:val="22"/>
        </w:rPr>
        <w:lastRenderedPageBreak/>
        <w:t>characteristics to guarantee their bodily integrity, autonomy and self-determination and to ensure that no child is subjected to non-emergency, invasive and irreversible surgery or treatment.</w:t>
      </w:r>
      <w:r w:rsidRPr="00B32496">
        <w:rPr>
          <w:rStyle w:val="EndnoteReference"/>
          <w:rFonts w:cs="Open Sans"/>
          <w:sz w:val="18"/>
          <w:szCs w:val="18"/>
        </w:rPr>
        <w:endnoteReference w:id="512"/>
      </w:r>
    </w:p>
    <w:p w:rsidRPr="00A45753" w:rsidR="00810FD7" w:rsidP="00810FD7" w:rsidRDefault="00810FD7" w14:paraId="101F34A4" w14:textId="77777777">
      <w:pPr>
        <w:pStyle w:val="Heading3"/>
      </w:pPr>
      <w:bookmarkStart w:name="_Toc85541459" w:id="461"/>
      <w:r>
        <w:t>The binding nature of the National Guidelines</w:t>
      </w:r>
      <w:bookmarkEnd w:id="461"/>
    </w:p>
    <w:p w:rsidRPr="00A45753" w:rsidR="00810FD7" w:rsidP="00810FD7" w:rsidRDefault="00810FD7" w14:paraId="18332D74" w14:textId="77777777">
      <w:r w:rsidRPr="00A45753">
        <w:rPr>
          <w:rFonts w:cs="Open Sans"/>
        </w:rPr>
        <w:t xml:space="preserve">The Commission considers </w:t>
      </w:r>
      <w:r>
        <w:rPr>
          <w:rFonts w:cs="Open Sans"/>
        </w:rPr>
        <w:t>that the National Guidelines</w:t>
      </w:r>
      <w:r w:rsidRPr="00A45753">
        <w:rPr>
          <w:rFonts w:cs="Open Sans"/>
        </w:rPr>
        <w:t xml:space="preserve"> </w:t>
      </w:r>
      <w:r w:rsidRPr="00A45753">
        <w:t xml:space="preserve">need to </w:t>
      </w:r>
      <w:r>
        <w:t>help</w:t>
      </w:r>
      <w:r w:rsidRPr="00A45753">
        <w:t xml:space="preserve"> ensure that medical interventions do not infringe the human rights of people born with variations in sex characteristics.</w:t>
      </w:r>
    </w:p>
    <w:p w:rsidRPr="00A45753" w:rsidR="00810FD7" w:rsidP="00810FD7" w:rsidRDefault="00810FD7" w14:paraId="7E63859E" w14:textId="77777777">
      <w:pPr>
        <w:rPr>
          <w:rFonts w:cs="Open Sans"/>
        </w:rPr>
      </w:pPr>
      <w:r w:rsidRPr="00A45753">
        <w:t xml:space="preserve">It is clear from </w:t>
      </w:r>
      <w:r w:rsidRPr="00A45753">
        <w:rPr>
          <w:rFonts w:cs="Open Sans"/>
        </w:rPr>
        <w:t>people’s lived experience</w:t>
      </w:r>
      <w:r w:rsidRPr="0117CC5D">
        <w:rPr>
          <w:rStyle w:val="EndnoteReference"/>
          <w:rFonts w:cs="Open Sans"/>
        </w:rPr>
        <w:endnoteReference w:id="513"/>
      </w:r>
      <w:r w:rsidRPr="00627237">
        <w:rPr>
          <w:rFonts w:cs="Open Sans"/>
          <w:sz w:val="20"/>
          <w:szCs w:val="20"/>
        </w:rPr>
        <w:t xml:space="preserve"> </w:t>
      </w:r>
      <w:r w:rsidRPr="00A45753">
        <w:rPr>
          <w:rFonts w:cs="Open Sans"/>
        </w:rPr>
        <w:t>that</w:t>
      </w:r>
      <w:r w:rsidRPr="00A45753">
        <w:rPr>
          <w:rFonts w:cs="Open Sans"/>
          <w:i/>
          <w:iCs/>
        </w:rPr>
        <w:t xml:space="preserve"> </w:t>
      </w:r>
      <w:r w:rsidRPr="00A45753">
        <w:rPr>
          <w:rFonts w:cs="Open Sans"/>
        </w:rPr>
        <w:t xml:space="preserve">many </w:t>
      </w:r>
      <w:r>
        <w:rPr>
          <w:rFonts w:cs="Open Sans"/>
        </w:rPr>
        <w:t xml:space="preserve">medical </w:t>
      </w:r>
      <w:r w:rsidRPr="00A45753">
        <w:rPr>
          <w:rFonts w:cs="Open Sans"/>
        </w:rPr>
        <w:t xml:space="preserve">interventions have occurred for reasons other than medical necessity. These interventions have sometimes been carried out in the absence of evidence on effectiveness and long-term outcome data. At the same time, documents guiding clinical management of variations in Australia contemplate interventions on bases other than medical necessity. </w:t>
      </w:r>
    </w:p>
    <w:p w:rsidR="00810FD7" w:rsidP="00810FD7" w:rsidRDefault="00810FD7" w14:paraId="4B09ED5E" w14:textId="50CF397F">
      <w:pPr>
        <w:rPr>
          <w:rFonts w:cs="Open Sans"/>
        </w:rPr>
      </w:pPr>
      <w:r w:rsidRPr="00A45753">
        <w:rPr>
          <w:rFonts w:cs="Open Sans"/>
        </w:rPr>
        <w:t xml:space="preserve">This is of great concern. </w:t>
      </w:r>
      <w:r>
        <w:rPr>
          <w:rFonts w:cs="Open Sans"/>
        </w:rPr>
        <w:t>B</w:t>
      </w:r>
      <w:r w:rsidRPr="00A45753">
        <w:rPr>
          <w:rFonts w:cs="Open Sans"/>
        </w:rPr>
        <w:t xml:space="preserve">inding </w:t>
      </w:r>
      <w:r>
        <w:rPr>
          <w:rFonts w:cs="Open Sans"/>
        </w:rPr>
        <w:t>guidelines are</w:t>
      </w:r>
      <w:r w:rsidRPr="00A45753">
        <w:rPr>
          <w:rFonts w:cs="Open Sans"/>
        </w:rPr>
        <w:t xml:space="preserve"> essential to </w:t>
      </w:r>
      <w:r>
        <w:rPr>
          <w:rFonts w:cs="Open Sans"/>
        </w:rPr>
        <w:t xml:space="preserve">support a change of current practice to one that fully complies with human rights obligations. That is, to </w:t>
      </w:r>
      <w:r w:rsidRPr="158F2CA8">
        <w:rPr>
          <w:rFonts w:cs="Open Sans"/>
        </w:rPr>
        <w:t>ensure</w:t>
      </w:r>
      <w:r w:rsidRPr="00A45753">
        <w:rPr>
          <w:rFonts w:cs="Open Sans"/>
        </w:rPr>
        <w:t xml:space="preserve"> that interventions occur within a context of medical necessity, are consistent with best evidence-based understandings, and that consent is informed based on provision of adequate information and other minimum decision-making standards.</w:t>
      </w:r>
    </w:p>
    <w:p w:rsidR="003065CE" w:rsidP="003065CE" w:rsidRDefault="003065CE" w14:paraId="6EFCF0C9" w14:textId="6FC3E080">
      <w:r w:rsidRPr="00514277">
        <w:t>In Chapters 7 and 8, the Commission recommends the enactment of legislation effectively prohibiting medical interventions for children with a variation in sex characteristics without their personal consent except in cases of medical necessity (see Recommendations 7, 8,</w:t>
      </w:r>
      <w:r w:rsidR="00BE5622">
        <w:t xml:space="preserve"> and</w:t>
      </w:r>
      <w:r w:rsidRPr="00514277">
        <w:t xml:space="preserve"> 9).</w:t>
      </w:r>
      <w:r w:rsidRPr="0059168F">
        <w:t xml:space="preserve"> </w:t>
      </w:r>
    </w:p>
    <w:p w:rsidRPr="00A45753" w:rsidR="003065CE" w:rsidP="003065CE" w:rsidRDefault="003065CE" w14:paraId="78AE4088" w14:textId="2C07B00C">
      <w:r w:rsidRPr="00A45753">
        <w:t xml:space="preserve">The </w:t>
      </w:r>
      <w:r>
        <w:t xml:space="preserve">National Guidelines </w:t>
      </w:r>
      <w:r w:rsidRPr="00A45753">
        <w:t xml:space="preserve">would, in effect, be binding to the extent that they are consistent with </w:t>
      </w:r>
      <w:r>
        <w:t xml:space="preserve">these legislative reforms. </w:t>
      </w:r>
      <w:r w:rsidRPr="00A45753">
        <w:t xml:space="preserve">Further, the Commission recommends that </w:t>
      </w:r>
      <w:r w:rsidRPr="009C1002">
        <w:t xml:space="preserve">Independent Panels, in determining whether a medical intervention is authorised, should be informed by </w:t>
      </w:r>
      <w:r>
        <w:t xml:space="preserve">the </w:t>
      </w:r>
      <w:r w:rsidRPr="009C1002">
        <w:t xml:space="preserve">National Guidelines (see Recommendation </w:t>
      </w:r>
      <w:r w:rsidR="00871B37">
        <w:t>8</w:t>
      </w:r>
      <w:r>
        <w:t>).</w:t>
      </w:r>
    </w:p>
    <w:p w:rsidRPr="00A45753" w:rsidR="003065CE" w:rsidP="003065CE" w:rsidRDefault="003065CE" w14:paraId="4FEEA8CD" w14:textId="4A075AFE">
      <w:pPr>
        <w:rPr>
          <w:rFonts w:cs="Open Sans"/>
        </w:rPr>
      </w:pPr>
      <w:r w:rsidRPr="00A45753">
        <w:rPr>
          <w:rFonts w:cs="Open Sans"/>
        </w:rPr>
        <w:lastRenderedPageBreak/>
        <w:t xml:space="preserve">Even in the absence of </w:t>
      </w:r>
      <w:r>
        <w:rPr>
          <w:rFonts w:cs="Open Sans"/>
        </w:rPr>
        <w:t xml:space="preserve">this </w:t>
      </w:r>
      <w:r w:rsidRPr="00A45753">
        <w:rPr>
          <w:rFonts w:cs="Open Sans"/>
        </w:rPr>
        <w:t xml:space="preserve">legislative backing, there are other mechanisms by which the </w:t>
      </w:r>
      <w:r>
        <w:rPr>
          <w:rFonts w:cs="Open Sans"/>
        </w:rPr>
        <w:t>National G</w:t>
      </w:r>
      <w:r w:rsidRPr="00A45753">
        <w:rPr>
          <w:rFonts w:cs="Open Sans"/>
        </w:rPr>
        <w:t>uidelines could be given some binding effect, including administratively, through government health department and public and private hospital policies and procedures</w:t>
      </w:r>
      <w:r w:rsidR="00764DE0">
        <w:rPr>
          <w:rFonts w:cs="Open Sans"/>
        </w:rPr>
        <w:t xml:space="preserve">. </w:t>
      </w:r>
      <w:r w:rsidR="008E623F">
        <w:rPr>
          <w:rFonts w:cs="Open Sans"/>
        </w:rPr>
        <w:t xml:space="preserve">Also, </w:t>
      </w:r>
      <w:r w:rsidRPr="00A45753" w:rsidR="008E623F">
        <w:t>in the context of complaints made about professional standards</w:t>
      </w:r>
      <w:r w:rsidR="008E623F">
        <w:t xml:space="preserve">, the National Guidelines </w:t>
      </w:r>
      <w:r w:rsidR="00E352DF">
        <w:t>may</w:t>
      </w:r>
      <w:r w:rsidR="008E623F">
        <w:t xml:space="preserve"> have a </w:t>
      </w:r>
      <w:r w:rsidR="00E352DF">
        <w:t>binding effect, as</w:t>
      </w:r>
      <w:r w:rsidR="008E623F">
        <w:t xml:space="preserve"> b</w:t>
      </w:r>
      <w:r w:rsidRPr="00A45753" w:rsidR="008E623F">
        <w:t>reach of clinical guidelines may lead to disciplinary action by professional regulatory entities</w:t>
      </w:r>
      <w:r w:rsidR="00E352DF">
        <w:t>.</w:t>
      </w:r>
      <w:r w:rsidR="00764DE0">
        <w:rPr>
          <w:rFonts w:cs="Open Sans"/>
        </w:rPr>
        <w:t xml:space="preserve"> </w:t>
      </w:r>
    </w:p>
    <w:p w:rsidRPr="00A45753" w:rsidR="003065CE" w:rsidP="003065CE" w:rsidRDefault="003065CE" w14:paraId="11CEA302" w14:textId="77777777">
      <w:pPr>
        <w:rPr>
          <w:rFonts w:cs="Open Sans"/>
        </w:rPr>
      </w:pPr>
      <w:r w:rsidRPr="00A45753">
        <w:rPr>
          <w:rFonts w:cs="Open Sans"/>
        </w:rPr>
        <w:t>The Commission consider</w:t>
      </w:r>
      <w:r>
        <w:rPr>
          <w:rFonts w:cs="Open Sans"/>
        </w:rPr>
        <w:t>s</w:t>
      </w:r>
      <w:r w:rsidRPr="00A45753">
        <w:rPr>
          <w:rFonts w:cs="Open Sans"/>
        </w:rPr>
        <w:t xml:space="preserve"> that the recommended content of the </w:t>
      </w:r>
      <w:r>
        <w:rPr>
          <w:rFonts w:cs="Open Sans"/>
        </w:rPr>
        <w:t>National Guidelines</w:t>
      </w:r>
      <w:r w:rsidRPr="00A45753">
        <w:rPr>
          <w:rFonts w:cs="Open Sans"/>
        </w:rPr>
        <w:t xml:space="preserve"> would </w:t>
      </w:r>
      <w:r>
        <w:rPr>
          <w:rFonts w:cs="Open Sans"/>
        </w:rPr>
        <w:t xml:space="preserve">not </w:t>
      </w:r>
      <w:r w:rsidRPr="00A45753">
        <w:rPr>
          <w:rFonts w:cs="Open Sans"/>
        </w:rPr>
        <w:t xml:space="preserve">unduly fetter the ability of clinicians to form treatment recommendations according to individual circumstances. </w:t>
      </w:r>
    </w:p>
    <w:p w:rsidRPr="00A45753" w:rsidR="003065CE" w:rsidP="003065CE" w:rsidRDefault="003065CE" w14:paraId="3F5031BC" w14:textId="77777777">
      <w:pPr>
        <w:rPr>
          <w:rFonts w:cs="Open Sans"/>
        </w:rPr>
      </w:pPr>
      <w:r w:rsidRPr="00A45753">
        <w:rPr>
          <w:rFonts w:cs="Open Sans"/>
        </w:rPr>
        <w:t xml:space="preserve">The </w:t>
      </w:r>
      <w:r>
        <w:rPr>
          <w:rFonts w:cs="Open Sans"/>
        </w:rPr>
        <w:t xml:space="preserve">purely </w:t>
      </w:r>
      <w:r w:rsidRPr="00A45753">
        <w:rPr>
          <w:rFonts w:cs="Open Sans"/>
        </w:rPr>
        <w:t xml:space="preserve">clinical </w:t>
      </w:r>
      <w:r>
        <w:rPr>
          <w:rFonts w:cs="Open Sans"/>
        </w:rPr>
        <w:t xml:space="preserve">components </w:t>
      </w:r>
      <w:r w:rsidRPr="00A45753">
        <w:rPr>
          <w:rFonts w:cs="Open Sans"/>
        </w:rPr>
        <w:t xml:space="preserve">would provide recommendations and treatment protocols for specific variations, and reviews of variation-specific existing and emerging evidence-based research. A range of different stakeholders, including clinicians, have argued that such guidance would provide useful support for clinical decision making. </w:t>
      </w:r>
    </w:p>
    <w:p w:rsidRPr="00B40FC9" w:rsidR="003065CE" w:rsidP="00810FD7" w:rsidRDefault="003065CE" w14:paraId="38DDAF7A" w14:textId="7FAB16BB">
      <w:pPr>
        <w:rPr>
          <w:b/>
          <w:bCs/>
          <w:sz w:val="28"/>
          <w:szCs w:val="28"/>
        </w:rPr>
      </w:pPr>
      <w:r w:rsidRPr="00A45753">
        <w:t>Guidance in relation to recommended treatment and relevant research should not be binding but support expert clinician deliberation that appropriately accounts for circumstances of an individual case.</w:t>
      </w:r>
    </w:p>
    <w:p w:rsidRPr="00C2621B" w:rsidR="00810FD7" w:rsidP="004E1B63" w:rsidRDefault="00810FD7" w14:paraId="75A67ED1" w14:textId="6F53E601">
      <w:pPr>
        <w:pStyle w:val="AHRCHeading2"/>
        <w:rPr>
          <w:rFonts w:eastAsia="Open Sans"/>
          <w:bCs/>
        </w:rPr>
      </w:pPr>
      <w:bookmarkStart w:name="_Toc85541460" w:id="462"/>
      <w:r w:rsidRPr="00C2621B">
        <w:t>Development, funding, and review of the new National Guidelines</w:t>
      </w:r>
      <w:bookmarkEnd w:id="462"/>
    </w:p>
    <w:p w:rsidRPr="00A45753" w:rsidR="00810FD7" w:rsidP="00810FD7" w:rsidRDefault="00810FD7" w14:paraId="0F5C1BE1" w14:textId="77777777">
      <w:pPr>
        <w:pStyle w:val="ListNumber"/>
        <w:numPr>
          <w:ilvl w:val="0"/>
          <w:numId w:val="0"/>
        </w:numPr>
        <w:rPr>
          <w:rFonts w:cs="Open Sans"/>
        </w:rPr>
      </w:pPr>
      <w:r w:rsidRPr="177D145B">
        <w:rPr>
          <w:rFonts w:cs="Open Sans"/>
        </w:rPr>
        <w:t>The Commission considers that</w:t>
      </w:r>
      <w:r w:rsidRPr="00A45753">
        <w:rPr>
          <w:rFonts w:cs="Open Sans"/>
        </w:rPr>
        <w:t xml:space="preserve"> the </w:t>
      </w:r>
      <w:r>
        <w:rPr>
          <w:rFonts w:cs="Open Sans"/>
        </w:rPr>
        <w:t>National Guidelines</w:t>
      </w:r>
      <w:r w:rsidRPr="00A45753">
        <w:rPr>
          <w:rFonts w:cs="Open Sans"/>
        </w:rPr>
        <w:t xml:space="preserve"> should be developed by a national multidisciplinary expert group convened by the Australian Government and facilitated by the NHMRC. There needs to be adequate funding for development and review of the new guidelines.</w:t>
      </w:r>
    </w:p>
    <w:p w:rsidRPr="00A45753" w:rsidR="00810FD7" w:rsidP="00810FD7" w:rsidRDefault="00810FD7" w14:paraId="5BA63544" w14:textId="77777777">
      <w:pPr>
        <w:pStyle w:val="Heading3"/>
      </w:pPr>
      <w:bookmarkStart w:name="_Toc85541461" w:id="463"/>
      <w:r w:rsidRPr="00A45753">
        <w:t>Stakeholder views on the development of guidelines</w:t>
      </w:r>
      <w:bookmarkEnd w:id="463"/>
    </w:p>
    <w:p w:rsidRPr="00A45753" w:rsidR="00810FD7" w:rsidP="00810FD7" w:rsidRDefault="00810FD7" w14:paraId="12566A31" w14:textId="39DBA0D2">
      <w:pPr>
        <w:rPr>
          <w:rFonts w:cs="Open Sans"/>
        </w:rPr>
      </w:pPr>
      <w:r w:rsidRPr="00A45753">
        <w:rPr>
          <w:rFonts w:cs="Open Sans"/>
        </w:rPr>
        <w:t>Stakeholders suggested specific bodies that might develop new guidelines. These included</w:t>
      </w:r>
    </w:p>
    <w:p w:rsidRPr="00A45753" w:rsidR="00810FD7" w:rsidP="002F7D27" w:rsidRDefault="00810FD7" w14:paraId="18349047" w14:textId="77777777">
      <w:pPr>
        <w:pStyle w:val="ListParagraph"/>
        <w:numPr>
          <w:ilvl w:val="0"/>
          <w:numId w:val="52"/>
        </w:numPr>
        <w:rPr>
          <w:rFonts w:cs="Open Sans"/>
        </w:rPr>
      </w:pPr>
      <w:r w:rsidRPr="00A45753">
        <w:rPr>
          <w:rFonts w:cs="Open Sans"/>
        </w:rPr>
        <w:t>the National Health and Medical Research Council</w:t>
      </w:r>
      <w:r w:rsidRPr="0117CC5D">
        <w:rPr>
          <w:rStyle w:val="EndnoteReference"/>
          <w:rFonts w:cs="Open Sans"/>
        </w:rPr>
        <w:endnoteReference w:id="514"/>
      </w:r>
      <w:r w:rsidRPr="0051175C">
        <w:rPr>
          <w:rFonts w:cs="Open Sans"/>
          <w:sz w:val="20"/>
          <w:szCs w:val="20"/>
        </w:rPr>
        <w:t xml:space="preserve"> </w:t>
      </w:r>
      <w:r w:rsidRPr="00A45753">
        <w:rPr>
          <w:rFonts w:cs="Open Sans"/>
        </w:rPr>
        <w:t xml:space="preserve"> </w:t>
      </w:r>
    </w:p>
    <w:p w:rsidRPr="00A45753" w:rsidR="00810FD7" w:rsidP="002F7D27" w:rsidRDefault="00810FD7" w14:paraId="338FA94B" w14:textId="77777777">
      <w:pPr>
        <w:pStyle w:val="ListParagraph"/>
        <w:numPr>
          <w:ilvl w:val="0"/>
          <w:numId w:val="52"/>
        </w:numPr>
        <w:rPr>
          <w:rFonts w:cs="Open Sans"/>
        </w:rPr>
      </w:pPr>
      <w:r w:rsidRPr="00A45753">
        <w:rPr>
          <w:rFonts w:cs="Open Sans"/>
        </w:rPr>
        <w:t>the Australasian Paediatric Endocrine Group</w:t>
      </w:r>
      <w:r w:rsidRPr="0117CC5D">
        <w:rPr>
          <w:rStyle w:val="EndnoteReference"/>
          <w:rFonts w:cs="Open Sans"/>
        </w:rPr>
        <w:endnoteReference w:id="515"/>
      </w:r>
    </w:p>
    <w:p w:rsidRPr="007E77EC" w:rsidR="00810FD7" w:rsidP="002F7D27" w:rsidRDefault="00810FD7" w14:paraId="295E7040" w14:textId="77777777">
      <w:pPr>
        <w:pStyle w:val="ListParagraph"/>
        <w:numPr>
          <w:ilvl w:val="0"/>
          <w:numId w:val="52"/>
        </w:numPr>
        <w:rPr>
          <w:rFonts w:cs="Open Sans"/>
        </w:rPr>
      </w:pPr>
      <w:r w:rsidRPr="00A45753">
        <w:rPr>
          <w:rFonts w:cs="Open Sans"/>
        </w:rPr>
        <w:lastRenderedPageBreak/>
        <w:t>some new entity created for the purpose, such as a ‘special medical procedures advisory body’.</w:t>
      </w:r>
    </w:p>
    <w:p w:rsidRPr="00A45753" w:rsidR="00810FD7" w:rsidP="00810FD7" w:rsidRDefault="00810FD7" w14:paraId="2704FE19" w14:textId="77777777">
      <w:pPr>
        <w:pStyle w:val="ListParagraph"/>
        <w:ind w:left="0"/>
        <w:rPr>
          <w:rFonts w:cs="Open Sans"/>
        </w:rPr>
      </w:pPr>
      <w:r w:rsidRPr="00A45753">
        <w:t xml:space="preserve">In relation to the latter suggestion, the Senate Committee recommended that a special medical procedures advisory </w:t>
      </w:r>
      <w:r>
        <w:t>committee</w:t>
      </w:r>
      <w:r w:rsidRPr="00A45753">
        <w:t xml:space="preserve"> (SMPAC) should draft ‘guidelines for the treatment of common intersex conditions based on medical management, ethical, human rights and legal principles’.</w:t>
      </w:r>
      <w:r w:rsidRPr="0117CC5D">
        <w:rPr>
          <w:rStyle w:val="EndnoteReference"/>
          <w:rFonts w:cs="Open Sans"/>
        </w:rPr>
        <w:endnoteReference w:id="516"/>
      </w:r>
      <w:r w:rsidRPr="00A45753">
        <w:t xml:space="preserve"> </w:t>
      </w:r>
      <w:r w:rsidRPr="00A45753">
        <w:rPr>
          <w:rFonts w:cs="Open Sans"/>
        </w:rPr>
        <w:t>The Senate Committee argued that the need for the SMPAC stemmed from the range and variation of diagnoses associated with intersex conditions, and as well as drafting guidelines it would help ensure a consistent approach in the health care management of people born with variations in sex characteristics.</w:t>
      </w:r>
      <w:r w:rsidRPr="0117CC5D">
        <w:rPr>
          <w:rStyle w:val="EndnoteReference"/>
          <w:rFonts w:cs="Open Sans"/>
        </w:rPr>
        <w:endnoteReference w:id="517"/>
      </w:r>
      <w:r w:rsidRPr="00A45753">
        <w:t xml:space="preserve"> </w:t>
      </w:r>
      <w:r w:rsidRPr="00A45753">
        <w:rPr>
          <w:rFonts w:cs="Open Sans"/>
        </w:rPr>
        <w:t xml:space="preserve"> </w:t>
      </w:r>
    </w:p>
    <w:p w:rsidRPr="00A45753" w:rsidR="00810FD7" w:rsidP="00810FD7" w:rsidRDefault="00810FD7" w14:paraId="0594DD6D" w14:textId="77777777">
      <w:pPr>
        <w:pStyle w:val="ListParagraph"/>
        <w:ind w:left="0"/>
        <w:rPr>
          <w:rFonts w:cs="Open Sans"/>
        </w:rPr>
      </w:pPr>
      <w:r w:rsidRPr="00A45753">
        <w:rPr>
          <w:rFonts w:cs="Open Sans"/>
        </w:rPr>
        <w:t>Intersex advocacy and support groups referred to the Senate Committee’s recommendation that a SMPAC draft new guidelines.</w:t>
      </w:r>
      <w:r w:rsidRPr="0117CC5D">
        <w:rPr>
          <w:rStyle w:val="EndnoteReference"/>
          <w:rFonts w:cs="Open Sans"/>
        </w:rPr>
        <w:endnoteReference w:id="518"/>
      </w:r>
    </w:p>
    <w:p w:rsidRPr="00A45753" w:rsidR="00810FD7" w:rsidP="00810FD7" w:rsidRDefault="00810FD7" w14:paraId="3AFF57FE" w14:textId="77777777">
      <w:pPr>
        <w:rPr>
          <w:rFonts w:cs="Open Sans"/>
        </w:rPr>
      </w:pPr>
      <w:r w:rsidRPr="00A45753">
        <w:rPr>
          <w:rFonts w:cs="Open Sans"/>
        </w:rPr>
        <w:t>Stakeholders emphasised that any entity responsible for developing guidelines should include a wide range of expertise</w:t>
      </w:r>
      <w:r>
        <w:rPr>
          <w:rFonts w:cs="Open Sans"/>
        </w:rPr>
        <w:t>,</w:t>
      </w:r>
      <w:r w:rsidRPr="00A45753">
        <w:rPr>
          <w:rFonts w:cs="Open Sans"/>
        </w:rPr>
        <w:t xml:space="preserve"> including from people with lived experience and civil society organisations, to ensure that people whose rights guidelines are intended to protect can inform their development.</w:t>
      </w:r>
      <w:r w:rsidRPr="0117CC5D">
        <w:rPr>
          <w:rStyle w:val="EndnoteReference"/>
          <w:rFonts w:cs="Open Sans"/>
        </w:rPr>
        <w:endnoteReference w:id="519"/>
      </w:r>
      <w:r w:rsidRPr="00A45753">
        <w:rPr>
          <w:rFonts w:cs="Open Sans"/>
        </w:rPr>
        <w:t xml:space="preserve"> </w:t>
      </w:r>
    </w:p>
    <w:p w:rsidRPr="00A45753" w:rsidR="00810FD7" w:rsidP="00810FD7" w:rsidRDefault="00810FD7" w14:paraId="70DF8A5B" w14:textId="77777777">
      <w:pPr>
        <w:rPr>
          <w:rFonts w:cs="Open Sans"/>
        </w:rPr>
      </w:pPr>
      <w:r w:rsidRPr="00A45753">
        <w:rPr>
          <w:rFonts w:cs="Open Sans"/>
        </w:rPr>
        <w:t xml:space="preserve">Many stakeholders agreed that the development of guidelines would require a range of expertise and could not successfully be developed by health practitioners or medical scientists alone. </w:t>
      </w:r>
    </w:p>
    <w:p w:rsidRPr="00A45753" w:rsidR="00810FD7" w:rsidP="00810FD7" w:rsidRDefault="00810FD7" w14:paraId="4ACBB227" w14:textId="77777777">
      <w:pPr>
        <w:rPr>
          <w:rFonts w:cs="Open Sans"/>
        </w:rPr>
      </w:pPr>
      <w:r w:rsidRPr="00A45753">
        <w:rPr>
          <w:rFonts w:cs="Open Sans"/>
        </w:rPr>
        <w:t>It was suggested that guidelines be developed by a process of co-design. This would mean that clinicians from a range of relevant specialties would collaborate with intersex-led community organisations and others, or that widespread consultation would be conducted regardless of which entity prepared the guidelines.</w:t>
      </w:r>
      <w:r w:rsidRPr="0117CC5D">
        <w:rPr>
          <w:rStyle w:val="EndnoteReference"/>
          <w:rFonts w:cs="Open Sans"/>
        </w:rPr>
        <w:endnoteReference w:id="520"/>
      </w:r>
      <w:r w:rsidRPr="00CB01D9">
        <w:rPr>
          <w:rFonts w:cs="Open Sans"/>
          <w:sz w:val="20"/>
          <w:szCs w:val="20"/>
        </w:rPr>
        <w:t xml:space="preserve"> </w:t>
      </w:r>
      <w:r w:rsidRPr="00A45753">
        <w:rPr>
          <w:rFonts w:cs="Open Sans"/>
        </w:rPr>
        <w:t xml:space="preserve">Input would be required from people with lived experience, their parents/carers, peer-support groups, specialist clinicians and health practitioner and human rights </w:t>
      </w:r>
      <w:r>
        <w:rPr>
          <w:rFonts w:cs="Open Sans"/>
        </w:rPr>
        <w:t>organisations</w:t>
      </w:r>
      <w:r w:rsidRPr="00A45753">
        <w:rPr>
          <w:rFonts w:cs="Open Sans"/>
        </w:rPr>
        <w:t>.</w:t>
      </w:r>
      <w:r w:rsidRPr="0117CC5D">
        <w:rPr>
          <w:rStyle w:val="EndnoteReference"/>
          <w:rFonts w:cs="Open Sans"/>
        </w:rPr>
        <w:endnoteReference w:id="521"/>
      </w:r>
    </w:p>
    <w:p w:rsidRPr="00A45753" w:rsidR="00810FD7" w:rsidDel="00EB05F4" w:rsidP="00810FD7" w:rsidRDefault="00810FD7" w14:paraId="037E6DFE" w14:textId="77777777">
      <w:pPr>
        <w:pStyle w:val="Heading3"/>
        <w:rPr>
          <w:rFonts w:eastAsia="Open Sans"/>
        </w:rPr>
      </w:pPr>
      <w:bookmarkStart w:name="_Toc85541462" w:id="464"/>
      <w:r>
        <w:t>Developing</w:t>
      </w:r>
      <w:r w:rsidRPr="00A45753">
        <w:t xml:space="preserve"> the </w:t>
      </w:r>
      <w:r>
        <w:t>National Guidelines</w:t>
      </w:r>
      <w:bookmarkEnd w:id="464"/>
    </w:p>
    <w:p w:rsidR="006D3FC4" w:rsidP="00810FD7" w:rsidRDefault="00810FD7" w14:paraId="0564A41E" w14:textId="535ABF18">
      <w:pPr>
        <w:pStyle w:val="ListNumber"/>
        <w:numPr>
          <w:ilvl w:val="0"/>
          <w:numId w:val="0"/>
        </w:numPr>
        <w:rPr>
          <w:rFonts w:cs="Open Sans"/>
        </w:rPr>
      </w:pPr>
      <w:r>
        <w:rPr>
          <w:rFonts w:cs="Open Sans"/>
        </w:rPr>
        <w:t>T</w:t>
      </w:r>
      <w:r w:rsidRPr="00A45753">
        <w:rPr>
          <w:rFonts w:cs="Open Sans"/>
        </w:rPr>
        <w:t xml:space="preserve">he </w:t>
      </w:r>
      <w:r>
        <w:rPr>
          <w:rFonts w:cs="Open Sans"/>
        </w:rPr>
        <w:t>National Guidelines</w:t>
      </w:r>
      <w:r w:rsidRPr="00A45753">
        <w:rPr>
          <w:rFonts w:cs="Open Sans"/>
        </w:rPr>
        <w:t xml:space="preserve"> should be developed by a national multidisciplinary expert group</w:t>
      </w:r>
      <w:r>
        <w:rPr>
          <w:rFonts w:cs="Open Sans"/>
        </w:rPr>
        <w:t>. It is clear that the National Guidelines</w:t>
      </w:r>
      <w:r w:rsidRPr="00A45753">
        <w:rPr>
          <w:rFonts w:cs="Open Sans"/>
        </w:rPr>
        <w:t xml:space="preserve"> </w:t>
      </w:r>
      <w:r>
        <w:rPr>
          <w:rFonts w:cs="Open Sans"/>
        </w:rPr>
        <w:t xml:space="preserve">need </w:t>
      </w:r>
      <w:r w:rsidRPr="00A45753">
        <w:rPr>
          <w:rFonts w:cs="Open Sans"/>
        </w:rPr>
        <w:t xml:space="preserve">input from a range of </w:t>
      </w:r>
      <w:r w:rsidRPr="00A45753">
        <w:rPr>
          <w:rFonts w:cs="Open Sans"/>
        </w:rPr>
        <w:lastRenderedPageBreak/>
        <w:t>relevant specialties, along with intersex-led community organisations and human rights experts, through a process of co-design.</w:t>
      </w:r>
    </w:p>
    <w:p w:rsidRPr="00A45753" w:rsidR="006D3FC4" w:rsidP="006D3FC4" w:rsidRDefault="006D3FC4" w14:paraId="28EBD946" w14:textId="77777777">
      <w:pPr>
        <w:rPr>
          <w:rFonts w:cs="Open Sans"/>
        </w:rPr>
      </w:pPr>
      <w:r w:rsidRPr="00A45753">
        <w:rPr>
          <w:rFonts w:cs="Open Sans"/>
        </w:rPr>
        <w:t>It was suggested that guidelines be developed by a process of co-design. This would mean that clinicians from a range of relevant specialties would collaborate with intersex-led community organisations and others, or that widespread consultation would be conducted regardless of which entity prepared the guidelines.</w:t>
      </w:r>
      <w:r w:rsidRPr="00A45753">
        <w:rPr>
          <w:rStyle w:val="EndnoteReference"/>
          <w:rFonts w:cs="Open Sans"/>
        </w:rPr>
        <w:endnoteReference w:id="522"/>
      </w:r>
      <w:r w:rsidRPr="00A45753">
        <w:rPr>
          <w:rFonts w:cs="Open Sans"/>
        </w:rPr>
        <w:t xml:space="preserve"> Input would be required from people with lived experience, their parents/carers, peer-support groups, specialist clinicians and health practitioner and human rights </w:t>
      </w:r>
      <w:r>
        <w:rPr>
          <w:rFonts w:cs="Open Sans"/>
        </w:rPr>
        <w:t>organisations</w:t>
      </w:r>
      <w:r w:rsidRPr="00A45753">
        <w:rPr>
          <w:rFonts w:cs="Open Sans"/>
        </w:rPr>
        <w:t>.</w:t>
      </w:r>
      <w:r w:rsidRPr="00A45753">
        <w:rPr>
          <w:rStyle w:val="EndnoteReference"/>
          <w:rFonts w:cs="Open Sans"/>
        </w:rPr>
        <w:endnoteReference w:id="523"/>
      </w:r>
    </w:p>
    <w:p w:rsidR="00810FD7" w:rsidP="00810FD7" w:rsidRDefault="00810FD7" w14:paraId="6F798A33" w14:textId="65742DBB">
      <w:pPr>
        <w:pStyle w:val="ListNumber"/>
        <w:numPr>
          <w:ilvl w:val="0"/>
          <w:numId w:val="0"/>
        </w:numPr>
        <w:rPr>
          <w:rFonts w:cs="Open Sans"/>
        </w:rPr>
      </w:pPr>
      <w:r w:rsidRPr="00A45753">
        <w:rPr>
          <w:rFonts w:cs="Open Sans"/>
        </w:rPr>
        <w:t>The key areas of focus should include outlining human rights obligations and limiting the rationales for medical interventions to that of medical necessity</w:t>
      </w:r>
      <w:r>
        <w:rPr>
          <w:rFonts w:cs="Open Sans"/>
        </w:rPr>
        <w:t>,</w:t>
      </w:r>
      <w:r w:rsidRPr="00A45753">
        <w:rPr>
          <w:rFonts w:cs="Open Sans"/>
        </w:rPr>
        <w:t xml:space="preserve"> clarifying consent processes and the provision of information and outlining best practice clinical management, including through multidisciplinary care. </w:t>
      </w:r>
    </w:p>
    <w:p w:rsidRPr="00A45753" w:rsidR="006D3FC4" w:rsidP="00810FD7" w:rsidRDefault="006D3FC4" w14:paraId="350B4A44" w14:textId="77777777">
      <w:pPr>
        <w:pStyle w:val="ListNumber"/>
        <w:numPr>
          <w:ilvl w:val="0"/>
          <w:numId w:val="0"/>
        </w:numPr>
        <w:rPr>
          <w:rFonts w:cs="Open Sans"/>
        </w:rPr>
      </w:pPr>
    </w:p>
    <w:p w:rsidR="00810FD7" w:rsidP="00810FD7" w:rsidRDefault="00810FD7" w14:paraId="398C22E4" w14:textId="537FAE4C">
      <w:pPr>
        <w:pStyle w:val="ListNumber"/>
        <w:numPr>
          <w:ilvl w:val="0"/>
          <w:numId w:val="0"/>
        </w:numPr>
        <w:rPr>
          <w:rFonts w:cs="Open Sans"/>
        </w:rPr>
      </w:pPr>
      <w:r w:rsidRPr="00A45753">
        <w:rPr>
          <w:rFonts w:cs="Open Sans"/>
        </w:rPr>
        <w:t xml:space="preserve">The first two areas would require expertise in human rights, informed by input from </w:t>
      </w:r>
      <w:r w:rsidRPr="00A45753">
        <w:t xml:space="preserve">clinicians and people with lived experience. The last area would require clinical expertise, including in psychology and psychiatry. At the same time, this should be informed by lived experience and human rights expertise. </w:t>
      </w:r>
      <w:r w:rsidRPr="00A45753">
        <w:rPr>
          <w:rFonts w:cs="Open Sans"/>
        </w:rPr>
        <w:t>This mix of contributors should ensure that human rights concerns are addressed, and community and clinical expectations are met.</w:t>
      </w:r>
    </w:p>
    <w:p w:rsidRPr="00A45753" w:rsidR="006D3FC4" w:rsidP="00810FD7" w:rsidRDefault="006D3FC4" w14:paraId="0C9E6326" w14:textId="77777777">
      <w:pPr>
        <w:pStyle w:val="ListNumber"/>
        <w:numPr>
          <w:ilvl w:val="0"/>
          <w:numId w:val="0"/>
        </w:numPr>
        <w:rPr>
          <w:rFonts w:cs="Open Sans"/>
        </w:rPr>
      </w:pPr>
    </w:p>
    <w:p w:rsidRPr="00A45753" w:rsidR="00810FD7" w:rsidP="00810FD7" w:rsidRDefault="00810FD7" w14:paraId="50235467" w14:textId="77777777">
      <w:pPr>
        <w:pStyle w:val="ListNumber"/>
        <w:numPr>
          <w:ilvl w:val="0"/>
          <w:numId w:val="0"/>
        </w:numPr>
        <w:rPr>
          <w:rFonts w:cs="Open Sans"/>
        </w:rPr>
      </w:pPr>
      <w:r w:rsidRPr="00A45753">
        <w:rPr>
          <w:rFonts w:cs="Open Sans"/>
        </w:rPr>
        <w:t xml:space="preserve">The NHMRC would be a suitable Australian Government entity to facilitate the development of the </w:t>
      </w:r>
      <w:r>
        <w:rPr>
          <w:rFonts w:cs="Open Sans"/>
        </w:rPr>
        <w:t>National Guidelines</w:t>
      </w:r>
      <w:r w:rsidRPr="00A45753">
        <w:rPr>
          <w:rFonts w:cs="Open Sans"/>
        </w:rPr>
        <w:t xml:space="preserve">. The NHMRC itself develops guidelines related to health, and supports others to do so, including by helping guideline developers produce high quality guidelines that meet the NHMRC’s </w:t>
      </w:r>
      <w:r w:rsidRPr="00A45753">
        <w:rPr>
          <w:rFonts w:cs="Open Sans"/>
          <w:i/>
          <w:iCs/>
        </w:rPr>
        <w:t>Standards for Guidelines</w:t>
      </w:r>
      <w:r w:rsidRPr="00A45753">
        <w:rPr>
          <w:rFonts w:cs="Open Sans"/>
        </w:rPr>
        <w:t>.</w:t>
      </w:r>
      <w:r w:rsidRPr="0117CC5D">
        <w:rPr>
          <w:rStyle w:val="EndnoteReference"/>
          <w:rFonts w:cs="Open Sans"/>
        </w:rPr>
        <w:endnoteReference w:id="524"/>
      </w:r>
      <w:r w:rsidRPr="00A45753">
        <w:rPr>
          <w:rFonts w:cs="Open Sans"/>
        </w:rPr>
        <w:t xml:space="preserve"> Importantly, the NHMRC requires the development of guidelines to involve consumers as members of the guideline development group and throughout the process.</w:t>
      </w:r>
      <w:r w:rsidRPr="0117CC5D">
        <w:rPr>
          <w:rStyle w:val="EndnoteReference"/>
          <w:rFonts w:cs="Open Sans"/>
        </w:rPr>
        <w:endnoteReference w:id="525"/>
      </w:r>
      <w:r w:rsidRPr="00A45753">
        <w:rPr>
          <w:rFonts w:cs="Open Sans"/>
        </w:rPr>
        <w:t xml:space="preserve"> </w:t>
      </w:r>
    </w:p>
    <w:p w:rsidRPr="00A45753" w:rsidR="00810FD7" w:rsidP="00810FD7" w:rsidRDefault="00810FD7" w14:paraId="7669C982" w14:textId="77777777">
      <w:r w:rsidRPr="00A45753">
        <w:t xml:space="preserve">In final form, the </w:t>
      </w:r>
      <w:r>
        <w:t>National Guidelines</w:t>
      </w:r>
      <w:r w:rsidRPr="00A45753">
        <w:t xml:space="preserve"> could be approved by the NHMRC under the </w:t>
      </w:r>
      <w:r w:rsidRPr="53E6E5F8">
        <w:rPr>
          <w:i/>
          <w:iCs/>
        </w:rPr>
        <w:t>National Health and Medical Research Council Act 1992</w:t>
      </w:r>
      <w:r w:rsidRPr="00A45753">
        <w:t xml:space="preserve"> (Cth), indicating that the guidelines are of high quality, based on the best available scientific evidence, and have been developed to rigorous standards.</w:t>
      </w:r>
      <w:r w:rsidRPr="0117CC5D">
        <w:rPr>
          <w:rStyle w:val="EndnoteReference"/>
        </w:rPr>
        <w:endnoteReference w:id="526"/>
      </w:r>
    </w:p>
    <w:p w:rsidRPr="00A45753" w:rsidR="00810FD7" w:rsidP="00810FD7" w:rsidRDefault="00810FD7" w14:paraId="5364751D" w14:textId="77777777">
      <w:pPr>
        <w:pStyle w:val="ListNumber"/>
        <w:numPr>
          <w:ilvl w:val="0"/>
          <w:numId w:val="0"/>
        </w:numPr>
        <w:rPr>
          <w:rFonts w:cs="Open Sans"/>
        </w:rPr>
      </w:pPr>
      <w:r w:rsidRPr="00A45753">
        <w:rPr>
          <w:rFonts w:cs="Open Sans"/>
        </w:rPr>
        <w:t xml:space="preserve">Adequate public funding should be made available to support the development of the </w:t>
      </w:r>
      <w:r>
        <w:rPr>
          <w:rFonts w:cs="Open Sans"/>
        </w:rPr>
        <w:t>National Guidelines</w:t>
      </w:r>
      <w:r w:rsidRPr="00A45753">
        <w:rPr>
          <w:rFonts w:cs="Open Sans"/>
        </w:rPr>
        <w:t xml:space="preserve"> by the national multidisciplinary </w:t>
      </w:r>
      <w:r>
        <w:rPr>
          <w:rFonts w:cs="Open Sans"/>
        </w:rPr>
        <w:t xml:space="preserve">expert </w:t>
      </w:r>
      <w:r w:rsidRPr="00A45753">
        <w:rPr>
          <w:rFonts w:cs="Open Sans"/>
        </w:rPr>
        <w:t xml:space="preserve">group, and the </w:t>
      </w:r>
      <w:r w:rsidRPr="00A45753">
        <w:rPr>
          <w:rFonts w:cs="Open Sans"/>
        </w:rPr>
        <w:lastRenderedPageBreak/>
        <w:t>role of the NHMRC, including dedicated funding for drafting and community participation.</w:t>
      </w:r>
    </w:p>
    <w:p w:rsidRPr="00A45753" w:rsidR="00810FD7" w:rsidP="00810FD7" w:rsidRDefault="00810FD7" w14:paraId="4FEDC129" w14:textId="77777777">
      <w:pPr>
        <w:pStyle w:val="Heading3"/>
      </w:pPr>
      <w:bookmarkStart w:name="_Toc85541463" w:id="465"/>
      <w:r w:rsidRPr="00A45753">
        <w:t xml:space="preserve">Review of the </w:t>
      </w:r>
      <w:r>
        <w:t>National Guidelines</w:t>
      </w:r>
      <w:bookmarkEnd w:id="465"/>
      <w:r w:rsidRPr="00A45753">
        <w:t xml:space="preserve"> </w:t>
      </w:r>
    </w:p>
    <w:p w:rsidRPr="00A45753" w:rsidR="00810FD7" w:rsidP="00810FD7" w:rsidRDefault="00810FD7" w14:paraId="6F1823C0" w14:textId="77777777">
      <w:pPr>
        <w:rPr>
          <w:rFonts w:cs="Open Sans"/>
        </w:rPr>
      </w:pPr>
      <w:r w:rsidRPr="00A45753">
        <w:rPr>
          <w:rFonts w:cs="Open Sans"/>
        </w:rPr>
        <w:t>Stakeholders agreed that any new guidelines should be regularly reviewed, to ensure they remain up to date with emerging research, are fit for purpose, and continue to receive ongoing community support.</w:t>
      </w:r>
      <w:r w:rsidRPr="0117CC5D">
        <w:rPr>
          <w:rStyle w:val="EndnoteReference"/>
          <w:rFonts w:cs="Open Sans"/>
        </w:rPr>
        <w:endnoteReference w:id="527"/>
      </w:r>
    </w:p>
    <w:p w:rsidRPr="00A45753" w:rsidR="00810FD7" w:rsidP="00810FD7" w:rsidRDefault="00810FD7" w14:paraId="0C205F22" w14:textId="77777777">
      <w:r w:rsidRPr="00A45753">
        <w:t xml:space="preserve">Stakeholders confirmed that medical knowledge about variations in sex characteristics continues to evolve and will continue to do so with better data collection, research, and experience. In particular, understanding of the risks to health associated with some variations is likely to continue to improve, allowing better informed decisions about whether specific interventions meet the standard of medical necessity. </w:t>
      </w:r>
    </w:p>
    <w:p w:rsidRPr="00A45753" w:rsidR="00810FD7" w:rsidP="00810FD7" w:rsidRDefault="00810FD7" w14:paraId="50EE61DC" w14:textId="77777777">
      <w:r w:rsidRPr="00A45753">
        <w:t xml:space="preserve">It is therefore essential that the </w:t>
      </w:r>
      <w:r>
        <w:t>National Guidelines</w:t>
      </w:r>
      <w:r w:rsidRPr="00A45753">
        <w:t xml:space="preserve"> are subject to regular review, to ensure that the best standard of human rights-compliant care is provided to all people born with variations </w:t>
      </w:r>
      <w:r>
        <w:t>in</w:t>
      </w:r>
      <w:r w:rsidRPr="00A45753">
        <w:t xml:space="preserve"> sex characteristics. This will require that the standards be developed by a standing entity, and that adequate ongoing funding is available to support its work. </w:t>
      </w:r>
    </w:p>
    <w:p w:rsidRPr="00610137" w:rsidR="00740A25" w:rsidP="00257949" w:rsidRDefault="00740A25" w14:paraId="75BC03C4" w14:textId="77777777">
      <w:pPr>
        <w:pStyle w:val="AHRCHeading1"/>
      </w:pPr>
      <w:bookmarkStart w:name="_Toc62823621" w:id="466"/>
      <w:bookmarkStart w:name="_Toc85541464" w:id="467"/>
      <w:r w:rsidRPr="00610137">
        <w:t xml:space="preserve">Oversight of </w:t>
      </w:r>
      <w:bookmarkEnd w:id="466"/>
      <w:r w:rsidRPr="00610137">
        <w:t>medical interventions</w:t>
      </w:r>
      <w:bookmarkEnd w:id="467"/>
    </w:p>
    <w:p w:rsidRPr="00610137" w:rsidR="00740A25" w:rsidP="00740A25" w:rsidRDefault="00740A25" w14:paraId="48E977E7" w14:textId="77777777">
      <w:r>
        <w:t>This chapter discusses how the human rights framework for decision making about medical interventions for people born with variations in sex characteristics, discussed in previous chapters, should be incorporated in Australian domestic law and policy, and what independent oversight mechanisms should be established.</w:t>
      </w:r>
    </w:p>
    <w:p w:rsidRPr="00610137" w:rsidR="00740A25" w:rsidP="00740A25" w:rsidRDefault="00740A25" w14:paraId="3FA9C2F1" w14:textId="39B57487">
      <w:r w:rsidRPr="00610137">
        <w:t xml:space="preserve">Oversight, in this context, refers to mechanisms by which </w:t>
      </w:r>
      <w:r>
        <w:t xml:space="preserve">an independent </w:t>
      </w:r>
      <w:r w:rsidRPr="00610137">
        <w:t>decision maker</w:t>
      </w:r>
      <w:r>
        <w:t xml:space="preserve"> </w:t>
      </w:r>
      <w:r w:rsidRPr="00610137">
        <w:t xml:space="preserve">determines whether a medical intervention should be carried out without an individual’s personal consent. The Commission recommends reform of oversight mechanisms </w:t>
      </w:r>
      <w:r>
        <w:t>by</w:t>
      </w:r>
    </w:p>
    <w:p w:rsidR="00740A25" w:rsidP="002F7D27" w:rsidRDefault="00740A25" w14:paraId="6EA87236" w14:textId="77777777">
      <w:pPr>
        <w:pStyle w:val="ListParagraph"/>
        <w:numPr>
          <w:ilvl w:val="0"/>
          <w:numId w:val="63"/>
        </w:numPr>
      </w:pPr>
      <w:r>
        <w:lastRenderedPageBreak/>
        <w:t>establishing Independent Panels with responsibility to decide whether to authorise medical interventions in respect of people born with variations in sex characteristics (Recommendation 7)</w:t>
      </w:r>
    </w:p>
    <w:p w:rsidR="00740A25" w:rsidP="002F7D27" w:rsidRDefault="00740A25" w14:paraId="4F327994" w14:textId="77777777">
      <w:pPr>
        <w:pStyle w:val="ListParagraph"/>
        <w:numPr>
          <w:ilvl w:val="0"/>
          <w:numId w:val="63"/>
        </w:numPr>
      </w:pPr>
      <w:r>
        <w:t xml:space="preserve">defining the circumstances in which </w:t>
      </w:r>
      <w:r w:rsidRPr="00821046">
        <w:t>interventions for people under the age of 18 years without personal consent may be authorised,</w:t>
      </w:r>
      <w:r>
        <w:t xml:space="preserve"> which should be limited to circumstances of medical necessity (Recommendation 7)</w:t>
      </w:r>
    </w:p>
    <w:p w:rsidR="00740A25" w:rsidP="002F7D27" w:rsidRDefault="00740A25" w14:paraId="5E6EF543" w14:textId="77777777">
      <w:pPr>
        <w:pStyle w:val="ListParagraph"/>
        <w:numPr>
          <w:ilvl w:val="0"/>
          <w:numId w:val="63"/>
        </w:numPr>
      </w:pPr>
      <w:r>
        <w:t>recognising that in emergency situations there should be an expedited authorisation process or, where this still does not provide time to deal with the emergency, a requirement for subsequent notification of the Independent Panel (Recommendation 8).</w:t>
      </w:r>
    </w:p>
    <w:p w:rsidR="005D4641" w:rsidP="003A4CED" w:rsidRDefault="005D4641" w14:paraId="14238A4F" w14:textId="73FBA083">
      <w:r>
        <w:t>Court processes alone are not well suited to provide effective oversight of medical interventions modifying sex characteristics. This conclusion is based on the Commission’s review of Family Court decision making in this area and informed by the experience of stakeholders</w:t>
      </w:r>
      <w:r w:rsidR="003A4CED">
        <w:t>.</w:t>
      </w:r>
    </w:p>
    <w:p w:rsidRPr="00610137" w:rsidR="00740A25" w:rsidP="00257949" w:rsidRDefault="00740A25" w14:paraId="61C3E4A7" w14:textId="02C0E0CC">
      <w:pPr>
        <w:pStyle w:val="AHRCHeading2"/>
      </w:pPr>
      <w:bookmarkStart w:name="_Toc85541465" w:id="468"/>
      <w:r w:rsidRPr="00610137">
        <w:t xml:space="preserve">Current oversight </w:t>
      </w:r>
      <w:r w:rsidR="00AD74E1">
        <w:t>mechanisms</w:t>
      </w:r>
      <w:bookmarkEnd w:id="468"/>
    </w:p>
    <w:p w:rsidRPr="00610137" w:rsidR="00C652BF" w:rsidP="00740A25" w:rsidRDefault="00804F3C" w14:paraId="4CB8D4E0" w14:textId="580BE267">
      <w:r>
        <w:t>C</w:t>
      </w:r>
      <w:r w:rsidR="00C652BF">
        <w:t xml:space="preserve">hildren </w:t>
      </w:r>
      <w:r>
        <w:t xml:space="preserve">born with variations in sex characteristics </w:t>
      </w:r>
      <w:r w:rsidR="00C652BF">
        <w:t xml:space="preserve">can be engaged in the family law system when family and medical professionals seek authorisation from the court for surgical interventions to physically </w:t>
      </w:r>
      <w:r w:rsidR="00262961">
        <w:t>modify</w:t>
      </w:r>
      <w:r w:rsidR="00C652BF">
        <w:t xml:space="preserve"> their bodies. The Family Court currently has a role of oversight of these procedures through its</w:t>
      </w:r>
      <w:r w:rsidR="00D25173">
        <w:t xml:space="preserve"> </w:t>
      </w:r>
      <w:r w:rsidRPr="007F4266" w:rsidR="00D25173">
        <w:rPr>
          <w:i/>
          <w:iCs/>
        </w:rPr>
        <w:t>parens patriae</w:t>
      </w:r>
      <w:r w:rsidR="008D78FC">
        <w:t xml:space="preserve"> or</w:t>
      </w:r>
      <w:r w:rsidR="00C652BF">
        <w:t xml:space="preserve"> welfare jurisdiction.</w:t>
      </w:r>
    </w:p>
    <w:p w:rsidRPr="00610137" w:rsidR="00740A25" w:rsidP="00740A25" w:rsidRDefault="00740A25" w14:paraId="183B8EC2" w14:textId="77777777">
      <w:r w:rsidRPr="00610137">
        <w:t xml:space="preserve">As discussed in </w:t>
      </w:r>
      <w:r w:rsidRPr="005B7B34">
        <w:t>Chapter 4,</w:t>
      </w:r>
      <w:r w:rsidRPr="00610137">
        <w:t xml:space="preserve"> </w:t>
      </w:r>
      <w:r w:rsidRPr="00610137" w:rsidDel="00FA0BC4">
        <w:t xml:space="preserve">under Australian law, there are certain kinds of medical interventions </w:t>
      </w:r>
      <w:r w:rsidRPr="00610137">
        <w:t xml:space="preserve">in relation to </w:t>
      </w:r>
      <w:r w:rsidRPr="00610137" w:rsidDel="00FA0BC4">
        <w:t>which parents</w:t>
      </w:r>
      <w:r w:rsidRPr="00610137">
        <w:t xml:space="preserve"> or guardians</w:t>
      </w:r>
      <w:r w:rsidRPr="00610137" w:rsidDel="00FA0BC4">
        <w:t xml:space="preserve"> cannot provide consent </w:t>
      </w:r>
      <w:r w:rsidRPr="00C0388C" w:rsidDel="00FA0BC4">
        <w:t>on behalf of children</w:t>
      </w:r>
      <w:r w:rsidRPr="00610137" w:rsidDel="00FA0BC4">
        <w:t xml:space="preserve">. In the case of these ‘special medical procedures’, interventions can only proceed </w:t>
      </w:r>
      <w:r>
        <w:t>if</w:t>
      </w:r>
      <w:r w:rsidRPr="00610137" w:rsidDel="00FA0BC4">
        <w:t xml:space="preserve"> they have been authorised by a court.</w:t>
      </w:r>
      <w:r w:rsidRPr="00610137">
        <w:t xml:space="preserve"> </w:t>
      </w:r>
    </w:p>
    <w:p w:rsidRPr="00610137" w:rsidR="00BF655A" w:rsidP="00BF655A" w:rsidRDefault="00BF655A" w14:paraId="442741E1" w14:textId="77777777">
      <w:r w:rsidRPr="00610137">
        <w:t xml:space="preserve">The legal criteria limiting the scope of parental or guardian authority to provide consent for what are known as ‘special medical procedures’ are derived from </w:t>
      </w:r>
      <w:r w:rsidRPr="00610137">
        <w:rPr>
          <w:i/>
          <w:iCs/>
        </w:rPr>
        <w:t>Marion’s case</w:t>
      </w:r>
      <w:r w:rsidRPr="00610137">
        <w:t>.</w:t>
      </w:r>
      <w:r w:rsidRPr="0117CC5D">
        <w:rPr>
          <w:rStyle w:val="EndnoteReference"/>
        </w:rPr>
        <w:endnoteReference w:id="528"/>
      </w:r>
      <w:r w:rsidRPr="00610137">
        <w:t xml:space="preserve"> </w:t>
      </w:r>
    </w:p>
    <w:p w:rsidR="00BF655A" w:rsidP="00BF655A" w:rsidRDefault="00BF655A" w14:paraId="31171EB2" w14:textId="7EC835E6">
      <w:r>
        <w:t xml:space="preserve">In </w:t>
      </w:r>
      <w:r w:rsidRPr="00952743">
        <w:rPr>
          <w:i/>
          <w:iCs/>
        </w:rPr>
        <w:t>Marion’s case</w:t>
      </w:r>
      <w:r>
        <w:t>, the majority of the High Court pointed tentatively to whether or not a procedure was ‘therapeutic’ when determining whether it was the kind of procedure that required court authorisation.</w:t>
      </w:r>
      <w:r w:rsidR="00E374EF">
        <w:rPr>
          <w:rStyle w:val="EndnoteReference"/>
        </w:rPr>
        <w:endnoteReference w:id="529"/>
      </w:r>
      <w:r>
        <w:t xml:space="preserve"> Justice Brennan considered the </w:t>
      </w:r>
      <w:r>
        <w:lastRenderedPageBreak/>
        <w:t xml:space="preserve">concept of a ‘therapeutic’ treatment in more detail and said that it involved a treatment that not only was administered for a therapeutic </w:t>
      </w:r>
      <w:r w:rsidRPr="00952743">
        <w:rPr>
          <w:i/>
          <w:iCs/>
        </w:rPr>
        <w:t>purpose</w:t>
      </w:r>
      <w:r>
        <w:t>, but was ‘appropriate for and proportionate to the purpose for which it is administered’.</w:t>
      </w:r>
      <w:r w:rsidR="00E565C8">
        <w:rPr>
          <w:rStyle w:val="EndnoteReference"/>
        </w:rPr>
        <w:endnoteReference w:id="530"/>
      </w:r>
      <w:r>
        <w:t xml:space="preserve"> Justice Brennan’s discussion involved a proportionality assessment.</w:t>
      </w:r>
      <w:r w:rsidR="00330183">
        <w:rPr>
          <w:rStyle w:val="EndnoteReference"/>
        </w:rPr>
        <w:endnoteReference w:id="531"/>
      </w:r>
    </w:p>
    <w:p w:rsidRPr="00610137" w:rsidR="00740A25" w:rsidP="00740A25" w:rsidRDefault="00E06A86" w14:paraId="3FE07414" w14:textId="421D328C">
      <w:r>
        <w:t xml:space="preserve">In </w:t>
      </w:r>
      <w:r>
        <w:rPr>
          <w:i/>
          <w:iCs/>
        </w:rPr>
        <w:t xml:space="preserve">Marion’s case, </w:t>
      </w:r>
      <w:r w:rsidR="00E54C7E">
        <w:t>among</w:t>
      </w:r>
      <w:r w:rsidR="00740A25">
        <w:t xml:space="preserve"> other things, such special medical procedures were</w:t>
      </w:r>
      <w:r w:rsidR="00B10B73">
        <w:t xml:space="preserve"> also</w:t>
      </w:r>
      <w:r w:rsidR="00740A25">
        <w:t xml:space="preserve"> characterised</w:t>
      </w:r>
      <w:r w:rsidR="00B10B73">
        <w:t xml:space="preserve"> also</w:t>
      </w:r>
      <w:r w:rsidR="00740A25">
        <w:t xml:space="preserve"> as being invasive and irreversible, carrying a significant risk of making the wrong decision about either the child’s present or future capacity to consent or what was in the child’s best interests, and giving rise to particularly grave consequences if a wrong decision were made.</w:t>
      </w:r>
      <w:r w:rsidRPr="0117CC5D" w:rsidR="00740A25">
        <w:rPr>
          <w:rStyle w:val="EndnoteReference"/>
          <w:rFonts w:cs="Open Sans"/>
        </w:rPr>
        <w:endnoteReference w:id="532"/>
      </w:r>
      <w:r w:rsidRPr="00610137" w:rsidR="00740A25">
        <w:t xml:space="preserve"> </w:t>
      </w:r>
      <w:r w:rsidR="00740A25">
        <w:t xml:space="preserve">While </w:t>
      </w:r>
      <w:r w:rsidRPr="792F2983" w:rsidR="00740A25">
        <w:rPr>
          <w:i/>
          <w:iCs/>
        </w:rPr>
        <w:t>Marion’s case</w:t>
      </w:r>
      <w:r w:rsidR="00740A25">
        <w:t xml:space="preserve"> dealt specifically with the case of sterilisation of a girl with an intellectual disability, subsequent cases have recognised other procedures as also being ‘special medical procedures’ that require court authorisation. </w:t>
      </w:r>
      <w:r w:rsidRPr="00610137" w:rsidR="00740A25">
        <w:t>Certain other categories of procedure are specifically defined in state and territory legislation as also requiring court or tribunal authorisation, including sterilisation</w:t>
      </w:r>
      <w:r w:rsidRPr="0117CC5D" w:rsidR="00740A25">
        <w:rPr>
          <w:rStyle w:val="EndnoteReference"/>
        </w:rPr>
        <w:endnoteReference w:id="533"/>
      </w:r>
      <w:r w:rsidRPr="00610137" w:rsidR="00740A25">
        <w:t xml:space="preserve"> and novel treatments.</w:t>
      </w:r>
      <w:r w:rsidRPr="0117CC5D" w:rsidR="00740A25">
        <w:rPr>
          <w:rStyle w:val="EndnoteReference"/>
        </w:rPr>
        <w:endnoteReference w:id="534"/>
      </w:r>
    </w:p>
    <w:p w:rsidRPr="00610137" w:rsidR="00740A25" w:rsidP="00740A25" w:rsidRDefault="00740A25" w14:paraId="20D207AC" w14:textId="77777777">
      <w:r w:rsidRPr="00610137">
        <w:t>There have only been a small number of cases where the Family Court of Australia (Family Court) has been asked to authorise medical interventions for people born with variations in sex characteristics</w:t>
      </w:r>
      <w:r>
        <w:t>, on the basis that they amounted to special medical procedures</w:t>
      </w:r>
      <w:r w:rsidRPr="00610137">
        <w:t xml:space="preserve">. </w:t>
      </w:r>
      <w:r>
        <w:t>As discussed below by reference to t</w:t>
      </w:r>
      <w:r w:rsidRPr="00610137">
        <w:t>hese cases</w:t>
      </w:r>
      <w:r>
        <w:t>, t</w:t>
      </w:r>
      <w:r w:rsidRPr="00610137">
        <w:t xml:space="preserve">he law under which the Family Court and other courts operate </w:t>
      </w:r>
      <w:r>
        <w:t xml:space="preserve">is </w:t>
      </w:r>
      <w:r w:rsidRPr="00610137">
        <w:t xml:space="preserve">not designed to ensure that such medical interventions are carried out only where medically necessary, or that the best evidence is available to the court. </w:t>
      </w:r>
    </w:p>
    <w:p w:rsidRPr="00610137" w:rsidR="00740A25" w:rsidP="00740A25" w:rsidRDefault="00740A25" w14:paraId="347D143F" w14:textId="77777777">
      <w:r w:rsidRPr="00610137">
        <w:t>Th</w:t>
      </w:r>
      <w:r>
        <w:t>is</w:t>
      </w:r>
      <w:r w:rsidRPr="00610137">
        <w:t xml:space="preserve"> chapter </w:t>
      </w:r>
      <w:r>
        <w:t>recommends instead a</w:t>
      </w:r>
      <w:r w:rsidRPr="00610137">
        <w:t xml:space="preserve"> role for </w:t>
      </w:r>
      <w:r>
        <w:t>one or more Independent Panels</w:t>
      </w:r>
      <w:r w:rsidRPr="00610137">
        <w:t xml:space="preserve">, informed by </w:t>
      </w:r>
      <w:r>
        <w:t xml:space="preserve">the </w:t>
      </w:r>
      <w:r w:rsidRPr="00504D18">
        <w:rPr>
          <w:i/>
          <w:iCs/>
        </w:rPr>
        <w:t>National Guidelines on medical interventions for people born with variations in sex characteristics</w:t>
      </w:r>
      <w:r w:rsidRPr="00EC3E0B">
        <w:t xml:space="preserve"> </w:t>
      </w:r>
      <w:r>
        <w:t>(National Guidelines), in providing oversight of decisions about medical interventions in relation to people under the age of 18 years.</w:t>
      </w:r>
      <w:r w:rsidRPr="00610137">
        <w:t xml:space="preserve"> </w:t>
      </w:r>
    </w:p>
    <w:p w:rsidRPr="00610137" w:rsidR="00740A25" w:rsidP="002F7D27" w:rsidRDefault="00740A25" w14:paraId="3D7E88A8" w14:textId="77777777">
      <w:pPr>
        <w:pStyle w:val="Heading3"/>
        <w:numPr>
          <w:ilvl w:val="2"/>
          <w:numId w:val="59"/>
        </w:numPr>
        <w:tabs>
          <w:tab w:val="clear" w:pos="8222"/>
          <w:tab w:val="num" w:pos="851"/>
        </w:tabs>
        <w:ind w:left="851"/>
      </w:pPr>
      <w:bookmarkStart w:name="_Toc85541466" w:id="469"/>
      <w:r w:rsidRPr="00610137">
        <w:t>Review of Family Court cases</w:t>
      </w:r>
      <w:bookmarkEnd w:id="469"/>
      <w:r w:rsidRPr="00610137">
        <w:t xml:space="preserve"> </w:t>
      </w:r>
    </w:p>
    <w:p w:rsidRPr="00610137" w:rsidR="00740A25" w:rsidP="009F0598" w:rsidRDefault="00740A25" w14:paraId="3A4D71B8" w14:textId="7469FD97">
      <w:r w:rsidRPr="00610137">
        <w:t xml:space="preserve">The case most often used to illustrate the Family Court’s approach </w:t>
      </w:r>
      <w:r>
        <w:t>in this area</w:t>
      </w:r>
      <w:r w:rsidRPr="00610137">
        <w:t xml:space="preserve"> is </w:t>
      </w:r>
      <w:r w:rsidRPr="792F2983">
        <w:rPr>
          <w:i/>
          <w:iCs/>
        </w:rPr>
        <w:t>Re Carla (Medical Procedure)</w:t>
      </w:r>
      <w:r w:rsidRPr="00610137">
        <w:t>.</w:t>
      </w:r>
      <w:r w:rsidRPr="0117CC5D">
        <w:rPr>
          <w:rStyle w:val="EndnoteReference"/>
        </w:rPr>
        <w:endnoteReference w:id="535"/>
      </w:r>
      <w:r w:rsidRPr="00610137">
        <w:t xml:space="preserve"> Seven other cases have been identified where the </w:t>
      </w:r>
      <w:r w:rsidRPr="00610137">
        <w:lastRenderedPageBreak/>
        <w:t xml:space="preserve">Family Court has been asked to authorise medical interventions for children born with variations in sex characteristics. In all but one of these cases, the children were not </w:t>
      </w:r>
      <w:r w:rsidRPr="792F2983">
        <w:rPr>
          <w:i/>
          <w:iCs/>
        </w:rPr>
        <w:t>Gillick</w:t>
      </w:r>
      <w:r w:rsidRPr="00610137">
        <w:t xml:space="preserve"> competent</w:t>
      </w:r>
      <w:r w:rsidRPr="0117CC5D">
        <w:rPr>
          <w:rStyle w:val="EndnoteReference"/>
        </w:rPr>
        <w:endnoteReference w:id="536"/>
      </w:r>
      <w:r w:rsidRPr="00610137">
        <w:t xml:space="preserve"> to consent to treatment on their own behalf. These cases </w:t>
      </w:r>
      <w:r>
        <w:t xml:space="preserve">are discussed </w:t>
      </w:r>
      <w:r w:rsidRPr="00610137">
        <w:t xml:space="preserve">below. </w:t>
      </w:r>
    </w:p>
    <w:p w:rsidRPr="00610137" w:rsidR="00740A25" w:rsidP="00740A25" w:rsidRDefault="00740A25" w14:paraId="394FF4CF" w14:textId="77777777">
      <w:r>
        <w:t xml:space="preserve">The cases invoke the limits on parental authority to approve of interventions in relation to their children, the scope of the agency of the child to express their own views, and ideas of ‘best interests’, and the role of the court in the </w:t>
      </w:r>
      <w:r>
        <w:rPr>
          <w:i/>
          <w:iCs/>
        </w:rPr>
        <w:t xml:space="preserve">parens patriae </w:t>
      </w:r>
      <w:r>
        <w:t>jurisdiction.</w:t>
      </w:r>
    </w:p>
    <w:p w:rsidRPr="00610137" w:rsidR="00740A25" w:rsidP="002F7D27" w:rsidRDefault="00740A25" w14:paraId="4B6F85A9" w14:textId="77777777">
      <w:pPr>
        <w:pStyle w:val="Heading4"/>
        <w:numPr>
          <w:ilvl w:val="3"/>
          <w:numId w:val="59"/>
        </w:numPr>
        <w:tabs>
          <w:tab w:val="clear" w:pos="2269"/>
          <w:tab w:val="num" w:pos="851"/>
        </w:tabs>
        <w:ind w:left="851"/>
      </w:pPr>
      <w:r w:rsidRPr="00610137">
        <w:t>Re Carla (Medical Procedure)</w:t>
      </w:r>
    </w:p>
    <w:p w:rsidRPr="00610137" w:rsidR="00740A25" w:rsidP="00740A25" w:rsidRDefault="00740A25" w14:paraId="106783C8" w14:textId="77777777">
      <w:r w:rsidRPr="00610137">
        <w:t>Carla was born with 17 beta hydroxysteroid dehydrogenase 3 deficiency (</w:t>
      </w:r>
      <w:r w:rsidRPr="00610137">
        <w:rPr>
          <w:rFonts w:cs="Open Sans"/>
        </w:rPr>
        <w:t>17ß-HSD3)</w:t>
      </w:r>
      <w:r w:rsidRPr="00610137">
        <w:t>, a genetic variation in sex characteristics. As a result, at birth Carla had XY chromosomes but was, in the words of the Court, ‘markedly under-virilised for a genetic male’. That is, Carla had XY chromosomes but had external sex characteristics that resembled those</w:t>
      </w:r>
      <w:r>
        <w:t xml:space="preserve"> </w:t>
      </w:r>
      <w:r w:rsidRPr="00610137">
        <w:t>associated with girls. Carla had male gonads, but these were located internally in the intra-abdominal cavity. Carla was raised as a girl, ‘with the understanding that her gender identity would be assessed when it was developmentally appropriate to do so’.</w:t>
      </w:r>
      <w:r w:rsidRPr="0117CC5D">
        <w:rPr>
          <w:rStyle w:val="EndnoteReference"/>
        </w:rPr>
        <w:endnoteReference w:id="537"/>
      </w:r>
    </w:p>
    <w:p w:rsidRPr="00610137" w:rsidR="00740A25" w:rsidP="00740A25" w:rsidRDefault="00740A25" w14:paraId="6E374BE5" w14:textId="77777777">
      <w:r w:rsidRPr="00610137">
        <w:t>When she</w:t>
      </w:r>
      <w:r w:rsidRPr="0117CC5D">
        <w:rPr>
          <w:rStyle w:val="EndnoteReference"/>
        </w:rPr>
        <w:endnoteReference w:id="538"/>
      </w:r>
      <w:r w:rsidRPr="00610137">
        <w:t xml:space="preserve"> was five, Carla’s parents applied to the Family Court, asking it to authorise a gonadectomy, as well as ‘such further or other necessary and consequential procedures to give effect to her treatment, as may be recommended by Carla’s treating medical practitioners’.</w:t>
      </w:r>
      <w:r w:rsidRPr="0117CC5D">
        <w:rPr>
          <w:rStyle w:val="EndnoteReference"/>
        </w:rPr>
        <w:endnoteReference w:id="539"/>
      </w:r>
      <w:r w:rsidRPr="00610137">
        <w:t xml:space="preserve"> The Director-General of the</w:t>
      </w:r>
      <w:r>
        <w:t xml:space="preserve"> ‘R</w:t>
      </w:r>
      <w:r w:rsidRPr="00610137">
        <w:t>elevant Government Department</w:t>
      </w:r>
      <w:r>
        <w:t>’</w:t>
      </w:r>
      <w:r w:rsidRPr="00610137">
        <w:t xml:space="preserve"> appeared as </w:t>
      </w:r>
      <w:r w:rsidRPr="792F2983">
        <w:rPr>
          <w:i/>
          <w:iCs/>
        </w:rPr>
        <w:t>amicus curiae</w:t>
      </w:r>
      <w:r w:rsidRPr="00610137">
        <w:t>.</w:t>
      </w:r>
      <w:r w:rsidRPr="0117CC5D">
        <w:rPr>
          <w:rStyle w:val="EndnoteReference"/>
        </w:rPr>
        <w:endnoteReference w:id="540"/>
      </w:r>
      <w:r w:rsidRPr="00610137">
        <w:t xml:space="preserve"> Carla</w:t>
      </w:r>
      <w:r>
        <w:t>’s parents were the applicants and were</w:t>
      </w:r>
      <w:r w:rsidRPr="00610137">
        <w:t xml:space="preserve"> represented, </w:t>
      </w:r>
      <w:r>
        <w:t>but</w:t>
      </w:r>
      <w:r w:rsidRPr="00610137">
        <w:t xml:space="preserve"> no independent children’s lawyer was appointed. </w:t>
      </w:r>
    </w:p>
    <w:p w:rsidRPr="00610137" w:rsidR="00740A25" w:rsidP="00740A25" w:rsidRDefault="00740A25" w14:paraId="5A6791E4" w14:textId="77777777">
      <w:r w:rsidRPr="00610137">
        <w:t xml:space="preserve">The Court </w:t>
      </w:r>
      <w:r>
        <w:t xml:space="preserve">considered </w:t>
      </w:r>
      <w:r w:rsidRPr="00610137">
        <w:t xml:space="preserve">the principles in </w:t>
      </w:r>
      <w:r w:rsidRPr="00610137">
        <w:rPr>
          <w:i/>
          <w:iCs/>
        </w:rPr>
        <w:t>Marion’s case</w:t>
      </w:r>
      <w:r w:rsidRPr="00610137">
        <w:t>. It held that the treatment proposed for Carla was ‘therapeutic’, and therefore that her parents could consent to it without authorisation from the court. Two reasons were given for the finding that the treatment was therapeutic:</w:t>
      </w:r>
    </w:p>
    <w:p w:rsidRPr="00610137" w:rsidR="00740A25" w:rsidP="002F7D27" w:rsidRDefault="00740A25" w14:paraId="5254C1DA" w14:textId="77777777">
      <w:pPr>
        <w:pStyle w:val="ListParagraph"/>
        <w:numPr>
          <w:ilvl w:val="0"/>
          <w:numId w:val="62"/>
        </w:numPr>
        <w:spacing w:before="0" w:after="160" w:line="259" w:lineRule="auto"/>
        <w:ind w:left="357" w:hanging="357"/>
        <w:rPr>
          <w:rFonts w:cs="Open Sans"/>
        </w:rPr>
      </w:pPr>
      <w:r w:rsidRPr="00610137">
        <w:rPr>
          <w:rFonts w:cs="Open Sans"/>
        </w:rPr>
        <w:t>the Court was satisfied the procedure was necessary to mitigate an intermediate risk of cancer, based on a risk of germ cell malignancy of 28%</w:t>
      </w:r>
      <w:r w:rsidRPr="00C366D2">
        <w:rPr>
          <w:rFonts w:cs="Open Sans"/>
          <w:sz w:val="20"/>
          <w:szCs w:val="20"/>
          <w:vertAlign w:val="superscript"/>
        </w:rPr>
        <w:endnoteReference w:id="541"/>
      </w:r>
      <w:r w:rsidRPr="00610137">
        <w:rPr>
          <w:rFonts w:cs="Open Sans"/>
        </w:rPr>
        <w:t xml:space="preserve"> </w:t>
      </w:r>
    </w:p>
    <w:p w:rsidRPr="00610137" w:rsidR="00740A25" w:rsidP="002F7D27" w:rsidRDefault="00740A25" w14:paraId="189DA2DC" w14:textId="77777777">
      <w:pPr>
        <w:pStyle w:val="ListParagraph"/>
        <w:numPr>
          <w:ilvl w:val="0"/>
          <w:numId w:val="62"/>
        </w:numPr>
        <w:spacing w:before="0" w:after="160" w:line="259" w:lineRule="auto"/>
        <w:ind w:left="357" w:hanging="357"/>
        <w:rPr>
          <w:rFonts w:cs="Open Sans"/>
        </w:rPr>
      </w:pPr>
      <w:r w:rsidRPr="00610137">
        <w:rPr>
          <w:rFonts w:cs="Open Sans"/>
        </w:rPr>
        <w:lastRenderedPageBreak/>
        <w:t>the proposed interventions would affirm the gender of rearing and prevent virilisation of Carla’s body</w:t>
      </w:r>
      <w:r w:rsidRPr="00C366D2">
        <w:rPr>
          <w:rFonts w:cs="Open Sans"/>
          <w:sz w:val="20"/>
          <w:szCs w:val="20"/>
          <w:vertAlign w:val="superscript"/>
        </w:rPr>
        <w:endnoteReference w:id="542"/>
      </w:r>
      <w:r w:rsidRPr="00610137">
        <w:rPr>
          <w:rFonts w:cs="Open Sans"/>
        </w:rPr>
        <w:t xml:space="preserve"> and would minimise risk of mental health problems, including ‘serious confusion about her gender identity’.</w:t>
      </w:r>
      <w:r w:rsidRPr="00C366D2">
        <w:rPr>
          <w:rFonts w:cs="Open Sans"/>
          <w:sz w:val="20"/>
          <w:szCs w:val="20"/>
          <w:vertAlign w:val="superscript"/>
        </w:rPr>
        <w:endnoteReference w:id="543"/>
      </w:r>
    </w:p>
    <w:p w:rsidRPr="00610137" w:rsidR="00740A25" w:rsidP="00740A25" w:rsidRDefault="00740A25" w14:paraId="727DA384" w14:textId="77777777">
      <w:pPr>
        <w:pStyle w:val="BodyText"/>
        <w:spacing w:before="0" w:line="320" w:lineRule="exact"/>
        <w:jc w:val="both"/>
        <w:rPr>
          <w:rFonts w:ascii="Times New Roman" w:hAnsi="Times New Roman" w:eastAsia="Times New Roman"/>
          <w:sz w:val="26"/>
          <w:szCs w:val="26"/>
        </w:rPr>
      </w:pPr>
      <w:r w:rsidRPr="00610137">
        <w:t>In making these findings, the Court relied on evidence from Carla’s parents and three medical practitioners</w:t>
      </w:r>
      <w:r>
        <w:t>:</w:t>
      </w:r>
      <w:r w:rsidRPr="00610137">
        <w:t xml:space="preserve"> Carla’s treating paediatric surgeon, Carla’s treating paediatric endocrinologist</w:t>
      </w:r>
      <w:r>
        <w:t>,</w:t>
      </w:r>
      <w:r w:rsidRPr="00610137">
        <w:t xml:space="preserve"> and Carla’s treating paediatric psychiatrist. </w:t>
      </w:r>
    </w:p>
    <w:p w:rsidRPr="00610137" w:rsidR="00740A25" w:rsidP="00740A25" w:rsidRDefault="00740A25" w14:paraId="58F6F7BD" w14:textId="77777777">
      <w:r w:rsidRPr="00610137">
        <w:t xml:space="preserve">In assessing the risk of cancer, the </w:t>
      </w:r>
      <w:r>
        <w:t>C</w:t>
      </w:r>
      <w:r w:rsidRPr="00610137">
        <w:t>ourt relied on evidence from the expert endocrinologist</w:t>
      </w:r>
      <w:r>
        <w:t xml:space="preserve">, who </w:t>
      </w:r>
      <w:r w:rsidRPr="00610137">
        <w:t>cit</w:t>
      </w:r>
      <w:r>
        <w:t>ed</w:t>
      </w:r>
      <w:r w:rsidRPr="00610137">
        <w:t xml:space="preserve"> the 2006 </w:t>
      </w:r>
      <w:r w:rsidRPr="792F2983">
        <w:rPr>
          <w:i/>
        </w:rPr>
        <w:t xml:space="preserve">Consensus </w:t>
      </w:r>
      <w:r w:rsidRPr="792F2983" w:rsidDel="00BC3D37">
        <w:rPr>
          <w:i/>
          <w:iCs/>
        </w:rPr>
        <w:t>statement on management of intersex disorders</w:t>
      </w:r>
      <w:r>
        <w:t xml:space="preserve"> </w:t>
      </w:r>
      <w:r w:rsidRPr="00A45753">
        <w:t>(</w:t>
      </w:r>
      <w:r w:rsidRPr="00A45753">
        <w:rPr>
          <w:rFonts w:cs="Open Sans"/>
        </w:rPr>
        <w:t>2006 Consensus Statement)</w:t>
      </w:r>
      <w:r>
        <w:rPr>
          <w:rFonts w:cs="Open Sans"/>
        </w:rPr>
        <w:t>.</w:t>
      </w:r>
      <w:r w:rsidRPr="0117CC5D">
        <w:rPr>
          <w:rStyle w:val="EndnoteReference"/>
          <w:rFonts w:cs="Open Sans"/>
        </w:rPr>
        <w:endnoteReference w:id="544"/>
      </w:r>
      <w:r w:rsidRPr="00610137">
        <w:t xml:space="preserve"> </w:t>
      </w:r>
      <w:r>
        <w:t>The Court said</w:t>
      </w:r>
      <w:r w:rsidRPr="00610137">
        <w:t xml:space="preserve"> that there was </w:t>
      </w:r>
      <w:r>
        <w:t>‘</w:t>
      </w:r>
      <w:r w:rsidRPr="00610137">
        <w:t>a risk of malignancy occurring in the short, medium and long term’, but included no discussion of whether the risk of malignancy was equally high within those timeframes.</w:t>
      </w:r>
      <w:r w:rsidRPr="0117CC5D">
        <w:rPr>
          <w:rStyle w:val="EndnoteReference"/>
        </w:rPr>
        <w:endnoteReference w:id="545"/>
      </w:r>
      <w:r w:rsidRPr="00610137">
        <w:t xml:space="preserve"> </w:t>
      </w:r>
    </w:p>
    <w:p w:rsidR="00740A25" w:rsidP="00740A25" w:rsidRDefault="00740A25" w14:paraId="158AE002" w14:textId="77777777">
      <w:r w:rsidRPr="00610137">
        <w:t>The Court referred to the possibility of deferring surgery</w:t>
      </w:r>
      <w:r>
        <w:t>,</w:t>
      </w:r>
      <w:r w:rsidRPr="00610137">
        <w:t xml:space="preserve"> but found that that was not advisable because Carla’s gonads were placed in the intra-abdominal cavity, and the expert surgical witness gave evidence that this placement meant it would have been ‘virtually impossible’ to ‘regularly monitor’ them for malignancy. The Court found that the gonads could have been ‘moved external to the abdominal cavity but that, of course, would be likely to have quite adverse psychological consequences for Carla’.</w:t>
      </w:r>
      <w:r w:rsidRPr="0117CC5D">
        <w:rPr>
          <w:rStyle w:val="EndnoteReference"/>
        </w:rPr>
        <w:endnoteReference w:id="546"/>
      </w:r>
      <w:r w:rsidRPr="00610137">
        <w:t xml:space="preserve"> </w:t>
      </w:r>
      <w:r>
        <w:t xml:space="preserve">The Court’s reasoning for this conclusion was not explained. </w:t>
      </w:r>
    </w:p>
    <w:p w:rsidRPr="00610137" w:rsidR="00740A25" w:rsidP="00740A25" w:rsidRDefault="00740A25" w14:paraId="0BC0781C" w14:textId="77777777">
      <w:r>
        <w:t xml:space="preserve">The Court also found that, if surgery were deferred, Carla would, at puberty, undergo irreversible virilisation because of hormonal changes, leading to mental distress, unless hormone blocking drugs were to be administered. This would require regular injections and mean Carla did not go through puberty at the same time as her peers. </w:t>
      </w:r>
    </w:p>
    <w:p w:rsidRPr="00610137" w:rsidR="00740A25" w:rsidP="00740A25" w:rsidRDefault="00740A25" w14:paraId="71CC734E" w14:textId="77777777">
      <w:r w:rsidRPr="00610137">
        <w:t xml:space="preserve">Criticisms have been made of the decision in </w:t>
      </w:r>
      <w:r w:rsidRPr="792F2983">
        <w:rPr>
          <w:i/>
          <w:iCs/>
        </w:rPr>
        <w:t>Re Carla</w:t>
      </w:r>
      <w:r w:rsidRPr="00610137">
        <w:t>. The first is that, in assessing the risk of cancer, the Court was directed to and relied on apparently outdated data.</w:t>
      </w:r>
      <w:r w:rsidRPr="00040BE8">
        <w:rPr>
          <w:rFonts w:cs="Open Sans"/>
          <w:sz w:val="20"/>
          <w:szCs w:val="20"/>
          <w:vertAlign w:val="superscript"/>
        </w:rPr>
        <w:endnoteReference w:id="547"/>
      </w:r>
      <w:r w:rsidRPr="00610137">
        <w:t xml:space="preserve"> The Court relied on data contained in the </w:t>
      </w:r>
      <w:r w:rsidRPr="00A45753" w:rsidDel="00BC3D37">
        <w:rPr>
          <w:rFonts w:cs="Open Sans"/>
        </w:rPr>
        <w:t>2006</w:t>
      </w:r>
      <w:r w:rsidRPr="00A45753">
        <w:rPr>
          <w:rFonts w:cs="Open Sans"/>
        </w:rPr>
        <w:t xml:space="preserve"> </w:t>
      </w:r>
      <w:r w:rsidRPr="00A45753" w:rsidDel="00BC3D37">
        <w:rPr>
          <w:rFonts w:cs="Open Sans"/>
        </w:rPr>
        <w:t xml:space="preserve">Consensus </w:t>
      </w:r>
      <w:r w:rsidRPr="00A45753">
        <w:rPr>
          <w:rFonts w:cs="Open Sans"/>
        </w:rPr>
        <w:t>Statement</w:t>
      </w:r>
      <w:r>
        <w:rPr>
          <w:rFonts w:cs="Open Sans"/>
        </w:rPr>
        <w:t>,</w:t>
      </w:r>
      <w:r w:rsidRPr="00A45753">
        <w:rPr>
          <w:rFonts w:cs="Open Sans"/>
        </w:rPr>
        <w:t xml:space="preserve"> </w:t>
      </w:r>
      <w:r w:rsidRPr="00610137">
        <w:t>but evidence from 2010, cited in the Senate Community Affairs References Committee repor</w:t>
      </w:r>
      <w:r w:rsidRPr="00342CAC">
        <w:t>t</w:t>
      </w:r>
      <w:r>
        <w:t>,</w:t>
      </w:r>
      <w:r w:rsidRPr="00342CAC">
        <w:t xml:space="preserve"> </w:t>
      </w:r>
      <w:r w:rsidRPr="792F2983">
        <w:rPr>
          <w:i/>
          <w:iCs/>
        </w:rPr>
        <w:t xml:space="preserve">Involuntary or coerced sterilisation of intersex people </w:t>
      </w:r>
      <w:r w:rsidRPr="792F2983">
        <w:rPr>
          <w:i/>
          <w:iCs/>
        </w:rPr>
        <w:lastRenderedPageBreak/>
        <w:t xml:space="preserve">in Australia </w:t>
      </w:r>
      <w:r w:rsidRPr="00610137">
        <w:t>(Senate Committee</w:t>
      </w:r>
      <w:r>
        <w:t xml:space="preserve"> Report</w:t>
      </w:r>
      <w:r w:rsidRPr="00610137">
        <w:t>), cited a lower risk of cancer</w:t>
      </w:r>
      <w:r>
        <w:rPr>
          <w:rFonts w:cs="Open Sans"/>
        </w:rPr>
        <w:t xml:space="preserve"> – </w:t>
      </w:r>
      <w:r w:rsidRPr="00610137">
        <w:t>17% rather than 28%.</w:t>
      </w:r>
      <w:r w:rsidRPr="0117CC5D">
        <w:rPr>
          <w:rStyle w:val="EndnoteReference"/>
        </w:rPr>
        <w:endnoteReference w:id="548"/>
      </w:r>
    </w:p>
    <w:p w:rsidRPr="00610137" w:rsidR="00740A25" w:rsidP="00740A25" w:rsidRDefault="00740A25" w14:paraId="4B706CD3" w14:textId="77777777">
      <w:pPr>
        <w:rPr>
          <w:rFonts w:cs="Open Sans"/>
        </w:rPr>
      </w:pPr>
      <w:r w:rsidRPr="00610137">
        <w:t xml:space="preserve">A second criticism is that the 2006 Consensus Statement advises that in cases of </w:t>
      </w:r>
      <w:r w:rsidRPr="00610137">
        <w:rPr>
          <w:rFonts w:cs="Open Sans"/>
        </w:rPr>
        <w:t>17ß-HSD3, the recommended course of action is to ‘monitor’ for cancer, rather than perform immediate gonadectomy.</w:t>
      </w:r>
      <w:r w:rsidRPr="00AC4737">
        <w:rPr>
          <w:rFonts w:cs="Open Sans"/>
          <w:sz w:val="20"/>
          <w:szCs w:val="20"/>
          <w:vertAlign w:val="superscript"/>
        </w:rPr>
        <w:endnoteReference w:id="549"/>
      </w:r>
      <w:r w:rsidRPr="00610137">
        <w:rPr>
          <w:rFonts w:cs="Open Sans"/>
        </w:rPr>
        <w:t xml:space="preserve"> </w:t>
      </w:r>
    </w:p>
    <w:p w:rsidRPr="00610137" w:rsidR="00740A25" w:rsidP="00740A25" w:rsidRDefault="00740A25" w14:paraId="330BAD4D" w14:textId="77777777">
      <w:r w:rsidRPr="00610137">
        <w:t>Another criticism is that the Court did not adequately consider deferring surgical treatment for Carla and did not properly weigh the arguments in favour of and those against deferring surgery.</w:t>
      </w:r>
      <w:r w:rsidRPr="0117CC5D">
        <w:rPr>
          <w:rStyle w:val="EndnoteReference"/>
        </w:rPr>
        <w:endnoteReference w:id="550"/>
      </w:r>
      <w:r w:rsidRPr="00610137">
        <w:t xml:space="preserve"> The Court referred to the fact that in the absence of surgery, Carla would undergo hormonal changes at puberty. That was still some years away in Carla’s case, and the Court did not </w:t>
      </w:r>
      <w:r>
        <w:t>say</w:t>
      </w:r>
      <w:r w:rsidRPr="00610137">
        <w:t xml:space="preserve"> whether a delay of several years would better allow Carla to express a view about her preferences, including about whether to receive puberty-blocking drugs. </w:t>
      </w:r>
    </w:p>
    <w:p w:rsidRPr="00610137" w:rsidR="00740A25" w:rsidP="00740A25" w:rsidRDefault="00740A25" w14:paraId="620423DC" w14:textId="77777777">
      <w:r w:rsidRPr="00610137">
        <w:t xml:space="preserve">Similarly, the Court did not discuss in detail the potential impact that the loss of fertility resulting from the proposed surgery could have on Carla and does not appear to have given that impact appropriate weight in assessing whether the surgery should proceed. The impact on fertility was at least a significant relevant factor that should have been weighed against any supposed psychological harm that Carla </w:t>
      </w:r>
      <w:r>
        <w:t>may</w:t>
      </w:r>
      <w:r w:rsidRPr="00610137">
        <w:t xml:space="preserve"> have suffered if her gonads had been surgically relocated rather than immediately removed. </w:t>
      </w:r>
    </w:p>
    <w:p w:rsidR="00740A25" w:rsidP="00740A25" w:rsidRDefault="00740A25" w14:paraId="53E0944D" w14:textId="77777777">
      <w:r w:rsidRPr="00610137">
        <w:t xml:space="preserve">Stakeholders also criticised the evidence put before the </w:t>
      </w:r>
      <w:r>
        <w:t>C</w:t>
      </w:r>
      <w:r w:rsidRPr="00610137">
        <w:t>ourt to establish that Carla had a female gender identity that was unlikely to change in the future.</w:t>
      </w:r>
      <w:r w:rsidRPr="0117CC5D">
        <w:rPr>
          <w:rStyle w:val="EndnoteReference"/>
        </w:rPr>
        <w:endnoteReference w:id="551"/>
      </w:r>
      <w:r w:rsidRPr="00610137">
        <w:t xml:space="preserve"> </w:t>
      </w:r>
      <w:r>
        <w:t>T</w:t>
      </w:r>
      <w:r w:rsidRPr="00610137">
        <w:t xml:space="preserve">he </w:t>
      </w:r>
      <w:r>
        <w:t>C</w:t>
      </w:r>
      <w:r w:rsidRPr="00610137">
        <w:t>ourt accepted the evidence of Carla’s treating psychiatrist</w:t>
      </w:r>
      <w:r>
        <w:t>, but s</w:t>
      </w:r>
      <w:r w:rsidRPr="00610137">
        <w:t>ome of th</w:t>
      </w:r>
      <w:r>
        <w:t>is</w:t>
      </w:r>
      <w:r w:rsidRPr="00610137">
        <w:t xml:space="preserve"> evidence has been criticised as of limited value, including observations about Carla having ‘stereotypically female’ interests, </w:t>
      </w:r>
      <w:r>
        <w:t xml:space="preserve">such as </w:t>
      </w:r>
      <w:r w:rsidRPr="00610137">
        <w:t>toys and favourite colours.</w:t>
      </w:r>
      <w:r w:rsidRPr="005D3E48">
        <w:rPr>
          <w:sz w:val="20"/>
          <w:szCs w:val="20"/>
          <w:vertAlign w:val="superscript"/>
        </w:rPr>
        <w:endnoteReference w:id="552"/>
      </w:r>
    </w:p>
    <w:p w:rsidRPr="00610137" w:rsidR="00740A25" w:rsidP="00740A25" w:rsidRDefault="00740A25" w14:paraId="69A61E98" w14:textId="77777777">
      <w:r w:rsidRPr="00610137">
        <w:t>A final observation about the decision is that the Court referred to the fact that Carla had, when four years old and prior to the application to the Court being made, undergone surgery including clitoral recession and a labiaplasty to ‘feminise Carla’s external appearance’.</w:t>
      </w:r>
      <w:r w:rsidRPr="0117CC5D">
        <w:rPr>
          <w:rStyle w:val="EndnoteReference"/>
        </w:rPr>
        <w:endnoteReference w:id="553"/>
      </w:r>
      <w:r w:rsidRPr="00610137">
        <w:t xml:space="preserve"> These procedures were evidently performed without court authorisation, a matter which passed without comment from the Court in </w:t>
      </w:r>
      <w:r w:rsidRPr="792F2983">
        <w:rPr>
          <w:i/>
          <w:iCs/>
        </w:rPr>
        <w:t>Re Carla</w:t>
      </w:r>
      <w:r w:rsidRPr="00610137">
        <w:t xml:space="preserve">. </w:t>
      </w:r>
    </w:p>
    <w:p w:rsidRPr="00610137" w:rsidR="00740A25" w:rsidP="00740A25" w:rsidRDefault="00740A25" w14:paraId="24F09825" w14:textId="77777777">
      <w:r>
        <w:t>The Commission considers that some</w:t>
      </w:r>
      <w:r w:rsidRPr="00610137">
        <w:t xml:space="preserve"> of these concerns may illustrate problems that arise when a limited range of expert evidence is put before the </w:t>
      </w:r>
      <w:r>
        <w:t>C</w:t>
      </w:r>
      <w:r w:rsidRPr="00610137">
        <w:t xml:space="preserve">ourt, and </w:t>
      </w:r>
      <w:r w:rsidRPr="00610137">
        <w:lastRenderedPageBreak/>
        <w:t>there is no contradictor to test that evidence through cross</w:t>
      </w:r>
      <w:r>
        <w:t>-</w:t>
      </w:r>
      <w:r w:rsidRPr="00610137">
        <w:t xml:space="preserve">examination or calling additional expert witnesses. While three expert witnesses were called in </w:t>
      </w:r>
      <w:r w:rsidRPr="00610137">
        <w:rPr>
          <w:i/>
          <w:iCs/>
        </w:rPr>
        <w:t>Re Carla</w:t>
      </w:r>
      <w:r w:rsidRPr="00610137">
        <w:t>, each had a different specialty and was a current treating practitioner for Carla. There was no diversity of medical opinion</w:t>
      </w:r>
      <w:r>
        <w:t xml:space="preserve"> independent of the treating team</w:t>
      </w:r>
      <w:r w:rsidRPr="00610137">
        <w:t>. As Carla was not independently represented, and the Director-General did not oppose the application, there was no</w:t>
      </w:r>
      <w:r>
        <w:t>-</w:t>
      </w:r>
      <w:r w:rsidRPr="00610137">
        <w:t>one to test or challenge the evidence led before the Court.</w:t>
      </w:r>
    </w:p>
    <w:p w:rsidRPr="00A4281B" w:rsidR="00740A25" w:rsidP="002F7D27" w:rsidRDefault="00740A25" w14:paraId="3D097EA3" w14:textId="77777777">
      <w:pPr>
        <w:pStyle w:val="Heading4"/>
        <w:numPr>
          <w:ilvl w:val="3"/>
          <w:numId w:val="59"/>
        </w:numPr>
        <w:tabs>
          <w:tab w:val="clear" w:pos="2269"/>
          <w:tab w:val="num" w:pos="851"/>
        </w:tabs>
        <w:ind w:left="851"/>
        <w:rPr>
          <w:rFonts w:eastAsia="Open Sans" w:cs="Open Sans"/>
        </w:rPr>
      </w:pPr>
      <w:r w:rsidRPr="00610137">
        <w:t>Other decisions of the Family Court</w:t>
      </w:r>
    </w:p>
    <w:p w:rsidRPr="00610137" w:rsidR="00740A25" w:rsidP="00740A25" w:rsidRDefault="00740A25" w14:paraId="304BF9B9" w14:textId="77777777">
      <w:r w:rsidRPr="00610137">
        <w:t xml:space="preserve">In </w:t>
      </w:r>
      <w:r w:rsidRPr="792F2983">
        <w:rPr>
          <w:i/>
          <w:iCs/>
        </w:rPr>
        <w:t>Re Welfare of a Child A,</w:t>
      </w:r>
      <w:r w:rsidRPr="0117CC5D">
        <w:rPr>
          <w:rStyle w:val="EndnoteReference"/>
        </w:rPr>
        <w:endnoteReference w:id="554"/>
      </w:r>
      <w:r w:rsidRPr="00610137">
        <w:t xml:space="preserve"> the Court authorised surgical procedures to remove female sex characteristics and create male genitalia for </w:t>
      </w:r>
      <w:r>
        <w:t xml:space="preserve">a </w:t>
      </w:r>
      <w:r w:rsidRPr="00610137">
        <w:t>14</w:t>
      </w:r>
      <w:r>
        <w:t>-</w:t>
      </w:r>
      <w:r w:rsidRPr="00610137">
        <w:t>year</w:t>
      </w:r>
      <w:r>
        <w:t>-</w:t>
      </w:r>
      <w:r w:rsidRPr="00610137">
        <w:t>old child</w:t>
      </w:r>
      <w:r>
        <w:t>,</w:t>
      </w:r>
      <w:r w:rsidRPr="00610137">
        <w:t xml:space="preserve"> ‘A’, finding that they were ‘overwhelmingly in A’s interests’.</w:t>
      </w:r>
      <w:r>
        <w:rPr>
          <w:rStyle w:val="EndnoteReference"/>
        </w:rPr>
        <w:endnoteReference w:id="555"/>
      </w:r>
      <w:r w:rsidRPr="00610137">
        <w:t xml:space="preserve"> A was born with congenital adrenal hyperplasia. Shortly after birth, A had undergone surgeries to feminise </w:t>
      </w:r>
      <w:r>
        <w:t>A’s</w:t>
      </w:r>
      <w:r w:rsidRPr="00610137">
        <w:t xml:space="preserve"> genitalia, and was administered hormones to prevent masculinisation. The dosage administered did not have that effect, and ‘recurrent masculinisation’ of A’s genitalia occurred. The Court held that the proposed surgeries </w:t>
      </w:r>
      <w:r>
        <w:t>required court authorisation.</w:t>
      </w:r>
      <w:r w:rsidRPr="0117CC5D">
        <w:rPr>
          <w:rStyle w:val="EndnoteReference"/>
        </w:rPr>
        <w:endnoteReference w:id="556"/>
      </w:r>
      <w:r>
        <w:t xml:space="preserve"> It held that they </w:t>
      </w:r>
      <w:r w:rsidRPr="00610137">
        <w:t xml:space="preserve">were in A’s interests because of the risk to A’s mental health, identity and self-esteem if the procedures were not performed. The Court found that A was not </w:t>
      </w:r>
      <w:r w:rsidRPr="792F2983">
        <w:rPr>
          <w:i/>
          <w:iCs/>
        </w:rPr>
        <w:t>Gillick</w:t>
      </w:r>
      <w:r w:rsidRPr="00610137">
        <w:t xml:space="preserve"> competent in respect of the proposed intervention, although </w:t>
      </w:r>
      <w:r>
        <w:t>the judge</w:t>
      </w:r>
      <w:r w:rsidRPr="00610137">
        <w:t xml:space="preserve"> took A’s views into account in support of the application.</w:t>
      </w:r>
    </w:p>
    <w:p w:rsidRPr="00610137" w:rsidR="00740A25" w:rsidP="00740A25" w:rsidRDefault="00740A25" w14:paraId="6DB8051F" w14:textId="77777777">
      <w:r w:rsidRPr="00610137">
        <w:t xml:space="preserve">In </w:t>
      </w:r>
      <w:r w:rsidRPr="792F2983">
        <w:rPr>
          <w:i/>
          <w:iCs/>
        </w:rPr>
        <w:t>Re Lesley</w:t>
      </w:r>
      <w:r w:rsidRPr="00610137">
        <w:t>,</w:t>
      </w:r>
      <w:r w:rsidRPr="0117CC5D">
        <w:rPr>
          <w:rStyle w:val="EndnoteReference"/>
        </w:rPr>
        <w:endnoteReference w:id="557"/>
      </w:r>
      <w:r w:rsidRPr="00610137">
        <w:t xml:space="preserve"> the Court held that a gonadectomy for four</w:t>
      </w:r>
      <w:r>
        <w:t>-</w:t>
      </w:r>
      <w:r w:rsidRPr="00610137">
        <w:t>year</w:t>
      </w:r>
      <w:r>
        <w:t>-</w:t>
      </w:r>
      <w:r w:rsidRPr="00610137">
        <w:t>old Lesley, who was born with 17</w:t>
      </w:r>
      <w:r w:rsidRPr="00610137">
        <w:rPr>
          <w:rFonts w:cs="Open Sans"/>
        </w:rPr>
        <w:t>β</w:t>
      </w:r>
      <w:r w:rsidRPr="00610137">
        <w:t xml:space="preserve">-HSD3 deficiency, was in </w:t>
      </w:r>
      <w:r>
        <w:t>Lesley’s</w:t>
      </w:r>
      <w:r w:rsidRPr="00610137">
        <w:t xml:space="preserve"> best interests. This was because it would prevent the risk of virilisation and negative serious psychological and social consequences.</w:t>
      </w:r>
      <w:r>
        <w:rPr>
          <w:rStyle w:val="EndnoteReference"/>
        </w:rPr>
        <w:endnoteReference w:id="558"/>
      </w:r>
      <w:r w:rsidRPr="00610137">
        <w:t xml:space="preserve"> The fact that it would address an increased risk of cancer developing was considered ‘a further important factor’.</w:t>
      </w:r>
      <w:r w:rsidRPr="0117CC5D">
        <w:rPr>
          <w:rStyle w:val="EndnoteReference"/>
        </w:rPr>
        <w:endnoteReference w:id="559"/>
      </w:r>
      <w:r w:rsidRPr="00610137">
        <w:t xml:space="preserve"> In making this finding, the Court relied on evidence from three doctors, who testified that Lesley identified as female, and that she was likely to continue to do so for the rest of her life. The Court held that the interventions proposed fell ‘squarely within the principles enunciated in </w:t>
      </w:r>
      <w:r w:rsidRPr="792F2983">
        <w:rPr>
          <w:i/>
          <w:iCs/>
        </w:rPr>
        <w:t xml:space="preserve">Marion’s </w:t>
      </w:r>
      <w:r w:rsidRPr="00610137">
        <w:t>case’, and that judicial authorisation was therefore necessary.</w:t>
      </w:r>
      <w:r w:rsidRPr="0117CC5D">
        <w:rPr>
          <w:rStyle w:val="EndnoteReference"/>
        </w:rPr>
        <w:endnoteReference w:id="560"/>
      </w:r>
      <w:r w:rsidRPr="00610137">
        <w:t xml:space="preserve"> </w:t>
      </w:r>
    </w:p>
    <w:p w:rsidRPr="00610137" w:rsidR="00740A25" w:rsidP="00740A25" w:rsidRDefault="00740A25" w14:paraId="47A96B13" w14:textId="77777777">
      <w:r w:rsidRPr="00610137">
        <w:lastRenderedPageBreak/>
        <w:t xml:space="preserve">In </w:t>
      </w:r>
      <w:r w:rsidRPr="792F2983">
        <w:rPr>
          <w:i/>
          <w:iCs/>
        </w:rPr>
        <w:t>Re Sally</w:t>
      </w:r>
      <w:r w:rsidRPr="00610137">
        <w:t>,</w:t>
      </w:r>
      <w:r w:rsidRPr="0117CC5D">
        <w:rPr>
          <w:rStyle w:val="EndnoteReference"/>
        </w:rPr>
        <w:endnoteReference w:id="561"/>
      </w:r>
      <w:r w:rsidRPr="00610137">
        <w:t xml:space="preserve"> the Court held that a gonadectomy for 14</w:t>
      </w:r>
      <w:r>
        <w:t>-</w:t>
      </w:r>
      <w:r w:rsidRPr="00610137">
        <w:t>year</w:t>
      </w:r>
      <w:r>
        <w:t>-</w:t>
      </w:r>
      <w:r w:rsidRPr="00610137">
        <w:t xml:space="preserve">old Sally, who was born with 5-alpha reductase deficiency, was in her best interests given the significant psychological risks associated with postponing the surgery, including Sally’s schooling, ability to form and maintain relationships, self-esteem and behaviour. Sally was not considered by the Court to be </w:t>
      </w:r>
      <w:r w:rsidRPr="792F2983">
        <w:rPr>
          <w:i/>
          <w:iCs/>
        </w:rPr>
        <w:t>Gillick</w:t>
      </w:r>
      <w:r w:rsidRPr="00610137">
        <w:t xml:space="preserve"> competent, though she supported the procedures and the Court took her views into account. The Court considered that the alternative of waiting until Sally turned 18 </w:t>
      </w:r>
      <w:r>
        <w:t xml:space="preserve">involved </w:t>
      </w:r>
      <w:r w:rsidRPr="00610137">
        <w:t>significant risk</w:t>
      </w:r>
      <w:r>
        <w:t>s, particularly to her mental health</w:t>
      </w:r>
      <w:r w:rsidRPr="00610137">
        <w:t>.</w:t>
      </w:r>
    </w:p>
    <w:p w:rsidRPr="00610137" w:rsidR="00740A25" w:rsidP="00740A25" w:rsidRDefault="00740A25" w14:paraId="497D98A2" w14:textId="77777777">
      <w:r w:rsidRPr="00610137">
        <w:t xml:space="preserve">In </w:t>
      </w:r>
      <w:r w:rsidRPr="792F2983">
        <w:rPr>
          <w:i/>
          <w:iCs/>
        </w:rPr>
        <w:t>Re Sean and Russell</w:t>
      </w:r>
      <w:r w:rsidRPr="00610137">
        <w:t>,</w:t>
      </w:r>
      <w:r w:rsidRPr="0117CC5D">
        <w:rPr>
          <w:rStyle w:val="EndnoteReference"/>
        </w:rPr>
        <w:endnoteReference w:id="562"/>
      </w:r>
      <w:r w:rsidRPr="00610137">
        <w:t xml:space="preserve"> the Court held that gonadectomies for 18</w:t>
      </w:r>
      <w:r>
        <w:t>-</w:t>
      </w:r>
      <w:r w:rsidRPr="00610137">
        <w:t>month</w:t>
      </w:r>
      <w:r>
        <w:t>-</w:t>
      </w:r>
      <w:r w:rsidRPr="00610137">
        <w:t xml:space="preserve">old Russell and three-and-a-half-year-old Sean were in their best interests. Both children had Denys-Drash Syndrome, which the Court found was associated with a significant risk of cancer. The Court held that judicial authorisation was not required, as the procedures fell within the scope of parental powers. </w:t>
      </w:r>
      <w:r>
        <w:t>Nevertheless, the Court had jurisdiction to deal with the applications and made declarations that the parents were authorised to consent to the proposed treatment.</w:t>
      </w:r>
    </w:p>
    <w:p w:rsidRPr="00610137" w:rsidR="00740A25" w:rsidP="00740A25" w:rsidRDefault="00740A25" w14:paraId="72556BCB" w14:textId="77777777">
      <w:r w:rsidRPr="00610137">
        <w:t xml:space="preserve">In </w:t>
      </w:r>
      <w:r w:rsidRPr="792F2983">
        <w:rPr>
          <w:i/>
          <w:iCs/>
        </w:rPr>
        <w:t>Re Dylan</w:t>
      </w:r>
      <w:r w:rsidRPr="00610137">
        <w:t>,</w:t>
      </w:r>
      <w:r w:rsidRPr="0117CC5D">
        <w:rPr>
          <w:rStyle w:val="EndnoteReference"/>
        </w:rPr>
        <w:endnoteReference w:id="563"/>
      </w:r>
      <w:r w:rsidRPr="00610137">
        <w:t xml:space="preserve"> the Court held that Stage 2 cross-</w:t>
      </w:r>
      <w:r>
        <w:t xml:space="preserve">sex </w:t>
      </w:r>
      <w:r w:rsidRPr="00610137">
        <w:t>hormone treatment for 15</w:t>
      </w:r>
      <w:r>
        <w:t>-</w:t>
      </w:r>
      <w:r w:rsidRPr="00610137">
        <w:t>year</w:t>
      </w:r>
      <w:r>
        <w:t>-</w:t>
      </w:r>
      <w:r w:rsidRPr="00610137">
        <w:t>old Dylan</w:t>
      </w:r>
      <w:r>
        <w:t>,</w:t>
      </w:r>
      <w:r w:rsidRPr="00610137">
        <w:t xml:space="preserve"> who was born with 11 beta-hydroxylase deficiency</w:t>
      </w:r>
      <w:r>
        <w:t>,</w:t>
      </w:r>
      <w:r w:rsidRPr="00610137">
        <w:t xml:space="preserve"> was in his best interests because of the potential for significant psychological and social damage to Dylan if treatment was not undertaken. The Court found that judicial authorisation was required for Dylan’s intervention (intermuscular administration of testosterone), notably because of the ‘very significant risks’ associated with it, and the fact that the intervention would have irreversible effects. </w:t>
      </w:r>
    </w:p>
    <w:p w:rsidRPr="002B470C" w:rsidR="00740A25" w:rsidP="00740A25" w:rsidRDefault="00740A25" w14:paraId="52154EFE" w14:textId="3529524D">
      <w:pPr>
        <w:autoSpaceDE w:val="0"/>
        <w:autoSpaceDN w:val="0"/>
        <w:adjustRightInd w:val="0"/>
        <w:spacing w:before="0" w:after="0"/>
        <w:rPr>
          <w:sz w:val="20"/>
          <w:szCs w:val="20"/>
        </w:rPr>
      </w:pPr>
      <w:r w:rsidRPr="00610137">
        <w:t xml:space="preserve">In </w:t>
      </w:r>
      <w:r w:rsidRPr="792F2983">
        <w:rPr>
          <w:i/>
          <w:iCs/>
        </w:rPr>
        <w:t>Re Sarah</w:t>
      </w:r>
      <w:r w:rsidRPr="00610137">
        <w:t>,</w:t>
      </w:r>
      <w:r w:rsidRPr="0117CC5D">
        <w:rPr>
          <w:rStyle w:val="EndnoteReference"/>
        </w:rPr>
        <w:endnoteReference w:id="564"/>
      </w:r>
      <w:r w:rsidRPr="00610137">
        <w:t xml:space="preserve"> the Court held that a gonadectomy for 1</w:t>
      </w:r>
      <w:r>
        <w:t>6-</w:t>
      </w:r>
      <w:r w:rsidRPr="00610137">
        <w:t>year</w:t>
      </w:r>
      <w:r>
        <w:t>-</w:t>
      </w:r>
      <w:r w:rsidRPr="00610137">
        <w:t xml:space="preserve">old Sarah, who was born with 45X/46XY Turner </w:t>
      </w:r>
      <w:r>
        <w:t>S</w:t>
      </w:r>
      <w:r w:rsidRPr="00610137">
        <w:t xml:space="preserve">yndrome, was in her best interests. The </w:t>
      </w:r>
      <w:r>
        <w:t>C</w:t>
      </w:r>
      <w:r w:rsidRPr="00610137">
        <w:t xml:space="preserve">ourt </w:t>
      </w:r>
      <w:r>
        <w:t xml:space="preserve">heard </w:t>
      </w:r>
      <w:r w:rsidRPr="00610137">
        <w:t>that the procedure would address a 10</w:t>
      </w:r>
      <w:r w:rsidRPr="792F2983">
        <w:rPr>
          <w:rFonts w:ascii="Calibri" w:hAnsi="Calibri" w:eastAsia="Calibri" w:cs="Calibri"/>
          <w:sz w:val="22"/>
          <w:szCs w:val="22"/>
        </w:rPr>
        <w:t>–</w:t>
      </w:r>
      <w:r w:rsidRPr="00610137">
        <w:t>15</w:t>
      </w:r>
      <w:r>
        <w:t>%</w:t>
      </w:r>
      <w:r w:rsidRPr="00610137">
        <w:t xml:space="preserve"> chance of cancer developing, and that it was necessary to allow Sarah to have hormone therapy so that she would undergo puberty.</w:t>
      </w:r>
      <w:r>
        <w:rPr>
          <w:rStyle w:val="EndnoteReference"/>
        </w:rPr>
        <w:endnoteReference w:id="565"/>
      </w:r>
      <w:r w:rsidRPr="00610137">
        <w:t xml:space="preserve"> The Court held that the intervention did not require court </w:t>
      </w:r>
      <w:r>
        <w:t xml:space="preserve">authorisation </w:t>
      </w:r>
      <w:r w:rsidRPr="00610137">
        <w:t xml:space="preserve">as it was </w:t>
      </w:r>
      <w:r>
        <w:t>‘</w:t>
      </w:r>
      <w:r w:rsidRPr="00610137">
        <w:t>therapeutic</w:t>
      </w:r>
      <w:r>
        <w:t>’</w:t>
      </w:r>
      <w:r w:rsidRPr="00610137">
        <w:t xml:space="preserve"> treatment </w:t>
      </w:r>
      <w:r>
        <w:t xml:space="preserve">that was </w:t>
      </w:r>
      <w:r w:rsidRPr="00610137">
        <w:t xml:space="preserve">not for the purpose of sterilisation. </w:t>
      </w:r>
      <w:r>
        <w:t>The Court also described the surgery as ‘relatively minor and non-invasive’</w:t>
      </w:r>
      <w:r w:rsidRPr="002B470C">
        <w:rPr>
          <w:sz w:val="20"/>
          <w:szCs w:val="20"/>
        </w:rPr>
        <w:t>.</w:t>
      </w:r>
      <w:r w:rsidRPr="0117CC5D">
        <w:rPr>
          <w:rStyle w:val="EndnoteReference"/>
        </w:rPr>
        <w:endnoteReference w:id="566"/>
      </w:r>
    </w:p>
    <w:p w:rsidRPr="00610137" w:rsidR="00740A25" w:rsidP="00740A25" w:rsidRDefault="00740A25" w14:paraId="1684570B" w14:textId="77777777">
      <w:pPr>
        <w:spacing w:line="259" w:lineRule="auto"/>
      </w:pPr>
      <w:r w:rsidRPr="00610137">
        <w:t xml:space="preserve">Several expert witnesses testified that Sarah was </w:t>
      </w:r>
      <w:r w:rsidRPr="792F2983">
        <w:rPr>
          <w:i/>
          <w:iCs/>
        </w:rPr>
        <w:t>Gillick</w:t>
      </w:r>
      <w:r w:rsidRPr="00610137">
        <w:t xml:space="preserve"> competent to consent to the treatment on her own behalf. However, the </w:t>
      </w:r>
      <w:r>
        <w:t>C</w:t>
      </w:r>
      <w:r w:rsidRPr="00610137">
        <w:t xml:space="preserve">ourt declined to make a </w:t>
      </w:r>
      <w:r>
        <w:lastRenderedPageBreak/>
        <w:t xml:space="preserve">declaration </w:t>
      </w:r>
      <w:r w:rsidRPr="00610137">
        <w:t xml:space="preserve">of </w:t>
      </w:r>
      <w:r w:rsidRPr="792F2983">
        <w:rPr>
          <w:i/>
          <w:iCs/>
        </w:rPr>
        <w:t>Gillick</w:t>
      </w:r>
      <w:r w:rsidRPr="00610137">
        <w:t xml:space="preserve"> competence on the ground that Sarah’s parents were legally allowed to consent to the treatment</w:t>
      </w:r>
      <w:r>
        <w:t xml:space="preserve"> for her</w:t>
      </w:r>
      <w:r w:rsidRPr="00610137">
        <w:t xml:space="preserve">. </w:t>
      </w:r>
      <w:r>
        <w:t>While Sarah’s clinical psychologist provided some evidence to the Court of Sarah’s views,</w:t>
      </w:r>
      <w:r w:rsidRPr="0117CC5D">
        <w:rPr>
          <w:rStyle w:val="EndnoteReference"/>
        </w:rPr>
        <w:endnoteReference w:id="567"/>
      </w:r>
      <w:r>
        <w:t xml:space="preserve"> the Court did not receive </w:t>
      </w:r>
      <w:r w:rsidRPr="00610137">
        <w:t xml:space="preserve">any evidence directly from Sarah about her views on the intervention. </w:t>
      </w:r>
    </w:p>
    <w:p w:rsidRPr="00610137" w:rsidR="00740A25" w:rsidP="00740A25" w:rsidRDefault="00740A25" w14:paraId="6E0C02A1" w14:textId="77777777">
      <w:r w:rsidRPr="00610137">
        <w:t xml:space="preserve">In </w:t>
      </w:r>
      <w:r w:rsidRPr="792F2983">
        <w:rPr>
          <w:i/>
          <w:iCs/>
        </w:rPr>
        <w:t>Re Kaitlin</w:t>
      </w:r>
      <w:r w:rsidRPr="00610137">
        <w:t>,</w:t>
      </w:r>
      <w:r w:rsidRPr="0117CC5D">
        <w:rPr>
          <w:rStyle w:val="EndnoteReference"/>
        </w:rPr>
        <w:endnoteReference w:id="568"/>
      </w:r>
      <w:r w:rsidRPr="00610137">
        <w:t xml:space="preserve"> the Court held that </w:t>
      </w:r>
      <w:r>
        <w:t>S</w:t>
      </w:r>
      <w:r w:rsidRPr="00610137">
        <w:t>tage 2 cross-</w:t>
      </w:r>
      <w:r>
        <w:t xml:space="preserve">sex </w:t>
      </w:r>
      <w:r w:rsidRPr="00610137">
        <w:t>hormone treatment for 16</w:t>
      </w:r>
      <w:r>
        <w:t>-</w:t>
      </w:r>
      <w:r w:rsidRPr="00610137">
        <w:t>year</w:t>
      </w:r>
      <w:r>
        <w:t>-</w:t>
      </w:r>
      <w:r w:rsidRPr="00610137">
        <w:t>old Kaitlin</w:t>
      </w:r>
      <w:r>
        <w:t>,</w:t>
      </w:r>
      <w:r w:rsidRPr="00610137">
        <w:t xml:space="preserve"> who was born with hypopituitarism</w:t>
      </w:r>
      <w:r>
        <w:t>,</w:t>
      </w:r>
      <w:r w:rsidRPr="00610137">
        <w:t xml:space="preserve"> was in her best interests. The Court found that Kaitlin was </w:t>
      </w:r>
      <w:r w:rsidRPr="792F2983">
        <w:rPr>
          <w:i/>
          <w:iCs/>
        </w:rPr>
        <w:t>Gillick</w:t>
      </w:r>
      <w:r w:rsidRPr="00610137">
        <w:t xml:space="preserve"> competent to consent to taking oestrogen. It followed that court authorisation was not required. </w:t>
      </w:r>
    </w:p>
    <w:p w:rsidRPr="00610137" w:rsidR="00740A25" w:rsidP="002F7D27" w:rsidRDefault="00740A25" w14:paraId="5DCDDF2F" w14:textId="5D83CB6E">
      <w:pPr>
        <w:pStyle w:val="Heading3"/>
        <w:numPr>
          <w:ilvl w:val="2"/>
          <w:numId w:val="59"/>
        </w:numPr>
        <w:tabs>
          <w:tab w:val="clear" w:pos="8222"/>
          <w:tab w:val="num" w:pos="851"/>
        </w:tabs>
        <w:ind w:left="851"/>
      </w:pPr>
      <w:bookmarkStart w:name="_Toc85541467" w:id="471"/>
      <w:r w:rsidRPr="00610137">
        <w:t xml:space="preserve">Observations on Family Court </w:t>
      </w:r>
      <w:r w:rsidR="002176F5">
        <w:t>oversight</w:t>
      </w:r>
      <w:bookmarkEnd w:id="471"/>
    </w:p>
    <w:p w:rsidRPr="0094481C" w:rsidR="0094481C" w:rsidP="0094481C" w:rsidRDefault="0094481C" w14:paraId="5EFE5353" w14:textId="77777777">
      <w:pPr>
        <w:keepNext/>
      </w:pPr>
      <w:r w:rsidRPr="0094481C">
        <w:t>Since Marion’s case, courts have often sought to determine whether a proposed treatment was ‘therapeutic’ by looking only to the stated purpose of the treatment, without conducting the required proportionality assessment. In cases involving proposed treatment on children with variations in sex characteristics, the ability to conduct a proportionality assessment has often been limited by the lack of a contradictor or independent children’s lawyer to test the evidence put forward in favour of the proposed treatment and, in the absence of such evidence, by the lack of independent medical expertise by judges of the Family Court.</w:t>
      </w:r>
    </w:p>
    <w:p w:rsidR="0094481C" w:rsidP="0094481C" w:rsidRDefault="0094481C" w14:paraId="3ABF31F3" w14:textId="5DCF7C9B">
      <w:pPr>
        <w:keepNext/>
        <w:rPr>
          <w:i/>
          <w:iCs/>
        </w:rPr>
      </w:pPr>
      <w:r w:rsidRPr="0094481C">
        <w:t>The result has been that treatments have been labelled as ‘therapeutic’ in circumstances where such a conclusion may be contestable. The distinction between therapeutic and non-therapeutic is problematic in the context of interventions modifying sex characteristics, as there may be therapeutic arguments that can be made for or against a particular intervention that need to be properly tested</w:t>
      </w:r>
      <w:r w:rsidRPr="0094481C">
        <w:rPr>
          <w:i/>
          <w:iCs/>
        </w:rPr>
        <w:t>.</w:t>
      </w:r>
    </w:p>
    <w:p w:rsidRPr="00610137" w:rsidR="00740A25" w:rsidP="00740A25" w:rsidRDefault="00740A25" w14:paraId="3DF8024A" w14:textId="2525EB43">
      <w:pPr>
        <w:keepNext/>
        <w:rPr>
          <w:i/>
          <w:iCs/>
        </w:rPr>
      </w:pPr>
      <w:r w:rsidRPr="03223B69">
        <w:rPr>
          <w:i/>
          <w:iCs/>
        </w:rPr>
        <w:t>Only a limited number of applications are made to the Family Court</w:t>
      </w:r>
    </w:p>
    <w:p w:rsidRPr="00610137" w:rsidR="00740A25" w:rsidP="00740A25" w:rsidRDefault="00740A25" w14:paraId="6E7CA028" w14:textId="77777777">
      <w:r w:rsidRPr="00610137">
        <w:t xml:space="preserve">Only eight applications seeking authorisation for medical interventions </w:t>
      </w:r>
      <w:r>
        <w:t>in relation to</w:t>
      </w:r>
      <w:r w:rsidRPr="00610137">
        <w:t xml:space="preserve"> people born with variations in sex characteristics appear to have been decided by the Family Court between 1993 and 2017. This implies that medical </w:t>
      </w:r>
      <w:r w:rsidRPr="00610137">
        <w:lastRenderedPageBreak/>
        <w:t xml:space="preserve">interventions of this kind are </w:t>
      </w:r>
      <w:r>
        <w:t xml:space="preserve">generally </w:t>
      </w:r>
      <w:r w:rsidRPr="00610137">
        <w:t xml:space="preserve">being performed without judicial oversight. </w:t>
      </w:r>
    </w:p>
    <w:p w:rsidRPr="00610137" w:rsidR="00740A25" w:rsidP="00740A25" w:rsidRDefault="00740A25" w14:paraId="3E18FF1D" w14:textId="77777777">
      <w:r>
        <w:t xml:space="preserve">Six of the eight applications that have been decided by the Court have involved the removal of gonadal tissue, and consequently the loss of fertility. The restricted range of these cases may have been influenced by the fact that, in </w:t>
      </w:r>
      <w:r w:rsidRPr="792F2983">
        <w:rPr>
          <w:i/>
          <w:iCs/>
        </w:rPr>
        <w:t xml:space="preserve">Marion’s case, </w:t>
      </w:r>
      <w:r>
        <w:t>a sterilising procedure was proposed to be performed on a person without legal capacity to consent.</w:t>
      </w:r>
    </w:p>
    <w:p w:rsidRPr="00610137" w:rsidR="00AD3274" w:rsidP="00740A25" w:rsidRDefault="00740A25" w14:paraId="0B36588C" w14:textId="63B02DBB">
      <w:r w:rsidRPr="00610137">
        <w:t>A corollary of these observations is that court authorisations are not being sought for other interventions, such as the administration of hormones</w:t>
      </w:r>
      <w:r w:rsidRPr="00E22049">
        <w:t xml:space="preserve"> </w:t>
      </w:r>
      <w:r>
        <w:t>(where it appears there have been only two relevant cases),</w:t>
      </w:r>
      <w:r w:rsidRPr="00610137">
        <w:t xml:space="preserve"> or cosmetic procedures aimed at ‘normalising’ the appearance of genitalia. Indeed, some of the Family Court cases refer to other interventions that had been previously performed, evidently without court authorisation. For example, the judgment in </w:t>
      </w:r>
      <w:r w:rsidRPr="792F2983">
        <w:rPr>
          <w:i/>
          <w:iCs/>
        </w:rPr>
        <w:t xml:space="preserve">Re Carla </w:t>
      </w:r>
      <w:r w:rsidRPr="00610137">
        <w:t>refers to a past clitoral recession and labioplasty performed on Carla.</w:t>
      </w:r>
      <w:r w:rsidRPr="0117CC5D">
        <w:rPr>
          <w:rStyle w:val="EndnoteReference"/>
        </w:rPr>
        <w:endnoteReference w:id="569"/>
      </w:r>
      <w:r w:rsidRPr="00610137">
        <w:t xml:space="preserve"> In </w:t>
      </w:r>
      <w:r w:rsidRPr="792F2983">
        <w:rPr>
          <w:i/>
          <w:iCs/>
        </w:rPr>
        <w:t>Welfare of a Child A</w:t>
      </w:r>
      <w:r w:rsidRPr="00610137">
        <w:t>, the Court referred to femini</w:t>
      </w:r>
      <w:r>
        <w:t>s</w:t>
      </w:r>
      <w:r w:rsidRPr="00610137">
        <w:t>ing surgeries conducted in the post-natal period and the subsequent administration of hormones.</w:t>
      </w:r>
      <w:r w:rsidRPr="0117CC5D">
        <w:rPr>
          <w:rStyle w:val="EndnoteReference"/>
        </w:rPr>
        <w:endnoteReference w:id="570"/>
      </w:r>
      <w:r w:rsidRPr="00610137">
        <w:t xml:space="preserve"> In </w:t>
      </w:r>
      <w:r w:rsidRPr="792F2983">
        <w:rPr>
          <w:i/>
          <w:iCs/>
        </w:rPr>
        <w:t>Re Kaitlin</w:t>
      </w:r>
      <w:r w:rsidRPr="00610137">
        <w:t>, the Court referred to hormones administered without court authorisation.</w:t>
      </w:r>
      <w:r w:rsidRPr="0117CC5D">
        <w:rPr>
          <w:rStyle w:val="EndnoteReference"/>
        </w:rPr>
        <w:endnoteReference w:id="571"/>
      </w:r>
      <w:r w:rsidRPr="00610137">
        <w:t xml:space="preserve"> </w:t>
      </w:r>
    </w:p>
    <w:p w:rsidRPr="00610137" w:rsidR="00740A25" w:rsidP="762EBC8D" w:rsidRDefault="00740A25" w14:paraId="7572CC7E" w14:textId="6DF13121">
      <w:pPr>
        <w:keepNext/>
        <w:rPr>
          <w:i/>
          <w:iCs/>
        </w:rPr>
      </w:pPr>
      <w:r w:rsidRPr="762EBC8D">
        <w:rPr>
          <w:i/>
          <w:iCs/>
        </w:rPr>
        <w:t>Inconsisten</w:t>
      </w:r>
      <w:r w:rsidRPr="762EBC8D" w:rsidR="4D3CF331">
        <w:rPr>
          <w:i/>
          <w:iCs/>
        </w:rPr>
        <w:t xml:space="preserve">t </w:t>
      </w:r>
      <w:r w:rsidRPr="762EBC8D">
        <w:rPr>
          <w:i/>
          <w:iCs/>
        </w:rPr>
        <w:t xml:space="preserve">approach to the need for court authorisation </w:t>
      </w:r>
    </w:p>
    <w:p w:rsidRPr="00610137" w:rsidR="00C5543D" w:rsidP="00740A25" w:rsidRDefault="00740A25" w14:paraId="511F7A3C" w14:textId="68F5AB8C">
      <w:r w:rsidRPr="00610137">
        <w:t xml:space="preserve">The Court has not taken a consistent approach to the question </w:t>
      </w:r>
      <w:r>
        <w:t xml:space="preserve">as to </w:t>
      </w:r>
      <w:r w:rsidRPr="00610137">
        <w:t xml:space="preserve">whether medical interventions </w:t>
      </w:r>
      <w:r>
        <w:t>in relation to</w:t>
      </w:r>
      <w:r w:rsidRPr="00610137">
        <w:t xml:space="preserve"> people born with variations in sex characteristics require court authorisation. For example, </w:t>
      </w:r>
      <w:r w:rsidRPr="00610137">
        <w:rPr>
          <w:i/>
          <w:iCs/>
        </w:rPr>
        <w:t>Re Lesley</w:t>
      </w:r>
      <w:r w:rsidRPr="00610137">
        <w:t xml:space="preserve"> and </w:t>
      </w:r>
      <w:r w:rsidRPr="00610137">
        <w:rPr>
          <w:i/>
          <w:iCs/>
        </w:rPr>
        <w:t>Re Carla</w:t>
      </w:r>
      <w:r w:rsidRPr="00610137">
        <w:t xml:space="preserve"> both considered whether a gonadectomy for a person with 17</w:t>
      </w:r>
      <w:r w:rsidRPr="00610137">
        <w:rPr>
          <w:rFonts w:cs="Open Sans"/>
        </w:rPr>
        <w:t>β</w:t>
      </w:r>
      <w:r w:rsidRPr="00610137">
        <w:t xml:space="preserve">-HSD3 was ‘therapeutic’ or required court authorisation. The Court arrived at a different conclusion in each case. </w:t>
      </w:r>
    </w:p>
    <w:p w:rsidRPr="00610137" w:rsidR="00740A25" w:rsidP="00740A25" w:rsidRDefault="00740A25" w14:paraId="59DD54BE" w14:textId="77777777">
      <w:pPr>
        <w:keepNext/>
        <w:rPr>
          <w:i/>
          <w:iCs/>
        </w:rPr>
      </w:pPr>
      <w:r w:rsidRPr="00610137">
        <w:rPr>
          <w:i/>
          <w:iCs/>
        </w:rPr>
        <w:t>Lack of independent representation for children and limited expert evidence</w:t>
      </w:r>
    </w:p>
    <w:p w:rsidRPr="00610137" w:rsidR="00740A25" w:rsidP="00740A25" w:rsidRDefault="00740A25" w14:paraId="1B08E5C7" w14:textId="77777777">
      <w:r w:rsidRPr="00610137">
        <w:t xml:space="preserve">There has been no </w:t>
      </w:r>
      <w:r>
        <w:t xml:space="preserve">active </w:t>
      </w:r>
      <w:r w:rsidRPr="00610137">
        <w:t>contradictor in any of the cases brought to the Family Court, and all applications have been granted. An independent children’s lawyer was appointed in only one of the cases (</w:t>
      </w:r>
      <w:r w:rsidRPr="792F2983">
        <w:rPr>
          <w:i/>
          <w:iCs/>
        </w:rPr>
        <w:t>Re Sarah</w:t>
      </w:r>
      <w:r w:rsidRPr="00610137">
        <w:t xml:space="preserve">). </w:t>
      </w:r>
      <w:r>
        <w:t>In that case, the independent children’s lawyer was appointed on the Friday prior to the final hearing the following Monday and did not file or seek to rely on any evidence.</w:t>
      </w:r>
      <w:r w:rsidRPr="0117CC5D">
        <w:rPr>
          <w:rStyle w:val="EndnoteReference"/>
        </w:rPr>
        <w:endnoteReference w:id="572"/>
      </w:r>
      <w:r>
        <w:t xml:space="preserve"> </w:t>
      </w:r>
      <w:r w:rsidRPr="00610137">
        <w:t xml:space="preserve">In </w:t>
      </w:r>
      <w:r>
        <w:t xml:space="preserve">one </w:t>
      </w:r>
      <w:r w:rsidRPr="00610137">
        <w:t>case (</w:t>
      </w:r>
      <w:r w:rsidRPr="792F2983">
        <w:rPr>
          <w:i/>
          <w:iCs/>
        </w:rPr>
        <w:t>Re Lesley</w:t>
      </w:r>
      <w:r w:rsidRPr="00610137">
        <w:t>), the Court was urged but declined to appoint an independent children’s lawyer, holding that it would not be assisted by the appointment.</w:t>
      </w:r>
      <w:r w:rsidRPr="0117CC5D">
        <w:rPr>
          <w:rStyle w:val="EndnoteReference"/>
        </w:rPr>
        <w:endnoteReference w:id="573"/>
      </w:r>
      <w:r w:rsidRPr="00610137">
        <w:t xml:space="preserve"> In a further </w:t>
      </w:r>
      <w:r>
        <w:t xml:space="preserve">three </w:t>
      </w:r>
      <w:r w:rsidRPr="00610137">
        <w:t>cases (</w:t>
      </w:r>
      <w:r w:rsidRPr="792F2983">
        <w:rPr>
          <w:i/>
          <w:iCs/>
        </w:rPr>
        <w:t>Re Sean and Russell</w:t>
      </w:r>
      <w:r>
        <w:t xml:space="preserve">, </w:t>
      </w:r>
      <w:r w:rsidRPr="792F2983">
        <w:rPr>
          <w:i/>
          <w:iCs/>
        </w:rPr>
        <w:t>Re Dylan</w:t>
      </w:r>
      <w:r w:rsidRPr="00610137">
        <w:t xml:space="preserve"> and </w:t>
      </w:r>
      <w:r w:rsidRPr="792F2983">
        <w:rPr>
          <w:i/>
          <w:iCs/>
        </w:rPr>
        <w:t>Re Sally</w:t>
      </w:r>
      <w:r w:rsidRPr="00610137">
        <w:t>)</w:t>
      </w:r>
      <w:r>
        <w:t>,</w:t>
      </w:r>
      <w:r w:rsidRPr="00610137">
        <w:t xml:space="preserve"> the Court </w:t>
      </w:r>
      <w:r w:rsidRPr="00610137">
        <w:lastRenderedPageBreak/>
        <w:t xml:space="preserve">considered whether it should appoint an independent children’s lawyer and decided it was not necessary. </w:t>
      </w:r>
    </w:p>
    <w:p w:rsidRPr="00610137" w:rsidR="00740A25" w:rsidP="00740A25" w:rsidRDefault="00740A25" w14:paraId="3F63B439" w14:textId="77777777">
      <w:r>
        <w:t xml:space="preserve">In the cases brought to the Family Court to date, all the medical evidence has been called by parties supporting the interventions. While a variety of medical experts have been called, in each case only one witness from each relevant medical specialisation has given evidence. Frequently, it appears that some of these have been members of the treating team that has proposed the intervention. </w:t>
      </w:r>
    </w:p>
    <w:p w:rsidRPr="00610137" w:rsidR="00740A25" w:rsidP="00740A25" w:rsidRDefault="00740A25" w14:paraId="6F05B9A2" w14:textId="77777777">
      <w:r w:rsidRPr="00610137">
        <w:t xml:space="preserve">The lack of a contradictor </w:t>
      </w:r>
      <w:r>
        <w:t>or independent children’s lawyer</w:t>
      </w:r>
      <w:r w:rsidRPr="00610137">
        <w:t xml:space="preserve"> has meant that there has been no-one to identify or call other expert witnesses who might express contrary views, no-one to cross-examine the witnesses before the court, and no-one to make independent submissions about the best interests of the child. </w:t>
      </w:r>
      <w:r>
        <w:t>I</w:t>
      </w:r>
      <w:r w:rsidRPr="00610137">
        <w:t xml:space="preserve">n </w:t>
      </w:r>
      <w:r w:rsidRPr="00610137">
        <w:rPr>
          <w:i/>
          <w:iCs/>
        </w:rPr>
        <w:t>Re Welfare of a Child A</w:t>
      </w:r>
      <w:r w:rsidRPr="00610137">
        <w:t xml:space="preserve">, </w:t>
      </w:r>
      <w:r>
        <w:t>the judge</w:t>
      </w:r>
      <w:r w:rsidRPr="00610137">
        <w:t xml:space="preserve"> observed:</w:t>
      </w:r>
    </w:p>
    <w:p w:rsidRPr="004168E2" w:rsidR="00740A25" w:rsidP="00740A25" w:rsidRDefault="00740A25" w14:paraId="49AF6E44" w14:textId="77777777">
      <w:pPr>
        <w:ind w:left="720"/>
        <w:rPr>
          <w:sz w:val="22"/>
          <w:szCs w:val="22"/>
          <w:lang w:val="en-US"/>
        </w:rPr>
      </w:pPr>
      <w:r w:rsidRPr="004168E2">
        <w:rPr>
          <w:sz w:val="22"/>
          <w:szCs w:val="22"/>
          <w:lang w:val="en-US"/>
        </w:rPr>
        <w:t>A difficulty which I have faced in this matter has been that I have not had the benefit of anybody to put the contrary view to the court. …</w:t>
      </w:r>
    </w:p>
    <w:p w:rsidRPr="00610137" w:rsidR="00740A25" w:rsidP="00740A25" w:rsidRDefault="00740A25" w14:paraId="6A260EA0" w14:textId="77777777">
      <w:pPr>
        <w:ind w:left="720"/>
      </w:pPr>
      <w:r w:rsidRPr="004168E2">
        <w:rPr>
          <w:sz w:val="22"/>
          <w:szCs w:val="22"/>
          <w:lang w:val="en-US"/>
        </w:rPr>
        <w:t>While it is reasonable to infer that the apparent non-existence of a person to argue against the granting of the relief sought by the mother leads to the conclusion that the case for the relief is strong, I must comment that it would have been most helpful to hear a contrary argument put</w:t>
      </w:r>
      <w:r w:rsidRPr="00610137">
        <w:rPr>
          <w:sz w:val="20"/>
          <w:szCs w:val="20"/>
          <w:lang w:val="en-US"/>
        </w:rPr>
        <w:t>.</w:t>
      </w:r>
      <w:r w:rsidRPr="0117CC5D">
        <w:rPr>
          <w:rStyle w:val="EndnoteReference"/>
          <w:lang w:val="en-US"/>
        </w:rPr>
        <w:endnoteReference w:id="574"/>
      </w:r>
    </w:p>
    <w:p w:rsidRPr="00610137" w:rsidR="00740A25" w:rsidP="762EBC8D" w:rsidRDefault="6452EEE5" w14:paraId="510C0DDB" w14:textId="3E386C9C">
      <w:pPr>
        <w:keepNext/>
        <w:rPr>
          <w:i/>
          <w:iCs/>
        </w:rPr>
      </w:pPr>
      <w:r w:rsidRPr="762EBC8D">
        <w:rPr>
          <w:i/>
          <w:iCs/>
        </w:rPr>
        <w:t>Inadequate</w:t>
      </w:r>
      <w:r w:rsidRPr="762EBC8D" w:rsidR="00740A25">
        <w:rPr>
          <w:i/>
          <w:iCs/>
        </w:rPr>
        <w:t xml:space="preserve"> consideration of future possibilities </w:t>
      </w:r>
    </w:p>
    <w:p w:rsidRPr="00610137" w:rsidR="00740A25" w:rsidP="00740A25" w:rsidRDefault="00740A25" w14:paraId="567C5C74" w14:textId="77777777">
      <w:r w:rsidRPr="00610137">
        <w:t xml:space="preserve">In some cases, inadequate consideration appears to have been given to options to preserve future fertility, or the different possibilities for adult sexuality, gender identity and relationships. </w:t>
      </w:r>
    </w:p>
    <w:p w:rsidRPr="00610137" w:rsidR="00740A25" w:rsidP="00740A25" w:rsidRDefault="00740A25" w14:paraId="7BF3BC6F" w14:textId="15AB7697">
      <w:r>
        <w:t xml:space="preserve">For example, in </w:t>
      </w:r>
      <w:r w:rsidRPr="792F2983">
        <w:rPr>
          <w:i/>
          <w:iCs/>
        </w:rPr>
        <w:t>Re Carla</w:t>
      </w:r>
      <w:r>
        <w:t xml:space="preserve">, the judgment considered the fact that gonadectomy would remove any chance of fertility for Carla but rejected the option of relocating Carla’s gonads outside the abdominal cavity due to potential ‘adverse psychological consequences’. The ramifications of this approach on future possibilities </w:t>
      </w:r>
      <w:r w:rsidR="1393D646">
        <w:t>w</w:t>
      </w:r>
      <w:r w:rsidR="56E61270">
        <w:t>ere</w:t>
      </w:r>
      <w:r>
        <w:t xml:space="preserve"> not discussed. </w:t>
      </w:r>
    </w:p>
    <w:p w:rsidRPr="00610137" w:rsidR="00740A25" w:rsidRDefault="00740A25" w14:paraId="5090D68C" w14:textId="77777777">
      <w:r w:rsidRPr="00610137">
        <w:lastRenderedPageBreak/>
        <w:t xml:space="preserve">In </w:t>
      </w:r>
      <w:r w:rsidRPr="00610137">
        <w:rPr>
          <w:i/>
          <w:iCs/>
        </w:rPr>
        <w:t>Re Carla</w:t>
      </w:r>
      <w:r w:rsidRPr="00610137">
        <w:t xml:space="preserve"> and </w:t>
      </w:r>
      <w:r w:rsidRPr="00610137">
        <w:rPr>
          <w:i/>
          <w:iCs/>
        </w:rPr>
        <w:t>Re Lesley</w:t>
      </w:r>
      <w:r w:rsidRPr="00610137">
        <w:t>,</w:t>
      </w:r>
      <w:r w:rsidRPr="00610137">
        <w:rPr>
          <w:i/>
          <w:iCs/>
        </w:rPr>
        <w:t xml:space="preserve"> </w:t>
      </w:r>
      <w:r>
        <w:t xml:space="preserve">the reasons of the Court </w:t>
      </w:r>
      <w:r w:rsidRPr="00610137">
        <w:t xml:space="preserve">appear to have been based in part on an unspoken assumption that the child in question would, or should, be </w:t>
      </w:r>
      <w:r>
        <w:t>heterosexual</w:t>
      </w:r>
      <w:r w:rsidRPr="00610137">
        <w:t xml:space="preserve">. In </w:t>
      </w:r>
      <w:r w:rsidRPr="00610137">
        <w:rPr>
          <w:i/>
          <w:iCs/>
        </w:rPr>
        <w:t>Re Carla</w:t>
      </w:r>
      <w:r w:rsidRPr="00610137">
        <w:t xml:space="preserve">, for example, the Court </w:t>
      </w:r>
      <w:r>
        <w:t>speculated that Carla may require other surgery in the future ‘to enable her vaginal cavity to have adequate capacity for sexual intercourse’.</w:t>
      </w:r>
      <w:r w:rsidRPr="0117CC5D">
        <w:rPr>
          <w:rStyle w:val="EndnoteReference"/>
        </w:rPr>
        <w:endnoteReference w:id="575"/>
      </w:r>
      <w:r w:rsidRPr="00C90BD0">
        <w:rPr>
          <w:sz w:val="20"/>
          <w:szCs w:val="20"/>
        </w:rPr>
        <w:t xml:space="preserve"> </w:t>
      </w:r>
      <w:r w:rsidRPr="00E60B34">
        <w:t>The Court also observed that if the surgical procedure were not undertaken, by leaving the gonads ‘in situ’, while preserving the potential of fertility with male gametes, this raised ‘other significant social and emotional complexities’, because ‘Carla identifies as a female and is likely to continue to do so’.</w:t>
      </w:r>
      <w:r w:rsidRPr="0117CC5D">
        <w:rPr>
          <w:rStyle w:val="EndnoteReference"/>
        </w:rPr>
        <w:endnoteReference w:id="576"/>
      </w:r>
      <w:r>
        <w:t xml:space="preserve"> </w:t>
      </w:r>
    </w:p>
    <w:p w:rsidRPr="00610137" w:rsidR="00740A25" w:rsidP="00740A25" w:rsidRDefault="00740A25" w14:paraId="5F83AC2C" w14:textId="3D3D4EAA">
      <w:pPr>
        <w:keepNext/>
        <w:rPr>
          <w:i/>
          <w:iCs/>
        </w:rPr>
      </w:pPr>
      <w:r w:rsidRPr="00610137">
        <w:rPr>
          <w:i/>
          <w:iCs/>
        </w:rPr>
        <w:t xml:space="preserve">Authorisation </w:t>
      </w:r>
      <w:r w:rsidR="009118A7">
        <w:rPr>
          <w:i/>
          <w:iCs/>
        </w:rPr>
        <w:t>inconsistent with precautionary principle</w:t>
      </w:r>
      <w:r w:rsidRPr="00610137">
        <w:rPr>
          <w:i/>
          <w:iCs/>
        </w:rPr>
        <w:t xml:space="preserve"> </w:t>
      </w:r>
    </w:p>
    <w:p w:rsidRPr="00610137" w:rsidR="00740A25" w:rsidP="00740A25" w:rsidRDefault="00740A25" w14:paraId="597102BA" w14:textId="77777777">
      <w:r w:rsidRPr="00610137">
        <w:t xml:space="preserve">Importantly, </w:t>
      </w:r>
      <w:r>
        <w:t>it</w:t>
      </w:r>
      <w:r w:rsidRPr="00610137">
        <w:t xml:space="preserve"> </w:t>
      </w:r>
      <w:r>
        <w:t>seems</w:t>
      </w:r>
      <w:r w:rsidRPr="00610137">
        <w:t xml:space="preserve"> that the Court may have authorised medical interventions where intervention</w:t>
      </w:r>
      <w:r>
        <w:t xml:space="preserve"> has not been a matter of medical necessity nor where a precautionary approach might have suggested deferring the intervention</w:t>
      </w:r>
      <w:r w:rsidRPr="00610137">
        <w:t xml:space="preserve">. In particular, the Court </w:t>
      </w:r>
      <w:r>
        <w:t>has given</w:t>
      </w:r>
      <w:r w:rsidRPr="00610137">
        <w:t xml:space="preserve"> significant weight to psychosocial factors</w:t>
      </w:r>
      <w:r>
        <w:t xml:space="preserve"> in making a ‘best interests’ assessment</w:t>
      </w:r>
      <w:r w:rsidRPr="00610137">
        <w:t xml:space="preserve">. For example, in </w:t>
      </w:r>
      <w:r w:rsidRPr="00610137">
        <w:rPr>
          <w:i/>
          <w:iCs/>
        </w:rPr>
        <w:t>Re Carla</w:t>
      </w:r>
      <w:r w:rsidRPr="00610137">
        <w:t>, the judge considered the fact that the child</w:t>
      </w:r>
      <w:r>
        <w:t>’s</w:t>
      </w:r>
      <w:r w:rsidRPr="00610137">
        <w:t xml:space="preserve"> pubertal development would have</w:t>
      </w:r>
      <w:r>
        <w:t xml:space="preserve"> been</w:t>
      </w:r>
      <w:r w:rsidRPr="00610137">
        <w:t xml:space="preserve"> delayed compared to her peers </w:t>
      </w:r>
      <w:r>
        <w:t>w</w:t>
      </w:r>
      <w:r w:rsidRPr="00610137">
        <w:t>as relevant to the need for intervention.</w:t>
      </w:r>
      <w:r w:rsidRPr="0117CC5D">
        <w:rPr>
          <w:rStyle w:val="EndnoteReference"/>
        </w:rPr>
        <w:endnoteReference w:id="577"/>
      </w:r>
      <w:r w:rsidRPr="00610137">
        <w:t xml:space="preserve">   </w:t>
      </w:r>
    </w:p>
    <w:p w:rsidR="00740A25" w:rsidP="00740A25" w:rsidRDefault="00740A25" w14:paraId="5F82853E" w14:textId="441B67D2">
      <w:r w:rsidRPr="00610137">
        <w:t xml:space="preserve">In </w:t>
      </w:r>
      <w:r w:rsidRPr="00610137">
        <w:rPr>
          <w:i/>
          <w:iCs/>
        </w:rPr>
        <w:t xml:space="preserve">Re Carla </w:t>
      </w:r>
      <w:r w:rsidRPr="003A3E7C">
        <w:t>and</w:t>
      </w:r>
      <w:r w:rsidRPr="00610137">
        <w:rPr>
          <w:i/>
          <w:iCs/>
        </w:rPr>
        <w:t xml:space="preserve"> Re Lesley</w:t>
      </w:r>
      <w:r w:rsidRPr="00610137">
        <w:t xml:space="preserve">, the judgments rely heavily on the assertion of each child’s future identity as a female, leading to a view that interventions to create female genitalia </w:t>
      </w:r>
      <w:r>
        <w:t>we</w:t>
      </w:r>
      <w:r w:rsidRPr="00610137">
        <w:t>re justified.</w:t>
      </w:r>
      <w:r w:rsidRPr="0117CC5D">
        <w:rPr>
          <w:rStyle w:val="EndnoteReference"/>
        </w:rPr>
        <w:endnoteReference w:id="578"/>
      </w:r>
      <w:r w:rsidRPr="006C2EE8">
        <w:rPr>
          <w:sz w:val="20"/>
          <w:szCs w:val="20"/>
        </w:rPr>
        <w:t xml:space="preserve"> </w:t>
      </w:r>
      <w:r w:rsidRPr="00610137">
        <w:t xml:space="preserve">In some cases, these factors have been intermixed with other factors that more clearly go to </w:t>
      </w:r>
      <w:r w:rsidRPr="00590516">
        <w:t>the assessment of the</w:t>
      </w:r>
      <w:r>
        <w:t xml:space="preserve"> </w:t>
      </w:r>
      <w:r w:rsidRPr="00610137">
        <w:t>child’s best interest</w:t>
      </w:r>
      <w:r>
        <w:t>s</w:t>
      </w:r>
      <w:r w:rsidRPr="00610137">
        <w:t xml:space="preserve"> </w:t>
      </w:r>
      <w:r>
        <w:t xml:space="preserve">viewed through a lens of medical necessity </w:t>
      </w:r>
      <w:r w:rsidRPr="00610137">
        <w:t xml:space="preserve">(such as a risk of cancer). These factors are sometimes conflated to a degree that it is difficult to determine whether the Court would have found that an intervention was warranted if only the factors supported by a robust evidence base were considered. In </w:t>
      </w:r>
      <w:r w:rsidRPr="00610137">
        <w:rPr>
          <w:i/>
          <w:iCs/>
        </w:rPr>
        <w:t>Re Carla</w:t>
      </w:r>
      <w:r w:rsidRPr="00610137">
        <w:t xml:space="preserve"> and </w:t>
      </w:r>
      <w:r w:rsidRPr="00610137">
        <w:rPr>
          <w:i/>
          <w:iCs/>
        </w:rPr>
        <w:t>Re Lesley</w:t>
      </w:r>
      <w:r w:rsidRPr="00610137">
        <w:t xml:space="preserve">, for example, it is unclear to what degree the Court’s reasoning was based on the need to manage a risk of cancer, and to what degree it was based on the perceived risks of </w:t>
      </w:r>
      <w:r>
        <w:t xml:space="preserve">future </w:t>
      </w:r>
      <w:r w:rsidRPr="00610137">
        <w:t>psychological distress.</w:t>
      </w:r>
      <w:r w:rsidRPr="0117CC5D">
        <w:rPr>
          <w:rStyle w:val="EndnoteReference"/>
        </w:rPr>
        <w:endnoteReference w:id="579"/>
      </w:r>
      <w:r w:rsidRPr="00610137">
        <w:t xml:space="preserve"> </w:t>
      </w:r>
    </w:p>
    <w:p w:rsidRPr="00E63C76" w:rsidR="00D9727C" w:rsidP="00D9727C" w:rsidRDefault="00D9727C" w14:paraId="19D58475" w14:textId="20CAC58E">
      <w:r w:rsidRPr="00E63C76">
        <w:t xml:space="preserve">Leaving aside the complication of the ‘therapeutic/non-therapeutic’ threshold, many medical interventions modifying sex characteristics involve factors suggesting they </w:t>
      </w:r>
      <w:r>
        <w:t>share charac</w:t>
      </w:r>
      <w:r w:rsidR="004B35A5">
        <w:t>t</w:t>
      </w:r>
      <w:r>
        <w:t>eristics with</w:t>
      </w:r>
      <w:r w:rsidRPr="00E63C76">
        <w:t xml:space="preserve"> special medical procedures. Applying the reasoning in </w:t>
      </w:r>
      <w:r w:rsidRPr="00E63C76">
        <w:rPr>
          <w:i/>
          <w:iCs/>
        </w:rPr>
        <w:t>Marion’s case</w:t>
      </w:r>
      <w:r w:rsidRPr="00E63C76">
        <w:t xml:space="preserve">: </w:t>
      </w:r>
    </w:p>
    <w:p w:rsidRPr="00E63C76" w:rsidR="00D9727C" w:rsidP="00D9727C" w:rsidRDefault="00D9727C" w14:paraId="2F474CE7" w14:textId="77777777">
      <w:pPr>
        <w:pStyle w:val="ListParagraph"/>
        <w:numPr>
          <w:ilvl w:val="0"/>
          <w:numId w:val="64"/>
        </w:numPr>
      </w:pPr>
      <w:r w:rsidRPr="00E63C76">
        <w:t>Many such interventions are invasive and frequently irreversible.</w:t>
      </w:r>
    </w:p>
    <w:p w:rsidR="00D9727C" w:rsidP="00D9727C" w:rsidRDefault="00D9727C" w14:paraId="5D5E0FEF" w14:textId="77777777">
      <w:pPr>
        <w:pStyle w:val="ListParagraph"/>
        <w:numPr>
          <w:ilvl w:val="0"/>
          <w:numId w:val="64"/>
        </w:numPr>
      </w:pPr>
      <w:r>
        <w:lastRenderedPageBreak/>
        <w:t>In most cases, the interventions are proposed in relation to infants who are not able to give consent and so there is a significant risk of making the wrong decision about whether the procedure is one that the child would consent to, if able.</w:t>
      </w:r>
    </w:p>
    <w:p w:rsidRPr="00E63C76" w:rsidR="00D9727C" w:rsidP="00D9727C" w:rsidRDefault="00D9727C" w14:paraId="7C9631BE" w14:textId="77777777">
      <w:pPr>
        <w:pStyle w:val="ListParagraph"/>
        <w:numPr>
          <w:ilvl w:val="0"/>
          <w:numId w:val="64"/>
        </w:numPr>
      </w:pPr>
      <w:r>
        <w:t xml:space="preserve">Making the wrong decision carries significant risks. There is a real lack of data about many variations, and the long-term consequences of various interventions. </w:t>
      </w:r>
    </w:p>
    <w:p w:rsidRPr="00E63C76" w:rsidR="00D9727C" w:rsidP="00D9727C" w:rsidRDefault="00D9727C" w14:paraId="28FF31C6" w14:textId="77777777">
      <w:pPr>
        <w:pStyle w:val="ListParagraph"/>
        <w:numPr>
          <w:ilvl w:val="0"/>
          <w:numId w:val="64"/>
        </w:numPr>
      </w:pPr>
      <w:r w:rsidRPr="00E63C76">
        <w:t xml:space="preserve">The consequences of a wrong decision can be particularly </w:t>
      </w:r>
      <w:r>
        <w:t>serious</w:t>
      </w:r>
      <w:r w:rsidRPr="00E63C76">
        <w:t>, such as</w:t>
      </w:r>
      <w:r>
        <w:t xml:space="preserve"> the</w:t>
      </w:r>
      <w:r w:rsidRPr="00E63C76">
        <w:t xml:space="preserve"> loss of future fertility, chronic pain and severe mental distress. People with lived experience of interventions said they had suffered significant physical and mental impacts from surgical and hormonal interventions.</w:t>
      </w:r>
      <w:r w:rsidRPr="0117CC5D">
        <w:rPr>
          <w:rStyle w:val="EndnoteReference"/>
        </w:rPr>
        <w:endnoteReference w:id="580"/>
      </w:r>
      <w:r w:rsidRPr="00E63C76">
        <w:t xml:space="preserve">   </w:t>
      </w:r>
    </w:p>
    <w:p w:rsidRPr="0041006D" w:rsidR="00D9727C" w:rsidP="00D9727C" w:rsidRDefault="00D9727C" w14:paraId="61253432" w14:textId="77777777">
      <w:pPr>
        <w:pStyle w:val="ListParagraph"/>
        <w:numPr>
          <w:ilvl w:val="0"/>
          <w:numId w:val="64"/>
        </w:numPr>
      </w:pPr>
      <w:r w:rsidRPr="00E63C76">
        <w:t xml:space="preserve">Decision making in this context is highly medicalised. Doctors are intimately involved in presenting the available options to parents, which circumscribe the possible decisions. Decision making sometimes takes place within multidisciplinary teams, but these are largely composed of clinicians. However, decisions are not based only on </w:t>
      </w:r>
      <w:r w:rsidRPr="0041006D">
        <w:t xml:space="preserve">strictly medical factors but are </w:t>
      </w:r>
      <w:r>
        <w:t xml:space="preserve">also </w:t>
      </w:r>
      <w:r w:rsidRPr="0041006D">
        <w:t xml:space="preserve">influenced by cultural and psychosocial factors. </w:t>
      </w:r>
    </w:p>
    <w:p w:rsidRPr="00610137" w:rsidR="00DC106E" w:rsidP="00740A25" w:rsidRDefault="00D9727C" w14:paraId="41223C43" w14:textId="0152182C">
      <w:r w:rsidRPr="0041006D">
        <w:t xml:space="preserve">These factors suggest medical interventions modifying variations in sex characteristics should generally be subject to some form of </w:t>
      </w:r>
      <w:r>
        <w:t>independent</w:t>
      </w:r>
      <w:r w:rsidRPr="0041006D">
        <w:t xml:space="preserve"> oversight or authorisation</w:t>
      </w:r>
      <w:r>
        <w:t xml:space="preserve"> and with the human rights framework of principles embedded</w:t>
      </w:r>
      <w:r w:rsidRPr="0041006D">
        <w:t>.</w:t>
      </w:r>
    </w:p>
    <w:p w:rsidRPr="00610137" w:rsidR="00740A25" w:rsidP="00257949" w:rsidRDefault="00740A25" w14:paraId="2D3E760A" w14:textId="6DDB30F5">
      <w:pPr>
        <w:pStyle w:val="AHRCHeading2"/>
      </w:pPr>
      <w:bookmarkStart w:name="_Toc85541468" w:id="472"/>
      <w:r>
        <w:t>Concerns about current o</w:t>
      </w:r>
      <w:r w:rsidRPr="03223B69">
        <w:rPr>
          <w:rFonts w:cs="Open Sans"/>
        </w:rPr>
        <w:t xml:space="preserve">versight </w:t>
      </w:r>
      <w:r w:rsidR="00AD74E1">
        <w:rPr>
          <w:rFonts w:cs="Open Sans"/>
        </w:rPr>
        <w:t>mechanisms</w:t>
      </w:r>
      <w:bookmarkEnd w:id="472"/>
      <w:r w:rsidR="00AD74E1">
        <w:rPr>
          <w:rFonts w:cs="Open Sans"/>
        </w:rPr>
        <w:t xml:space="preserve"> </w:t>
      </w:r>
    </w:p>
    <w:p w:rsidRPr="00610137" w:rsidR="00740A25" w:rsidP="00740A25" w:rsidRDefault="00740A25" w14:paraId="5043214B" w14:textId="77777777">
      <w:r>
        <w:t xml:space="preserve">This section discusses more general problems with current oversight of medical interventions for people born with variations in sex characteristics. An underlying concern is that current </w:t>
      </w:r>
      <w:r w:rsidRPr="009D05DF">
        <w:t>law allows parental consent or court authorisation</w:t>
      </w:r>
      <w:r>
        <w:t xml:space="preserve"> for interventions that are not medically necessary under international human rights </w:t>
      </w:r>
      <w:r>
        <w:lastRenderedPageBreak/>
        <w:t xml:space="preserve">law. Options and recommendations for law reform to address this problem are discussed later in this chapter. </w:t>
      </w:r>
    </w:p>
    <w:p w:rsidRPr="00610137" w:rsidR="00740A25" w:rsidP="00723DD0" w:rsidRDefault="0071546E" w14:paraId="3A6114E9" w14:textId="3D3F1763">
      <w:pPr>
        <w:pStyle w:val="Heading3"/>
        <w:numPr>
          <w:ilvl w:val="2"/>
          <w:numId w:val="65"/>
        </w:numPr>
        <w:tabs>
          <w:tab w:val="clear" w:pos="8222"/>
          <w:tab w:val="num" w:pos="7371"/>
        </w:tabs>
        <w:ind w:left="851"/>
      </w:pPr>
      <w:bookmarkStart w:name="_Toc85541469" w:id="473"/>
      <w:r>
        <w:t>Stakeholder p</w:t>
      </w:r>
      <w:r w:rsidR="00740A25">
        <w:t xml:space="preserve">erspectives </w:t>
      </w:r>
      <w:r>
        <w:t>about Family Court</w:t>
      </w:r>
      <w:r w:rsidRPr="00610137" w:rsidR="00740A25">
        <w:t xml:space="preserve"> oversight</w:t>
      </w:r>
      <w:bookmarkEnd w:id="473"/>
    </w:p>
    <w:p w:rsidRPr="00610137" w:rsidR="00740A25" w:rsidP="00740A25" w:rsidRDefault="00740A25" w14:paraId="396C003E" w14:textId="77777777">
      <w:pPr>
        <w:rPr>
          <w:rFonts w:cs="Open Sans"/>
        </w:rPr>
      </w:pPr>
      <w:r w:rsidRPr="792F2983">
        <w:rPr>
          <w:rFonts w:cs="Open Sans"/>
        </w:rPr>
        <w:t xml:space="preserve">In general, medical practitioners and parents supported the current oversight framework, although some practitioners indicated that, for at least some interventions, improved oversight would be beneficial. </w:t>
      </w:r>
    </w:p>
    <w:p w:rsidRPr="00610137" w:rsidR="00740A25" w:rsidP="00740A25" w:rsidRDefault="00740A25" w14:paraId="7F521CF1" w14:textId="77777777">
      <w:pPr>
        <w:rPr>
          <w:rFonts w:cs="Open Sans"/>
        </w:rPr>
      </w:pPr>
      <w:r w:rsidRPr="792F2983">
        <w:rPr>
          <w:rFonts w:cs="Open Sans"/>
        </w:rPr>
        <w:t xml:space="preserve">People with lived experience, and civil society organisations, provided powerful accounts of the impacts that interventions under the current framework have had on their lives, and advocated for a new model of independent oversight to ensure interventions are conducted only where medically necessary. </w:t>
      </w:r>
    </w:p>
    <w:p w:rsidRPr="00610137" w:rsidR="00740A25" w:rsidP="00740A25" w:rsidRDefault="00740A25" w14:paraId="0C2D4244" w14:textId="77777777">
      <w:pPr>
        <w:rPr>
          <w:rFonts w:cs="Open Sans"/>
        </w:rPr>
      </w:pPr>
      <w:r w:rsidRPr="00551957">
        <w:rPr>
          <w:rFonts w:cs="Open Sans"/>
        </w:rPr>
        <w:t>Such an approach reflects the medical necessity principle.</w:t>
      </w:r>
    </w:p>
    <w:p w:rsidRPr="00610137" w:rsidR="00740A25" w:rsidP="00740A25" w:rsidRDefault="00740A25" w14:paraId="3F53CFCB" w14:textId="77777777">
      <w:pPr>
        <w:rPr>
          <w:rFonts w:cs="Open Sans"/>
        </w:rPr>
      </w:pPr>
      <w:r w:rsidRPr="00610137">
        <w:rPr>
          <w:rFonts w:cs="Open Sans"/>
        </w:rPr>
        <w:t xml:space="preserve">Parents and medical practitioners emphasised their concern to make decisions that are in the best interests of children. The Commission recognises the good intentions of </w:t>
      </w:r>
      <w:r>
        <w:rPr>
          <w:rFonts w:cs="Open Sans"/>
        </w:rPr>
        <w:t>all</w:t>
      </w:r>
      <w:r w:rsidRPr="00610137">
        <w:rPr>
          <w:rFonts w:cs="Open Sans"/>
        </w:rPr>
        <w:t xml:space="preserve"> stakeholders.</w:t>
      </w:r>
    </w:p>
    <w:p w:rsidRPr="00610137" w:rsidR="00740A25" w:rsidP="00740A25" w:rsidRDefault="00740A25" w14:paraId="6F3889FB" w14:textId="77777777">
      <w:r w:rsidRPr="00610137">
        <w:t>People with lived experience, support groups</w:t>
      </w:r>
      <w:r>
        <w:t>,</w:t>
      </w:r>
      <w:r w:rsidRPr="00610137">
        <w:t xml:space="preserve"> advocates and some clinicians considered that the Family Court has not provided effective oversight of medical interventions, in light of decisions to date regarding intersex infants, and </w:t>
      </w:r>
      <w:r>
        <w:t xml:space="preserve">they expressed concern that the Court </w:t>
      </w:r>
      <w:r w:rsidRPr="00610137">
        <w:t>is not suited to play this role</w:t>
      </w:r>
      <w:r>
        <w:t>.</w:t>
      </w:r>
      <w:r w:rsidRPr="007B5364">
        <w:rPr>
          <w:sz w:val="20"/>
          <w:szCs w:val="20"/>
          <w:vertAlign w:val="superscript"/>
        </w:rPr>
        <w:endnoteReference w:id="581"/>
      </w:r>
      <w:r w:rsidRPr="00610137">
        <w:t xml:space="preserve"> A range of reasons w</w:t>
      </w:r>
      <w:r>
        <w:t>ere</w:t>
      </w:r>
      <w:r w:rsidRPr="00610137">
        <w:t xml:space="preserve"> given, many of which are consistent with the Commission’s observations on Family Court cases.</w:t>
      </w:r>
    </w:p>
    <w:p w:rsidRPr="00610137" w:rsidR="00740A25" w:rsidP="00740A25" w:rsidRDefault="00740A25" w14:paraId="67125B91" w14:textId="77777777">
      <w:pPr>
        <w:keepNext/>
        <w:rPr>
          <w:i/>
          <w:iCs/>
        </w:rPr>
      </w:pPr>
      <w:r w:rsidRPr="00610137">
        <w:rPr>
          <w:i/>
          <w:iCs/>
        </w:rPr>
        <w:t>Lack of appropriate expertise</w:t>
      </w:r>
    </w:p>
    <w:p w:rsidRPr="00610137" w:rsidR="00740A25" w:rsidP="00740A25" w:rsidRDefault="00740A25" w14:paraId="464FAD68" w14:textId="77777777">
      <w:pPr>
        <w:rPr>
          <w:rFonts w:cs="Open Sans"/>
        </w:rPr>
      </w:pPr>
      <w:r w:rsidRPr="00610137">
        <w:rPr>
          <w:rFonts w:cs="Open Sans"/>
        </w:rPr>
        <w:t xml:space="preserve">A hospital multi-disciplinary team </w:t>
      </w:r>
      <w:r w:rsidRPr="00610137">
        <w:t>stated that the Family Court does not have the relevant expertise to independently interrogate and assess the medical evidence adduced before it. The team said that the Court tended to simply endorse the medical evidence brought before it.</w:t>
      </w:r>
      <w:r w:rsidRPr="0117CC5D">
        <w:rPr>
          <w:rStyle w:val="EndnoteReference"/>
        </w:rPr>
        <w:endnoteReference w:id="582"/>
      </w:r>
      <w:r w:rsidRPr="006C2EE8">
        <w:rPr>
          <w:sz w:val="20"/>
          <w:szCs w:val="20"/>
        </w:rPr>
        <w:t xml:space="preserve"> </w:t>
      </w:r>
    </w:p>
    <w:p w:rsidRPr="00610137" w:rsidR="00740A25" w:rsidP="00740A25" w:rsidRDefault="00740A25" w14:paraId="79BC3F8D" w14:textId="77777777">
      <w:r w:rsidRPr="00610137">
        <w:t>A clinical stakeholder argued that the Court is not suited to assessing optimal clinical management based on written reports or affidavits</w:t>
      </w:r>
      <w:r>
        <w:t>:</w:t>
      </w:r>
      <w:r w:rsidRPr="00610137">
        <w:t xml:space="preserve">  </w:t>
      </w:r>
    </w:p>
    <w:p w:rsidRPr="00610137" w:rsidR="00740A25" w:rsidP="00740A25" w:rsidRDefault="00740A25" w14:paraId="45DEFD15" w14:textId="77777777">
      <w:pPr>
        <w:ind w:left="720"/>
        <w:rPr>
          <w:sz w:val="22"/>
          <w:szCs w:val="22"/>
        </w:rPr>
      </w:pPr>
      <w:r w:rsidRPr="00610137">
        <w:rPr>
          <w:sz w:val="22"/>
          <w:szCs w:val="22"/>
        </w:rPr>
        <w:t xml:space="preserve">The court relies heavily on the information provided to it, which may differ in different instances. Specialist multi-disciplinary teams may vary in their opinion </w:t>
      </w:r>
      <w:r w:rsidRPr="00610137">
        <w:rPr>
          <w:sz w:val="22"/>
          <w:szCs w:val="22"/>
        </w:rPr>
        <w:lastRenderedPageBreak/>
        <w:t>as to what constitutes optimal management, hence what is recommended to the court.</w:t>
      </w:r>
      <w:r w:rsidRPr="00610137">
        <w:rPr>
          <w:rStyle w:val="EndnoteReference"/>
          <w:sz w:val="22"/>
          <w:szCs w:val="22"/>
        </w:rPr>
        <w:endnoteReference w:id="583"/>
      </w:r>
    </w:p>
    <w:p w:rsidRPr="00610137" w:rsidR="00740A25" w:rsidP="00740A25" w:rsidRDefault="00740A25" w14:paraId="169FE805" w14:textId="77777777">
      <w:r w:rsidRPr="00610137">
        <w:t>They stated that, as a result, the decisions of the Court have resulted in different outcomes in similar clinical scenarios.</w:t>
      </w:r>
    </w:p>
    <w:p w:rsidRPr="00610137" w:rsidR="00740A25" w:rsidP="00740A25" w:rsidRDefault="00740A25" w14:paraId="0F94D60B" w14:textId="77777777">
      <w:r w:rsidRPr="00610137">
        <w:t>Others also argued that the Court is not suited to dealing with complex and sensitive matters involving children’s medical care.</w:t>
      </w:r>
      <w:r w:rsidRPr="00E24B74">
        <w:rPr>
          <w:sz w:val="20"/>
          <w:szCs w:val="20"/>
          <w:vertAlign w:val="superscript"/>
        </w:rPr>
        <w:endnoteReference w:id="584"/>
      </w:r>
      <w:r w:rsidRPr="00610137">
        <w:t xml:space="preserve"> One legal academic with expertise in family law argued that there should be independent oversight over clinical decisions, but not in the form of Family Court authorisation. They stated that Family Court judges may ‘lack knowledge necessary to assess these cases and may be inclined to defer to doctors’.</w:t>
      </w:r>
      <w:r w:rsidRPr="0117CC5D">
        <w:rPr>
          <w:rStyle w:val="EndnoteReference"/>
        </w:rPr>
        <w:endnoteReference w:id="585"/>
      </w:r>
      <w:r w:rsidRPr="00610137">
        <w:t xml:space="preserve"> </w:t>
      </w:r>
    </w:p>
    <w:p w:rsidRPr="00610137" w:rsidR="00740A25" w:rsidP="00374091" w:rsidRDefault="1E3CBC91" w14:paraId="5BE42FBF" w14:textId="08EE616F">
      <w:pPr>
        <w:spacing w:line="259" w:lineRule="auto"/>
      </w:pPr>
      <w:r>
        <w:t>A person born with variations in sex characteristics said that they believed the Family Court is</w:t>
      </w:r>
    </w:p>
    <w:p w:rsidRPr="00610137" w:rsidR="00740A25" w:rsidP="00740A25" w:rsidRDefault="00740A25" w14:paraId="5C08A4BA" w14:textId="77777777">
      <w:pPr>
        <w:ind w:left="720"/>
        <w:rPr>
          <w:sz w:val="22"/>
          <w:szCs w:val="22"/>
        </w:rPr>
      </w:pPr>
      <w:r w:rsidRPr="00610137">
        <w:rPr>
          <w:sz w:val="22"/>
          <w:szCs w:val="22"/>
        </w:rPr>
        <w:t>not equipped to handle the complexity of intersex children and infants, nor do they have the knowledge and expertise to make a decision, given that the medical establishment can hold far more weight than what intersex support groups have.</w:t>
      </w:r>
      <w:r w:rsidRPr="00695CB4">
        <w:rPr>
          <w:sz w:val="20"/>
          <w:szCs w:val="20"/>
          <w:vertAlign w:val="superscript"/>
        </w:rPr>
        <w:endnoteReference w:id="586"/>
      </w:r>
    </w:p>
    <w:p w:rsidRPr="00610137" w:rsidR="00740A25" w:rsidP="00740A25" w:rsidRDefault="00740A25" w14:paraId="52A45474" w14:textId="77777777">
      <w:pPr>
        <w:keepNext/>
        <w:rPr>
          <w:i/>
          <w:iCs/>
        </w:rPr>
      </w:pPr>
      <w:r w:rsidRPr="00610137">
        <w:rPr>
          <w:i/>
          <w:iCs/>
        </w:rPr>
        <w:t>Absence of contradictor</w:t>
      </w:r>
      <w:r>
        <w:rPr>
          <w:i/>
          <w:iCs/>
        </w:rPr>
        <w:t xml:space="preserve"> or independent children’s lawyer</w:t>
      </w:r>
    </w:p>
    <w:p w:rsidRPr="00610137" w:rsidR="00740A25" w:rsidP="00740A25" w:rsidRDefault="00740A25" w14:paraId="0548BAAA" w14:textId="77777777">
      <w:r w:rsidRPr="00610137">
        <w:t xml:space="preserve">Stakeholders observed that </w:t>
      </w:r>
      <w:r>
        <w:t xml:space="preserve">almost </w:t>
      </w:r>
      <w:r w:rsidRPr="00610137">
        <w:t xml:space="preserve">all relevant Family Court cases to date have proceeded with the consent of the parties and without a contradictor or </w:t>
      </w:r>
      <w:r>
        <w:t>i</w:t>
      </w:r>
      <w:r w:rsidRPr="00610137">
        <w:t xml:space="preserve">ndependent </w:t>
      </w:r>
      <w:r>
        <w:t>c</w:t>
      </w:r>
      <w:r w:rsidRPr="00610137">
        <w:t xml:space="preserve">hildren’s </w:t>
      </w:r>
      <w:r>
        <w:t>l</w:t>
      </w:r>
      <w:r w:rsidRPr="00610137">
        <w:t>awyer.</w:t>
      </w:r>
      <w:r w:rsidRPr="00695CB4">
        <w:rPr>
          <w:sz w:val="20"/>
          <w:szCs w:val="20"/>
          <w:vertAlign w:val="superscript"/>
        </w:rPr>
        <w:endnoteReference w:id="587"/>
      </w:r>
      <w:r w:rsidRPr="00610137">
        <w:t xml:space="preserve"> This means that submissions in favour of intervention </w:t>
      </w:r>
      <w:r>
        <w:t>may</w:t>
      </w:r>
      <w:r w:rsidRPr="00610137">
        <w:t xml:space="preserve"> not adequately </w:t>
      </w:r>
      <w:r>
        <w:t>be</w:t>
      </w:r>
      <w:r w:rsidRPr="00610137">
        <w:t xml:space="preserve"> interrogated or challenged, and that there is frequently no</w:t>
      </w:r>
      <w:r>
        <w:t>-</w:t>
      </w:r>
      <w:r w:rsidRPr="00610137">
        <w:t>one to advocate independently for the best interests of the child</w:t>
      </w:r>
      <w:r>
        <w:t>, particularly as viewed through the medical necessity and precautionary principles</w:t>
      </w:r>
      <w:r w:rsidRPr="00610137">
        <w:t>.</w:t>
      </w:r>
    </w:p>
    <w:p w:rsidRPr="00610137" w:rsidR="00740A25" w:rsidP="00740A25" w:rsidRDefault="00740A25" w14:paraId="522DBB09" w14:textId="77777777">
      <w:pPr>
        <w:keepNext/>
        <w:rPr>
          <w:i/>
          <w:iCs/>
        </w:rPr>
      </w:pPr>
      <w:r w:rsidRPr="00610137">
        <w:rPr>
          <w:i/>
          <w:iCs/>
        </w:rPr>
        <w:t xml:space="preserve">Absence of clinical consensus </w:t>
      </w:r>
    </w:p>
    <w:p w:rsidRPr="00610137" w:rsidR="00740A25" w:rsidP="00740A25" w:rsidRDefault="00740A25" w14:paraId="3F6D39B6" w14:textId="77777777">
      <w:r w:rsidRPr="00610137">
        <w:rPr>
          <w:lang w:val="en-US"/>
        </w:rPr>
        <w:t>The Australasian Paediatric Endocrine Group</w:t>
      </w:r>
      <w:r w:rsidRPr="00610137" w:rsidDel="009F4454">
        <w:rPr>
          <w:lang w:val="en-US"/>
        </w:rPr>
        <w:t xml:space="preserve"> </w:t>
      </w:r>
      <w:r w:rsidRPr="00610137">
        <w:rPr>
          <w:lang w:val="en-US"/>
        </w:rPr>
        <w:t xml:space="preserve">said </w:t>
      </w:r>
      <w:r w:rsidRPr="00610137">
        <w:t xml:space="preserve">that evidence of optimal management for some variations is too sparse or of insufficient probative value to be tendered in evidence before a </w:t>
      </w:r>
      <w:r>
        <w:t>C</w:t>
      </w:r>
      <w:r w:rsidRPr="00610137">
        <w:t xml:space="preserve">ourt. They stated </w:t>
      </w:r>
      <w:r w:rsidRPr="00610137">
        <w:rPr>
          <w:lang w:val="en-US"/>
        </w:rPr>
        <w:t xml:space="preserve">that optimal management in a significant number of cases is complex and difficult to distil in </w:t>
      </w:r>
      <w:r w:rsidRPr="00610137">
        <w:rPr>
          <w:lang w:val="en-US"/>
        </w:rPr>
        <w:lastRenderedPageBreak/>
        <w:t xml:space="preserve">a court report or affidavit to offer comprehensive advice to the Court. </w:t>
      </w:r>
      <w:r w:rsidRPr="00610137">
        <w:t>This stakeholder did not suggest that this lack of evidence led to clinicians being unable to form opinions about the best course of treatment.</w:t>
      </w:r>
      <w:r w:rsidRPr="00904E3A">
        <w:rPr>
          <w:sz w:val="20"/>
          <w:szCs w:val="20"/>
          <w:vertAlign w:val="superscript"/>
        </w:rPr>
        <w:endnoteReference w:id="588"/>
      </w:r>
    </w:p>
    <w:p w:rsidRPr="00610137" w:rsidR="00740A25" w:rsidP="00740A25" w:rsidRDefault="00740A25" w14:paraId="5C4BD51B" w14:textId="77777777">
      <w:pPr>
        <w:keepNext/>
        <w:rPr>
          <w:i/>
          <w:iCs/>
        </w:rPr>
      </w:pPr>
      <w:r w:rsidRPr="00610137">
        <w:rPr>
          <w:i/>
          <w:iCs/>
        </w:rPr>
        <w:t>Lack of community confidence</w:t>
      </w:r>
    </w:p>
    <w:p w:rsidRPr="00610137" w:rsidR="00740A25" w:rsidP="00740A25" w:rsidRDefault="00740A25" w14:paraId="643B4C6A" w14:textId="77777777">
      <w:r w:rsidRPr="00610137">
        <w:t>Civil society organisations and people born with variations in sex characteristics indicated they did not have confidence that the Family Court will make decisions consistent with human rights. Some stakeholders with lived experience expressed strong views that the Court has let down people born with variations in sex characteristics.</w:t>
      </w:r>
      <w:r w:rsidRPr="00635699">
        <w:rPr>
          <w:sz w:val="20"/>
          <w:szCs w:val="20"/>
          <w:vertAlign w:val="superscript"/>
        </w:rPr>
        <w:endnoteReference w:id="589"/>
      </w:r>
      <w:r w:rsidRPr="00610137">
        <w:t xml:space="preserve"> Stakeholders said that this was partly due to the Court’s reliance on medical evidence and the lack of reference to other sources of expertise.</w:t>
      </w:r>
      <w:r w:rsidRPr="00635699">
        <w:rPr>
          <w:sz w:val="20"/>
          <w:szCs w:val="20"/>
          <w:vertAlign w:val="superscript"/>
        </w:rPr>
        <w:endnoteReference w:id="590"/>
      </w:r>
      <w:r w:rsidRPr="00610137">
        <w:t xml:space="preserve"> </w:t>
      </w:r>
    </w:p>
    <w:p w:rsidRPr="00610137" w:rsidR="00740A25" w:rsidP="00740A25" w:rsidRDefault="00740A25" w14:paraId="51EF7605" w14:textId="77777777">
      <w:pPr>
        <w:keepNext/>
        <w:rPr>
          <w:i/>
          <w:iCs/>
        </w:rPr>
      </w:pPr>
      <w:r w:rsidRPr="00610137">
        <w:rPr>
          <w:i/>
          <w:iCs/>
        </w:rPr>
        <w:t>Courts ignore non-traditional ideas</w:t>
      </w:r>
    </w:p>
    <w:p w:rsidRPr="00610137" w:rsidR="00740A25" w:rsidP="00740A25" w:rsidRDefault="00740A25" w14:paraId="6A8F6CCA" w14:textId="77777777">
      <w:r w:rsidRPr="00610137">
        <w:t>Stakeholders argued that the Family Court defers to clinical notions of binary, heteronormative models of human bodies, gender identity and expression, and sexual orientation. It was said that this leads it to give weight when considering applications to matters that should be irrelevant and</w:t>
      </w:r>
      <w:r>
        <w:t>,</w:t>
      </w:r>
      <w:r w:rsidRPr="00610137">
        <w:t xml:space="preserve"> in particular</w:t>
      </w:r>
      <w:r>
        <w:t>,</w:t>
      </w:r>
      <w:r w:rsidRPr="00610137">
        <w:t xml:space="preserve"> to authorise interventions for psychosocial reasons.</w:t>
      </w:r>
      <w:r w:rsidRPr="007D27F7">
        <w:rPr>
          <w:sz w:val="20"/>
          <w:szCs w:val="20"/>
          <w:vertAlign w:val="superscript"/>
        </w:rPr>
        <w:endnoteReference w:id="591"/>
      </w:r>
      <w:r w:rsidRPr="00610137">
        <w:t xml:space="preserve"> </w:t>
      </w:r>
    </w:p>
    <w:p w:rsidRPr="00610137" w:rsidR="00740A25" w:rsidP="00740A25" w:rsidRDefault="00740A25" w14:paraId="1B4D6C75" w14:textId="77777777">
      <w:r w:rsidRPr="00610137">
        <w:t>For example, some cases indicate that the</w:t>
      </w:r>
      <w:r w:rsidRPr="00610137">
        <w:rPr>
          <w:rFonts w:eastAsia="Times New Roman"/>
        </w:rPr>
        <w:t xml:space="preserve"> Family Court has understood certain types of behaviours as only pertaining to girls, such as playing with dolls.</w:t>
      </w:r>
      <w:r w:rsidRPr="0117CC5D">
        <w:rPr>
          <w:rStyle w:val="EndnoteReference"/>
          <w:rFonts w:eastAsia="Open Sans" w:cs="Open Sans"/>
        </w:rPr>
        <w:endnoteReference w:id="592"/>
      </w:r>
      <w:r w:rsidRPr="00610137">
        <w:rPr>
          <w:rFonts w:eastAsia="Times New Roman"/>
        </w:rPr>
        <w:t xml:space="preserve"> </w:t>
      </w:r>
      <w:r>
        <w:rPr>
          <w:rFonts w:eastAsia="Times New Roman"/>
        </w:rPr>
        <w:t xml:space="preserve">This could suggest that particular </w:t>
      </w:r>
      <w:r w:rsidRPr="00610137">
        <w:rPr>
          <w:rFonts w:eastAsia="Times New Roman"/>
        </w:rPr>
        <w:t>assumptions about gender may have influenced the judge</w:t>
      </w:r>
      <w:r>
        <w:rPr>
          <w:rFonts w:eastAsia="Times New Roman"/>
        </w:rPr>
        <w:t xml:space="preserve">’s decision in </w:t>
      </w:r>
      <w:r w:rsidRPr="792F2983">
        <w:rPr>
          <w:rFonts w:eastAsia="Times New Roman"/>
          <w:i/>
          <w:iCs/>
        </w:rPr>
        <w:t>Re Carla</w:t>
      </w:r>
      <w:r w:rsidRPr="00610137">
        <w:rPr>
          <w:rFonts w:eastAsia="Times New Roman"/>
        </w:rPr>
        <w:t>.</w:t>
      </w:r>
      <w:r w:rsidRPr="0117CC5D">
        <w:rPr>
          <w:rStyle w:val="EndnoteReference"/>
          <w:rFonts w:eastAsia="Open Sans" w:cs="Open Sans"/>
        </w:rPr>
        <w:endnoteReference w:id="593"/>
      </w:r>
      <w:r w:rsidRPr="00610137">
        <w:rPr>
          <w:rFonts w:eastAsia="Times New Roman"/>
        </w:rPr>
        <w:t xml:space="preserve"> </w:t>
      </w:r>
    </w:p>
    <w:p w:rsidRPr="00610137" w:rsidR="00740A25" w:rsidP="00740A25" w:rsidRDefault="00740A25" w14:paraId="04468DA3" w14:textId="77777777">
      <w:pPr>
        <w:keepNext/>
        <w:rPr>
          <w:i/>
          <w:iCs/>
        </w:rPr>
      </w:pPr>
      <w:r w:rsidRPr="00610137">
        <w:rPr>
          <w:i/>
          <w:iCs/>
        </w:rPr>
        <w:t xml:space="preserve">Lack of accessibility </w:t>
      </w:r>
    </w:p>
    <w:p w:rsidRPr="00610137" w:rsidR="00740A25" w:rsidP="00740A25" w:rsidRDefault="00740A25" w14:paraId="21B4647C" w14:textId="77777777">
      <w:r w:rsidRPr="00610137">
        <w:t>Stakeholders characterised the Family Court process as expensive, time-consuming, emotionally exhausting and adversarial, and reliant on evidence brought before it by interested parties.</w:t>
      </w:r>
      <w:r w:rsidRPr="003A466F">
        <w:rPr>
          <w:sz w:val="20"/>
          <w:szCs w:val="20"/>
          <w:vertAlign w:val="superscript"/>
        </w:rPr>
        <w:endnoteReference w:id="594"/>
      </w:r>
      <w:r w:rsidRPr="00610137">
        <w:t xml:space="preserve"> One legal academic with expertise in family law stated that applications to the Family Court are ‘expensive, lengthy and intimidating’.</w:t>
      </w:r>
      <w:r w:rsidRPr="0117CC5D">
        <w:rPr>
          <w:rStyle w:val="EndnoteReference"/>
        </w:rPr>
        <w:endnoteReference w:id="595"/>
      </w:r>
    </w:p>
    <w:p w:rsidRPr="00610137" w:rsidR="00740A25" w:rsidP="00B83AAB" w:rsidRDefault="00740A25" w14:paraId="207F9A5A" w14:textId="3870F959">
      <w:pPr>
        <w:pStyle w:val="Heading3"/>
        <w:numPr>
          <w:ilvl w:val="2"/>
          <w:numId w:val="65"/>
        </w:numPr>
        <w:ind w:left="851"/>
      </w:pPr>
      <w:bookmarkStart w:name="_Toc85541470" w:id="475"/>
      <w:r>
        <w:t xml:space="preserve">A need for </w:t>
      </w:r>
      <w:r w:rsidR="008B17FD">
        <w:t xml:space="preserve">alternative </w:t>
      </w:r>
      <w:r>
        <w:t>oversight</w:t>
      </w:r>
      <w:bookmarkEnd w:id="475"/>
    </w:p>
    <w:p w:rsidR="00740A25" w:rsidP="00740A25" w:rsidRDefault="00740A25" w14:paraId="5A51361A" w14:textId="36C7723C">
      <w:r>
        <w:t xml:space="preserve">The experiences of people born with variations in sex characteristics confirm that the current system has allowed interventions that are not medically necessary. </w:t>
      </w:r>
      <w:r>
        <w:lastRenderedPageBreak/>
        <w:t xml:space="preserve">Family Court cases indicate that interventions </w:t>
      </w:r>
      <w:r w:rsidR="00FB366A">
        <w:t xml:space="preserve">without personal consent </w:t>
      </w:r>
      <w:r>
        <w:t xml:space="preserve">have been justified, at least in part, by reference to psychosocial reasons. Interventions on such a basis do not fall within the Commission’s definition of medical necessity (see Recommendation 4). </w:t>
      </w:r>
    </w:p>
    <w:p w:rsidRPr="00BB7E59" w:rsidR="00740A25" w:rsidP="00740A25" w:rsidRDefault="00740A25" w14:paraId="78956141" w14:textId="77777777">
      <w:r>
        <w:t>In the Commission’s view, these interventions are</w:t>
      </w:r>
      <w:r w:rsidRPr="00610137">
        <w:t xml:space="preserve"> inconsistent with human rights law</w:t>
      </w:r>
      <w:r>
        <w:t>, as reflected in particular through the principles set out in Chapter 2,</w:t>
      </w:r>
      <w:r w:rsidRPr="00610137">
        <w:t xml:space="preserve"> and may have severe and lifelong consequences for people, as evidenced by their lived </w:t>
      </w:r>
      <w:r w:rsidRPr="00EC7190">
        <w:t>experience (see Chapter 3</w:t>
      </w:r>
      <w:r>
        <w:t xml:space="preserve"> – Lived experience</w:t>
      </w:r>
      <w:r w:rsidRPr="00EC7190">
        <w:t>).</w:t>
      </w:r>
    </w:p>
    <w:p w:rsidRPr="00D41CA0" w:rsidR="00740A25" w:rsidP="00740A25" w:rsidRDefault="00740A25" w14:paraId="15C0E457" w14:textId="77777777">
      <w:r>
        <w:t xml:space="preserve">The experiences of people born with variations in sex characteristics indicate that interventions based on reasons other than medical necessity have also occurred outside of the oversight of the </w:t>
      </w:r>
      <w:r w:rsidRPr="00095482">
        <w:t xml:space="preserve">court </w:t>
      </w:r>
      <w:r w:rsidRPr="000D5F04">
        <w:t>(</w:t>
      </w:r>
      <w:r w:rsidRPr="00434FDB">
        <w:t>see Chapter 3</w:t>
      </w:r>
      <w:r w:rsidRPr="00095482">
        <w:t>). The</w:t>
      </w:r>
      <w:r>
        <w:t xml:space="preserve"> observation in </w:t>
      </w:r>
      <w:r w:rsidRPr="792F2983">
        <w:rPr>
          <w:i/>
          <w:iCs/>
        </w:rPr>
        <w:t>Re Carla,</w:t>
      </w:r>
      <w:r w:rsidRPr="00610137">
        <w:t xml:space="preserve"> </w:t>
      </w:r>
      <w:r>
        <w:t>that an</w:t>
      </w:r>
      <w:r w:rsidRPr="00610137">
        <w:t xml:space="preserve"> earlier medical intervention</w:t>
      </w:r>
      <w:r>
        <w:t xml:space="preserve"> to enhance ‘</w:t>
      </w:r>
      <w:r w:rsidRPr="00B1262F">
        <w:t>the appearance of her female genitalia</w:t>
      </w:r>
      <w:r>
        <w:t>’</w:t>
      </w:r>
      <w:r w:rsidRPr="00610137">
        <w:t xml:space="preserve"> </w:t>
      </w:r>
      <w:r>
        <w:t xml:space="preserve">had not </w:t>
      </w:r>
      <w:r w:rsidRPr="00610137">
        <w:t>gone before any court for authorisation,</w:t>
      </w:r>
      <w:r>
        <w:t xml:space="preserve"> is also consistent with this conclusion</w:t>
      </w:r>
      <w:r w:rsidRPr="00610137">
        <w:t>.</w:t>
      </w:r>
      <w:r w:rsidRPr="0117CC5D">
        <w:rPr>
          <w:rStyle w:val="EndnoteReference"/>
        </w:rPr>
        <w:endnoteReference w:id="596"/>
      </w:r>
    </w:p>
    <w:p w:rsidRPr="00610137" w:rsidR="00740A25" w:rsidP="00740A25" w:rsidRDefault="00740A25" w14:paraId="24049C79" w14:textId="77777777">
      <w:r>
        <w:t xml:space="preserve">There is real risk that, without changes to oversight mechanisms, interventions will continue to be made that are not medically necessary and which could have been deferred under a precautionary approach. Current practice has included interventions that are based on psychosocial rationales, such as gender-conforming treatments. </w:t>
      </w:r>
    </w:p>
    <w:p w:rsidRPr="00610137" w:rsidR="00740A25" w:rsidP="00740A25" w:rsidRDefault="00740A25" w14:paraId="5FF390A4" w14:textId="77777777">
      <w:r w:rsidRPr="00610137">
        <w:t xml:space="preserve">As discussed in </w:t>
      </w:r>
      <w:r w:rsidRPr="00035F7C">
        <w:t xml:space="preserve">Chapter 6, </w:t>
      </w:r>
      <w:r w:rsidRPr="00610137">
        <w:t xml:space="preserve">current international and </w:t>
      </w:r>
      <w:r>
        <w:t xml:space="preserve">Australian </w:t>
      </w:r>
      <w:r w:rsidRPr="00610137">
        <w:t xml:space="preserve">clinical guidance allows clinicians to take psychosocial factors, such as cultural or social pressure, into account as relevant when considering whether an intervention should be proposed. </w:t>
      </w:r>
    </w:p>
    <w:p w:rsidRPr="00610137" w:rsidR="00740A25" w:rsidP="00740A25" w:rsidRDefault="00740A25" w14:paraId="1E00D6BF" w14:textId="77777777">
      <w:r>
        <w:t xml:space="preserve">The Commission’s criticisms of current oversight mechanisms are not intended to suggest parents or doctors are not acting in good faith. Stakeholder submissions indicate quite the opposite. However, as the High Court observed in </w:t>
      </w:r>
      <w:r w:rsidRPr="792F2983">
        <w:rPr>
          <w:i/>
          <w:iCs/>
        </w:rPr>
        <w:t>Marion’s case,</w:t>
      </w:r>
      <w:r>
        <w:t xml:space="preserve"> good intentions may not be enough to protect children’s best interests: </w:t>
      </w:r>
    </w:p>
    <w:p w:rsidR="00740A25" w:rsidP="00740A25" w:rsidRDefault="00740A25" w14:paraId="213B17D5" w14:textId="60ABE839">
      <w:pPr>
        <w:pStyle w:val="Quote"/>
        <w:ind w:left="851"/>
      </w:pPr>
      <w:r w:rsidRPr="00610137">
        <w:t>The anxious goodwill of the repository of the power</w:t>
      </w:r>
      <w:r>
        <w:t xml:space="preserve"> – </w:t>
      </w:r>
      <w:r w:rsidRPr="00610137">
        <w:t>whether parents, guardians or courts</w:t>
      </w:r>
      <w:r>
        <w:t xml:space="preserve"> – </w:t>
      </w:r>
      <w:r w:rsidRPr="00610137">
        <w:t xml:space="preserve">can generally be assumed, but there are too many factors </w:t>
      </w:r>
      <w:r w:rsidRPr="00610137">
        <w:lastRenderedPageBreak/>
        <w:t>which tend to distort a dispassionate and accurate assessment of the true interests of the child. There are some powerful if unarticulated influences affecting, albeit in good faith, the presentation of information on which a decision as to the best interests of the child is to be made and the making of that decision.</w:t>
      </w:r>
      <w:r w:rsidRPr="0117CC5D">
        <w:rPr>
          <w:rStyle w:val="EndnoteReference"/>
        </w:rPr>
        <w:endnoteReference w:id="597"/>
      </w:r>
    </w:p>
    <w:p w:rsidRPr="004C776D" w:rsidR="004C776D" w:rsidP="008E60F6" w:rsidRDefault="00016F44" w14:paraId="3DF8CF2A" w14:textId="20D5E521">
      <w:r>
        <w:t>There is a need for alternatives</w:t>
      </w:r>
      <w:r w:rsidR="004E18FA">
        <w:t xml:space="preserve"> to Family Court oversight</w:t>
      </w:r>
      <w:r>
        <w:t>,</w:t>
      </w:r>
      <w:r w:rsidR="004E18FA">
        <w:t xml:space="preserve"> </w:t>
      </w:r>
      <w:r>
        <w:t xml:space="preserve">which are more </w:t>
      </w:r>
      <w:r w:rsidR="004C776D">
        <w:t xml:space="preserve">cost effective and </w:t>
      </w:r>
      <w:r w:rsidR="00CD0A98">
        <w:t xml:space="preserve">a </w:t>
      </w:r>
      <w:r w:rsidR="004C776D">
        <w:t xml:space="preserve">less formal process than that of the Family Court or state and territory courts. </w:t>
      </w:r>
      <w:r>
        <w:t>Independent Panels or tribunals</w:t>
      </w:r>
      <w:r w:rsidR="008B026A">
        <w:t xml:space="preserve"> provide</w:t>
      </w:r>
      <w:r w:rsidR="00762AE3">
        <w:t xml:space="preserve"> such altern</w:t>
      </w:r>
      <w:r w:rsidR="00357B34">
        <w:t>atives.</w:t>
      </w:r>
      <w:r>
        <w:t xml:space="preserve"> </w:t>
      </w:r>
      <w:r w:rsidR="004C776D">
        <w:t>Independent Panels or tribunals would also be able to be specially constituted with a range of expertise able to thoroughly scrutinise proposed medical interventions.</w:t>
      </w:r>
    </w:p>
    <w:p w:rsidRPr="00C572FC" w:rsidR="00740A25" w:rsidP="008E60F6" w:rsidRDefault="1E3CBC91" w14:paraId="59DE82AC" w14:textId="77777777">
      <w:pPr>
        <w:pStyle w:val="AHRCHeading2"/>
      </w:pPr>
      <w:bookmarkStart w:name="_Toc85541471" w:id="476"/>
      <w:r>
        <w:t>Options for independent oversight</w:t>
      </w:r>
      <w:bookmarkEnd w:id="476"/>
    </w:p>
    <w:p w:rsidRPr="00C572FC" w:rsidR="00740A25" w:rsidP="00740A25" w:rsidRDefault="00740A25" w14:paraId="4847D9CC" w14:textId="77777777">
      <w:pPr>
        <w:rPr>
          <w:b/>
          <w:bCs/>
        </w:rPr>
      </w:pPr>
      <w:r>
        <w:t xml:space="preserve">The Senate Community Affairs References Committee (Senate Committee) released two reports in 2013. The first report, </w:t>
      </w:r>
      <w:r w:rsidRPr="1839B484">
        <w:rPr>
          <w:i/>
          <w:iCs/>
        </w:rPr>
        <w:t>Involuntary or coerced sterilisation of people with disabilities in Australia</w:t>
      </w:r>
      <w:r>
        <w:t xml:space="preserve">, concerned people with disability. The second report, under amended terms of reference, was entitled </w:t>
      </w:r>
      <w:r w:rsidRPr="1839B484">
        <w:rPr>
          <w:i/>
          <w:iCs/>
        </w:rPr>
        <w:t>Involuntary or coerced sterilisation of intersex people in Australia</w:t>
      </w:r>
      <w:r>
        <w:t xml:space="preserve"> (second 2013 Senate Inquiry report).</w:t>
      </w:r>
    </w:p>
    <w:p w:rsidRPr="00C572FC" w:rsidR="00740A25" w:rsidP="00740A25" w:rsidRDefault="1E3CBC91" w14:paraId="077B54BC" w14:textId="77777777">
      <w:r w:rsidRPr="00C572FC">
        <w:t>In the second 2013 Senate Inquiry report, the Senate Committee recommended that ‘all proposed intersex medical interventions for children and adults without the capacity to consent require authorisation from a civil and administrative tribunal or the Family Court’.</w:t>
      </w:r>
      <w:r w:rsidRPr="0117CC5D" w:rsidR="00740A25">
        <w:rPr>
          <w:rStyle w:val="EndnoteReference"/>
        </w:rPr>
        <w:endnoteReference w:id="598"/>
      </w:r>
      <w:r w:rsidRPr="00C572FC">
        <w:t xml:space="preserve"> It also recommended that tribunals and the Family Court be given concurrent jurisdiction to determine such authorisations.</w:t>
      </w:r>
      <w:r w:rsidRPr="0117CC5D" w:rsidR="00740A25">
        <w:rPr>
          <w:rStyle w:val="EndnoteReference"/>
        </w:rPr>
        <w:endnoteReference w:id="599"/>
      </w:r>
    </w:p>
    <w:p w:rsidR="00740A25" w:rsidP="00740A25" w:rsidRDefault="00740A25" w14:paraId="216E59CF" w14:textId="77777777">
      <w:r w:rsidRPr="00C572FC">
        <w:t>The Senate Committee observed that it had adopted the position, in its first report, that the ‘proper jurisdiction for consideration of sterilisation cases for those unable to consent should remain with the Family Court of Australia but with improved criteria’. In its second report, the Senate Committee considered whether the Family Court remained ‘the proper forum for consideration of intersex cases’.</w:t>
      </w:r>
      <w:r w:rsidRPr="0117CC5D">
        <w:rPr>
          <w:rStyle w:val="EndnoteReference"/>
        </w:rPr>
        <w:endnoteReference w:id="600"/>
      </w:r>
    </w:p>
    <w:p w:rsidR="00740A25" w:rsidP="00740A25" w:rsidRDefault="00740A25" w14:paraId="217825CE" w14:textId="77777777">
      <w:r>
        <w:t>The Senate Committee argued that tribunals are an appropriate forum to decide on intersex medical interventions, given the complexity of intersex cases. It stated:</w:t>
      </w:r>
    </w:p>
    <w:p w:rsidR="00740A25" w:rsidP="00740A25" w:rsidRDefault="00740A25" w14:paraId="194F0DE1" w14:textId="77777777">
      <w:pPr>
        <w:ind w:left="720"/>
      </w:pPr>
      <w:r w:rsidRPr="001A2AF4">
        <w:rPr>
          <w:sz w:val="22"/>
          <w:szCs w:val="22"/>
        </w:rPr>
        <w:lastRenderedPageBreak/>
        <w:t>Because intersex cases require consideration by an extensive number of medical, psychological and psychosocial professionals, the capacity to access that expertise is a key requirement of any forum. The multi-disciplinary composition of tribunals would assist in drawing in the required expertise</w:t>
      </w:r>
      <w:r>
        <w:t>.</w:t>
      </w:r>
      <w:r w:rsidRPr="0117CC5D">
        <w:rPr>
          <w:rStyle w:val="EndnoteReference"/>
        </w:rPr>
        <w:endnoteReference w:id="601"/>
      </w:r>
    </w:p>
    <w:p w:rsidR="00740A25" w:rsidP="00740A25" w:rsidRDefault="00740A25" w14:paraId="08D43381" w14:textId="77777777">
      <w:r>
        <w:t>The other advantage of tribunals was their accessibility in terms of approach, procedures and cost:</w:t>
      </w:r>
    </w:p>
    <w:p w:rsidRPr="002A1A87" w:rsidR="00740A25" w:rsidP="00740A25" w:rsidRDefault="00740A25" w14:paraId="4FC88945" w14:textId="77777777">
      <w:pPr>
        <w:ind w:left="720"/>
        <w:rPr>
          <w:sz w:val="20"/>
          <w:szCs w:val="20"/>
        </w:rPr>
      </w:pPr>
      <w:r w:rsidRPr="001A2AF4">
        <w:rPr>
          <w:sz w:val="22"/>
          <w:szCs w:val="22"/>
        </w:rPr>
        <w:t>The general consensus in the evidence received was that the procedures in tribunals were less formal, and more flexible in terms of how evidence is gathered and how parties can be represented and supported. In addition, the low or no costs for participants compared to those for applications to the Family Court enhance the case for tribunals to be the primary forum for consideration for intersex cases</w:t>
      </w:r>
      <w:r>
        <w:t>.</w:t>
      </w:r>
      <w:r w:rsidRPr="0117CC5D">
        <w:rPr>
          <w:rStyle w:val="EndnoteReference"/>
        </w:rPr>
        <w:endnoteReference w:id="602"/>
      </w:r>
    </w:p>
    <w:p w:rsidR="00740A25" w:rsidP="00740A25" w:rsidRDefault="00740A25" w14:paraId="5B46F8C0" w14:textId="77777777">
      <w:r>
        <w:t>The Senate Committee concluded:</w:t>
      </w:r>
    </w:p>
    <w:p w:rsidR="00740A25" w:rsidP="00740A25" w:rsidRDefault="00740A25" w14:paraId="4CC1D20A" w14:textId="77777777">
      <w:pPr>
        <w:ind w:left="720"/>
      </w:pPr>
      <w:r w:rsidRPr="006B3124">
        <w:rPr>
          <w:sz w:val="22"/>
          <w:szCs w:val="22"/>
        </w:rPr>
        <w:t>[T]ribunals are a more accessible and cost effective option to hear these cases. They will also be able to act quickly, and be more responsive to the needs of intersex people and their families</w:t>
      </w:r>
      <w:r>
        <w:t>.</w:t>
      </w:r>
      <w:r w:rsidRPr="0117CC5D">
        <w:rPr>
          <w:rStyle w:val="EndnoteReference"/>
        </w:rPr>
        <w:endnoteReference w:id="603"/>
      </w:r>
      <w:r>
        <w:t xml:space="preserve"> </w:t>
      </w:r>
    </w:p>
    <w:p w:rsidR="00740A25" w:rsidP="00740A25" w:rsidRDefault="00740A25" w14:paraId="42A39FE0" w14:textId="77777777">
      <w:r>
        <w:t>However, it also stated:</w:t>
      </w:r>
    </w:p>
    <w:p w:rsidRPr="00C938A5" w:rsidR="00740A25" w:rsidP="00740A25" w:rsidRDefault="00740A25" w14:paraId="1A3930D7" w14:textId="77777777">
      <w:pPr>
        <w:ind w:left="720"/>
        <w:rPr>
          <w:sz w:val="22"/>
          <w:szCs w:val="22"/>
        </w:rPr>
      </w:pPr>
      <w:r>
        <w:rPr>
          <w:sz w:val="22"/>
          <w:szCs w:val="22"/>
        </w:rPr>
        <w:t>[T]</w:t>
      </w:r>
      <w:r w:rsidRPr="00C938A5">
        <w:rPr>
          <w:sz w:val="22"/>
          <w:szCs w:val="22"/>
        </w:rPr>
        <w:t>here may be cases of particular legal complexity that would be properly considered in the Family Court and the committee would not wish to close this avenue of expertise. The committee therefore supports the proposal that tribunals should be given concurrent jurisdiction with the Family Court, and that participants in the case should decide which jurisdiction would best address their needs.</w:t>
      </w:r>
      <w:r w:rsidRPr="0117CC5D">
        <w:rPr>
          <w:rStyle w:val="EndnoteReference"/>
        </w:rPr>
        <w:endnoteReference w:id="604"/>
      </w:r>
    </w:p>
    <w:p w:rsidRPr="00BE545C" w:rsidR="00740A25" w:rsidP="00723DD0" w:rsidRDefault="00740A25" w14:paraId="1F136121" w14:textId="34C47D7D">
      <w:pPr>
        <w:pStyle w:val="Heading3"/>
        <w:numPr>
          <w:ilvl w:val="2"/>
          <w:numId w:val="66"/>
        </w:numPr>
        <w:ind w:left="851"/>
      </w:pPr>
      <w:bookmarkStart w:name="_Toc85541472" w:id="477"/>
      <w:r>
        <w:t>Stakeholder views on new e</w:t>
      </w:r>
      <w:r w:rsidR="1E3CBC91">
        <w:t>xpert panels and tribunals</w:t>
      </w:r>
      <w:bookmarkEnd w:id="477"/>
    </w:p>
    <w:p w:rsidR="00740A25" w:rsidP="00740A25" w:rsidRDefault="00740A25" w14:paraId="4581EB3B" w14:textId="77777777">
      <w:r>
        <w:t>Some stakeholders expressed support for new tribunals or expert decision-making panels, as a better means to review whether proposed interventions are appropriate, including in terms of being medically necessary and in the child’s best interests.</w:t>
      </w:r>
      <w:r w:rsidRPr="0117CC5D">
        <w:rPr>
          <w:rStyle w:val="EndnoteReference"/>
        </w:rPr>
        <w:endnoteReference w:id="605"/>
      </w:r>
      <w:r>
        <w:t xml:space="preserve"> </w:t>
      </w:r>
    </w:p>
    <w:p w:rsidR="00740A25" w:rsidP="00740A25" w:rsidRDefault="00740A25" w14:paraId="242A11C6" w14:textId="77777777">
      <w:pPr>
        <w:rPr>
          <w:rFonts w:cs="Open Sans"/>
        </w:rPr>
      </w:pPr>
      <w:r w:rsidRPr="00495F09">
        <w:rPr>
          <w:rFonts w:cs="Open Sans"/>
        </w:rPr>
        <w:lastRenderedPageBreak/>
        <w:t xml:space="preserve">Some </w:t>
      </w:r>
      <w:r>
        <w:rPr>
          <w:rFonts w:cs="Open Sans"/>
        </w:rPr>
        <w:t>stakeholders</w:t>
      </w:r>
      <w:r w:rsidRPr="00495F09">
        <w:rPr>
          <w:rFonts w:cs="Open Sans"/>
        </w:rPr>
        <w:t xml:space="preserve"> argued that</w:t>
      </w:r>
      <w:r>
        <w:rPr>
          <w:rFonts w:cs="Open Sans"/>
        </w:rPr>
        <w:t xml:space="preserve"> </w:t>
      </w:r>
      <w:r w:rsidRPr="00495F09">
        <w:rPr>
          <w:rFonts w:cs="Open Sans"/>
        </w:rPr>
        <w:t xml:space="preserve">an independent </w:t>
      </w:r>
      <w:r>
        <w:rPr>
          <w:rFonts w:cs="Open Sans"/>
        </w:rPr>
        <w:t>entity</w:t>
      </w:r>
      <w:r w:rsidRPr="00495F09">
        <w:rPr>
          <w:rFonts w:cs="Open Sans"/>
        </w:rPr>
        <w:t xml:space="preserve"> with an explicit human rights mandate</w:t>
      </w:r>
      <w:r>
        <w:rPr>
          <w:rFonts w:cs="Open Sans"/>
        </w:rPr>
        <w:t xml:space="preserve"> should be established by legislation</w:t>
      </w:r>
      <w:r w:rsidRPr="00495F09">
        <w:rPr>
          <w:rFonts w:cs="Open Sans"/>
        </w:rPr>
        <w:t xml:space="preserve"> to oversee medical treatment of people born with variations in sex characteristics.</w:t>
      </w:r>
      <w:r w:rsidRPr="0117CC5D">
        <w:rPr>
          <w:rStyle w:val="EndnoteReference"/>
          <w:rFonts w:cs="Open Sans"/>
        </w:rPr>
        <w:endnoteReference w:id="606"/>
      </w:r>
      <w:r w:rsidRPr="00495F09">
        <w:rPr>
          <w:rFonts w:cs="Open Sans"/>
        </w:rPr>
        <w:t xml:space="preserve"> </w:t>
      </w:r>
    </w:p>
    <w:p w:rsidR="00740A25" w:rsidP="00740A25" w:rsidRDefault="1E3CBC91" w14:paraId="7CF89C83" w14:textId="77777777">
      <w:r>
        <w:t>Other stakeholders also proposed</w:t>
      </w:r>
      <w:r w:rsidRPr="00112AF2">
        <w:t xml:space="preserve"> the creation of </w:t>
      </w:r>
      <w:r>
        <w:t xml:space="preserve">an </w:t>
      </w:r>
      <w:r w:rsidRPr="00112AF2">
        <w:t xml:space="preserve">independent </w:t>
      </w:r>
      <w:r>
        <w:t>entity</w:t>
      </w:r>
      <w:r w:rsidRPr="00112AF2">
        <w:t xml:space="preserve">, </w:t>
      </w:r>
      <w:r w:rsidR="00740A25">
        <w:t xml:space="preserve"> </w:t>
      </w:r>
      <w:r w:rsidRPr="00112AF2">
        <w:t>either to advise parents</w:t>
      </w:r>
      <w:r>
        <w:t xml:space="preserve"> and </w:t>
      </w:r>
      <w:r w:rsidRPr="00112AF2">
        <w:t xml:space="preserve">treating clinicians or to be </w:t>
      </w:r>
      <w:r>
        <w:t>a</w:t>
      </w:r>
      <w:r w:rsidRPr="00112AF2">
        <w:t xml:space="preserve"> decision</w:t>
      </w:r>
      <w:r>
        <w:t xml:space="preserve"> </w:t>
      </w:r>
      <w:r w:rsidRPr="00112AF2">
        <w:t>maker</w:t>
      </w:r>
      <w:r>
        <w:t xml:space="preserve"> about medical interventions</w:t>
      </w:r>
      <w:r w:rsidRPr="00112AF2">
        <w:t>, with primary reference to relevant international human rights instruments and the principles contained in those instruments.</w:t>
      </w:r>
      <w:r w:rsidRPr="002A1A87" w:rsidR="00740A25">
        <w:rPr>
          <w:sz w:val="20"/>
          <w:szCs w:val="20"/>
          <w:vertAlign w:val="superscript"/>
        </w:rPr>
        <w:endnoteReference w:id="607"/>
      </w:r>
      <w:r w:rsidRPr="00112AF2">
        <w:t xml:space="preserve"> It was suggested that such a tribunal should be a national </w:t>
      </w:r>
      <w:r>
        <w:t>entity</w:t>
      </w:r>
      <w:r w:rsidRPr="00112AF2">
        <w:t>, with binding rules as to composition and operating procedures.</w:t>
      </w:r>
      <w:r w:rsidRPr="002A1A87" w:rsidR="00740A25">
        <w:rPr>
          <w:sz w:val="20"/>
          <w:szCs w:val="20"/>
          <w:vertAlign w:val="superscript"/>
        </w:rPr>
        <w:endnoteReference w:id="608"/>
      </w:r>
      <w:r w:rsidRPr="00112AF2">
        <w:t xml:space="preserve"> The involvement of the Council of Australian Governments </w:t>
      </w:r>
      <w:r>
        <w:t xml:space="preserve">(or its successor through the National Cabinet) in establishing such a tribunal </w:t>
      </w:r>
      <w:r w:rsidRPr="00112AF2">
        <w:t>was suggested</w:t>
      </w:r>
      <w:r>
        <w:t>.</w:t>
      </w:r>
      <w:r w:rsidRPr="002A1A87" w:rsidR="00740A25">
        <w:rPr>
          <w:sz w:val="20"/>
          <w:szCs w:val="20"/>
          <w:vertAlign w:val="superscript"/>
        </w:rPr>
        <w:endnoteReference w:id="609"/>
      </w:r>
      <w:r>
        <w:t xml:space="preserve"> </w:t>
      </w:r>
    </w:p>
    <w:p w:rsidR="00740A25" w:rsidP="00740A25" w:rsidRDefault="00740A25" w14:paraId="689947A5" w14:textId="77777777">
      <w:r>
        <w:t>The Australasian Paediatric Endocrine Group (APEG) did not call for the creation of any new decision-making entity, despite opposing Family Court involvement in authorising interventions. Rather, APEG argued that ‘cross-centre multidisciplinary team review for discussion and review of management’ is sufficient.</w:t>
      </w:r>
      <w:r w:rsidRPr="0117CC5D">
        <w:rPr>
          <w:rStyle w:val="EndnoteReference"/>
        </w:rPr>
        <w:endnoteReference w:id="610"/>
      </w:r>
      <w:r>
        <w:t xml:space="preserve"> </w:t>
      </w:r>
    </w:p>
    <w:p w:rsidRPr="00BE4CE1" w:rsidR="00740A25" w:rsidP="3F40602D" w:rsidRDefault="1E3CBC91" w14:paraId="5B5E8119" w14:textId="4D3CA830">
      <w:pPr>
        <w:pStyle w:val="Heading4"/>
        <w:numPr>
          <w:ilvl w:val="3"/>
          <w:numId w:val="66"/>
        </w:numPr>
        <w:ind w:left="851"/>
        <w:rPr>
          <w:i w:val="0"/>
          <w:iCs w:val="0"/>
        </w:rPr>
      </w:pPr>
      <w:r w:rsidRPr="3F40602D">
        <w:rPr>
          <w:i w:val="0"/>
          <w:iCs w:val="0"/>
        </w:rPr>
        <w:t>Functions</w:t>
      </w:r>
      <w:r w:rsidRPr="3F40602D" w:rsidR="266DD84C">
        <w:rPr>
          <w:i w:val="0"/>
          <w:iCs w:val="0"/>
        </w:rPr>
        <w:t xml:space="preserve"> of expert panels or tribunals</w:t>
      </w:r>
    </w:p>
    <w:p w:rsidR="00740A25" w:rsidP="00740A25" w:rsidRDefault="00740A25" w14:paraId="538B7519" w14:textId="77777777">
      <w:pPr>
        <w:rPr>
          <w:rFonts w:cs="Open Sans"/>
        </w:rPr>
      </w:pPr>
      <w:r>
        <w:rPr>
          <w:rFonts w:cs="Open Sans"/>
        </w:rPr>
        <w:t>Stakeholders suggested a range of p</w:t>
      </w:r>
      <w:r w:rsidRPr="00495F09">
        <w:rPr>
          <w:rFonts w:cs="Open Sans"/>
        </w:rPr>
        <w:t xml:space="preserve">otential </w:t>
      </w:r>
      <w:r>
        <w:rPr>
          <w:rFonts w:cs="Open Sans"/>
        </w:rPr>
        <w:t xml:space="preserve">advisory or decision-making </w:t>
      </w:r>
      <w:r w:rsidRPr="00495F09">
        <w:rPr>
          <w:rFonts w:cs="Open Sans"/>
        </w:rPr>
        <w:t xml:space="preserve">functions and powers </w:t>
      </w:r>
      <w:r>
        <w:rPr>
          <w:rFonts w:cs="Open Sans"/>
        </w:rPr>
        <w:t xml:space="preserve">that should be vested in a new expert panel or tribunal. These included functions and powers to: </w:t>
      </w:r>
    </w:p>
    <w:p w:rsidRPr="007F669D" w:rsidR="00740A25" w:rsidP="002F7D27" w:rsidRDefault="00740A25" w14:paraId="281811D5" w14:textId="77777777">
      <w:pPr>
        <w:pStyle w:val="ListParagraph"/>
        <w:numPr>
          <w:ilvl w:val="0"/>
          <w:numId w:val="61"/>
        </w:numPr>
        <w:rPr>
          <w:rFonts w:cs="Open Sans"/>
        </w:rPr>
      </w:pPr>
      <w:r w:rsidRPr="007F669D">
        <w:rPr>
          <w:rFonts w:cs="Open Sans"/>
        </w:rPr>
        <w:t>develop</w:t>
      </w:r>
      <w:r>
        <w:rPr>
          <w:rFonts w:cs="Open Sans"/>
        </w:rPr>
        <w:t xml:space="preserve"> and review decision-making or clinical</w:t>
      </w:r>
      <w:r w:rsidRPr="007F669D">
        <w:rPr>
          <w:rFonts w:cs="Open Sans"/>
        </w:rPr>
        <w:t xml:space="preserve"> guidelines</w:t>
      </w:r>
      <w:r>
        <w:rPr>
          <w:rFonts w:cs="Open Sans"/>
        </w:rPr>
        <w:t>,</w:t>
      </w:r>
      <w:r w:rsidRPr="0117CC5D">
        <w:rPr>
          <w:rStyle w:val="EndnoteReference"/>
          <w:rFonts w:cs="Open Sans"/>
        </w:rPr>
        <w:endnoteReference w:id="611"/>
      </w:r>
      <w:r>
        <w:rPr>
          <w:rFonts w:cs="Open Sans"/>
        </w:rPr>
        <w:t xml:space="preserve"> including national guidelines with an </w:t>
      </w:r>
      <w:r w:rsidRPr="007F669D">
        <w:rPr>
          <w:rFonts w:cs="Open Sans"/>
        </w:rPr>
        <w:t>explicit human rights basis</w:t>
      </w:r>
      <w:r w:rsidRPr="00D74FC7">
        <w:rPr>
          <w:rFonts w:cs="Open Sans"/>
          <w:sz w:val="20"/>
          <w:szCs w:val="20"/>
          <w:vertAlign w:val="superscript"/>
        </w:rPr>
        <w:endnoteReference w:id="612"/>
      </w:r>
    </w:p>
    <w:p w:rsidRPr="007F669D" w:rsidR="00740A25" w:rsidP="002F7D27" w:rsidRDefault="00740A25" w14:paraId="3E70D260" w14:textId="77777777">
      <w:pPr>
        <w:pStyle w:val="ListParagraph"/>
        <w:numPr>
          <w:ilvl w:val="0"/>
          <w:numId w:val="61"/>
        </w:numPr>
        <w:rPr>
          <w:rFonts w:cs="Open Sans"/>
        </w:rPr>
      </w:pPr>
      <w:r w:rsidRPr="007F669D">
        <w:rPr>
          <w:rFonts w:cs="Open Sans"/>
        </w:rPr>
        <w:t>assist individuals, parents, carers</w:t>
      </w:r>
      <w:r>
        <w:rPr>
          <w:rFonts w:cs="Open Sans"/>
        </w:rPr>
        <w:t xml:space="preserve"> and</w:t>
      </w:r>
      <w:r w:rsidRPr="007F669D">
        <w:rPr>
          <w:rFonts w:cs="Open Sans"/>
        </w:rPr>
        <w:t xml:space="preserve"> courts to make decisions by providing advice on clinical management or on both clinical management </w:t>
      </w:r>
      <w:r w:rsidRPr="03223B69">
        <w:rPr>
          <w:rFonts w:cs="Open Sans"/>
        </w:rPr>
        <w:t xml:space="preserve">and </w:t>
      </w:r>
      <w:r w:rsidRPr="007F669D">
        <w:rPr>
          <w:rFonts w:cs="Open Sans"/>
        </w:rPr>
        <w:t>human rights considerations</w:t>
      </w:r>
      <w:r w:rsidRPr="0117CC5D">
        <w:rPr>
          <w:rStyle w:val="EndnoteReference"/>
          <w:rFonts w:cs="Open Sans"/>
        </w:rPr>
        <w:endnoteReference w:id="613"/>
      </w:r>
    </w:p>
    <w:p w:rsidRPr="007F669D" w:rsidR="00740A25" w:rsidP="002F7D27" w:rsidRDefault="00740A25" w14:paraId="094376FC" w14:textId="77777777">
      <w:pPr>
        <w:pStyle w:val="ListParagraph"/>
        <w:numPr>
          <w:ilvl w:val="0"/>
          <w:numId w:val="61"/>
        </w:numPr>
        <w:rPr>
          <w:rFonts w:cs="Open Sans"/>
        </w:rPr>
      </w:pPr>
      <w:r w:rsidRPr="007F669D">
        <w:rPr>
          <w:rFonts w:cs="Open Sans"/>
        </w:rPr>
        <w:t xml:space="preserve">make decisions about whether a child is </w:t>
      </w:r>
      <w:r w:rsidRPr="03223B69">
        <w:rPr>
          <w:rFonts w:cs="Open Sans"/>
          <w:i/>
          <w:iCs/>
        </w:rPr>
        <w:t>Gillick</w:t>
      </w:r>
      <w:r>
        <w:rPr>
          <w:rFonts w:cs="Open Sans"/>
        </w:rPr>
        <w:t xml:space="preserve"> </w:t>
      </w:r>
      <w:r w:rsidRPr="007F669D">
        <w:rPr>
          <w:rFonts w:cs="Open Sans"/>
        </w:rPr>
        <w:t>competent</w:t>
      </w:r>
      <w:r w:rsidRPr="0117CC5D">
        <w:rPr>
          <w:rStyle w:val="EndnoteReference"/>
          <w:rFonts w:cs="Open Sans"/>
        </w:rPr>
        <w:endnoteReference w:id="614"/>
      </w:r>
    </w:p>
    <w:p w:rsidR="00740A25" w:rsidP="002F7D27" w:rsidRDefault="00740A25" w14:paraId="7C38474F" w14:textId="77777777">
      <w:pPr>
        <w:pStyle w:val="ListParagraph"/>
        <w:numPr>
          <w:ilvl w:val="0"/>
          <w:numId w:val="61"/>
        </w:numPr>
        <w:rPr>
          <w:rFonts w:cs="Open Sans"/>
        </w:rPr>
      </w:pPr>
      <w:r w:rsidRPr="1839B484">
        <w:rPr>
          <w:rFonts w:cs="Open Sans"/>
        </w:rPr>
        <w:t xml:space="preserve">make decisions for children who are not </w:t>
      </w:r>
      <w:r w:rsidRPr="1839B484">
        <w:rPr>
          <w:rFonts w:cs="Open Sans"/>
          <w:i/>
          <w:iCs/>
        </w:rPr>
        <w:t>Gillick</w:t>
      </w:r>
      <w:r w:rsidRPr="1839B484">
        <w:rPr>
          <w:rFonts w:cs="Open Sans"/>
        </w:rPr>
        <w:t xml:space="preserve"> competent about whether proposed treatment is medically necessary. </w:t>
      </w:r>
    </w:p>
    <w:p w:rsidR="00740A25" w:rsidP="00740A25" w:rsidRDefault="00740A25" w14:paraId="16149085" w14:textId="77777777">
      <w:r>
        <w:rPr>
          <w:rFonts w:cs="Open Sans"/>
        </w:rPr>
        <w:t xml:space="preserve">The idea of a new decision-making expert panel or tribunal to determine whether medical interventions should be authorised, </w:t>
      </w:r>
      <w:r w:rsidRPr="006929CC">
        <w:rPr>
          <w:rFonts w:cs="Open Sans"/>
        </w:rPr>
        <w:t xml:space="preserve">in accordance with national </w:t>
      </w:r>
      <w:r w:rsidRPr="006929CC">
        <w:rPr>
          <w:rFonts w:cs="Open Sans"/>
        </w:rPr>
        <w:lastRenderedPageBreak/>
        <w:t>guidelines</w:t>
      </w:r>
      <w:r>
        <w:rPr>
          <w:rFonts w:cs="Open Sans"/>
        </w:rPr>
        <w:t xml:space="preserve">, was supported by </w:t>
      </w:r>
      <w:r w:rsidRPr="006929CC">
        <w:rPr>
          <w:rFonts w:cs="Open Sans"/>
        </w:rPr>
        <w:t xml:space="preserve">many people born with variations in sex characteristics and peer-support groups, legal and human rights </w:t>
      </w:r>
      <w:r>
        <w:rPr>
          <w:rFonts w:cs="Open Sans"/>
        </w:rPr>
        <w:t>stakeholders</w:t>
      </w:r>
      <w:r w:rsidRPr="006929CC">
        <w:rPr>
          <w:rFonts w:cs="Open Sans"/>
        </w:rPr>
        <w:t xml:space="preserve"> and some clinician </w:t>
      </w:r>
      <w:r>
        <w:rPr>
          <w:rFonts w:cs="Open Sans"/>
        </w:rPr>
        <w:t>stakeholders</w:t>
      </w:r>
      <w:r w:rsidRPr="006929CC">
        <w:rPr>
          <w:rFonts w:cs="Open Sans"/>
        </w:rPr>
        <w:t>.</w:t>
      </w:r>
      <w:r w:rsidRPr="0117CC5D">
        <w:rPr>
          <w:rStyle w:val="EndnoteReference"/>
          <w:rFonts w:cs="Open Sans"/>
        </w:rPr>
        <w:endnoteReference w:id="615"/>
      </w:r>
      <w:r w:rsidRPr="00555393">
        <w:t xml:space="preserve"> </w:t>
      </w:r>
    </w:p>
    <w:p w:rsidRPr="006929CC" w:rsidR="00740A25" w:rsidP="00740A25" w:rsidRDefault="00740A25" w14:paraId="2DF90AAB" w14:textId="77777777">
      <w:pPr>
        <w:rPr>
          <w:rFonts w:cs="Open Sans"/>
        </w:rPr>
      </w:pPr>
      <w:r w:rsidRPr="006929CC">
        <w:rPr>
          <w:rFonts w:cs="Open Sans"/>
        </w:rPr>
        <w:t xml:space="preserve">One </w:t>
      </w:r>
      <w:r>
        <w:rPr>
          <w:rFonts w:cs="Open Sans"/>
        </w:rPr>
        <w:t xml:space="preserve">specialist community </w:t>
      </w:r>
      <w:r w:rsidRPr="006929CC">
        <w:rPr>
          <w:rFonts w:cs="Open Sans"/>
        </w:rPr>
        <w:t xml:space="preserve">legal </w:t>
      </w:r>
      <w:r>
        <w:rPr>
          <w:rFonts w:cs="Open Sans"/>
        </w:rPr>
        <w:t xml:space="preserve">centre </w:t>
      </w:r>
      <w:r w:rsidRPr="006929CC">
        <w:rPr>
          <w:rFonts w:cs="Open Sans"/>
        </w:rPr>
        <w:t>argued that an expert tribunal could scrutinise the course of action proposed by the treating clinicians and resolve disagreements about medical necessity and deferability</w:t>
      </w:r>
      <w:r>
        <w:rPr>
          <w:rFonts w:cs="Open Sans"/>
        </w:rPr>
        <w:t xml:space="preserve">. The same stakeholder did not favour </w:t>
      </w:r>
      <w:r w:rsidRPr="006929CC">
        <w:rPr>
          <w:rFonts w:cs="Open Sans"/>
        </w:rPr>
        <w:t>statutory definition of these concepts because of the diverse range of presentations</w:t>
      </w:r>
      <w:r>
        <w:rPr>
          <w:rFonts w:cs="Open Sans"/>
        </w:rPr>
        <w:t xml:space="preserve"> among people born with variations in sex characteristics</w:t>
      </w:r>
      <w:r w:rsidRPr="006929CC">
        <w:rPr>
          <w:rFonts w:cs="Open Sans"/>
        </w:rPr>
        <w:t>.</w:t>
      </w:r>
      <w:r w:rsidRPr="0117CC5D">
        <w:rPr>
          <w:rStyle w:val="EndnoteReference"/>
          <w:rFonts w:cs="Open Sans"/>
        </w:rPr>
        <w:endnoteReference w:id="616"/>
      </w:r>
    </w:p>
    <w:p w:rsidRPr="00BE4CE1" w:rsidR="00740A25" w:rsidP="00723DD0" w:rsidRDefault="00740A25" w14:paraId="461B1F7B" w14:textId="77777777">
      <w:pPr>
        <w:pStyle w:val="Heading4"/>
        <w:numPr>
          <w:ilvl w:val="3"/>
          <w:numId w:val="66"/>
        </w:numPr>
        <w:ind w:left="851"/>
        <w:rPr>
          <w:i w:val="0"/>
          <w:iCs w:val="0"/>
        </w:rPr>
      </w:pPr>
      <w:r w:rsidRPr="03223B69">
        <w:rPr>
          <w:i w:val="0"/>
          <w:iCs w:val="0"/>
        </w:rPr>
        <w:t>Composition of expert panels or tribunals</w:t>
      </w:r>
    </w:p>
    <w:p w:rsidRPr="00495F09" w:rsidR="00740A25" w:rsidP="00740A25" w:rsidRDefault="00740A25" w14:paraId="199397F7" w14:textId="77777777">
      <w:pPr>
        <w:rPr>
          <w:rFonts w:cs="Open Sans"/>
        </w:rPr>
      </w:pPr>
      <w:r w:rsidRPr="00495F09">
        <w:rPr>
          <w:rFonts w:cs="Open Sans"/>
        </w:rPr>
        <w:t xml:space="preserve">Contributors indicated that </w:t>
      </w:r>
      <w:r>
        <w:rPr>
          <w:rFonts w:cs="Open Sans"/>
        </w:rPr>
        <w:t>any new expert panel or tribunal</w:t>
      </w:r>
      <w:r w:rsidRPr="00495F09">
        <w:rPr>
          <w:rFonts w:cs="Open Sans"/>
        </w:rPr>
        <w:t xml:space="preserve"> should be comprised of</w:t>
      </w:r>
      <w:r>
        <w:rPr>
          <w:rFonts w:cs="Open Sans"/>
        </w:rPr>
        <w:t xml:space="preserve"> members who are</w:t>
      </w:r>
      <w:r w:rsidRPr="00495F09">
        <w:rPr>
          <w:rFonts w:cs="Open Sans"/>
        </w:rPr>
        <w:t>:</w:t>
      </w:r>
    </w:p>
    <w:p w:rsidR="00740A25" w:rsidP="002F7D27" w:rsidRDefault="00740A25" w14:paraId="4E398FE2" w14:textId="77777777">
      <w:pPr>
        <w:numPr>
          <w:ilvl w:val="0"/>
          <w:numId w:val="60"/>
        </w:numPr>
      </w:pPr>
      <w:r w:rsidRPr="007F669D">
        <w:rPr>
          <w:rFonts w:cs="Open Sans"/>
        </w:rPr>
        <w:t xml:space="preserve">clinicians from relevant specialties, including paediatric endocrinologists, </w:t>
      </w:r>
      <w:r w:rsidRPr="007F669D">
        <w:t>psychiatrists, psychologists</w:t>
      </w:r>
      <w:r w:rsidRPr="0117CC5D">
        <w:rPr>
          <w:rStyle w:val="EndnoteReference"/>
        </w:rPr>
        <w:endnoteReference w:id="617"/>
      </w:r>
      <w:r w:rsidRPr="00F04227">
        <w:rPr>
          <w:sz w:val="20"/>
          <w:szCs w:val="20"/>
        </w:rPr>
        <w:t xml:space="preserve"> </w:t>
      </w:r>
    </w:p>
    <w:p w:rsidR="00740A25" w:rsidP="002F7D27" w:rsidRDefault="00740A25" w14:paraId="1151B0F0" w14:textId="77777777">
      <w:pPr>
        <w:numPr>
          <w:ilvl w:val="0"/>
          <w:numId w:val="60"/>
        </w:numPr>
      </w:pPr>
      <w:r>
        <w:t xml:space="preserve">ethicists, </w:t>
      </w:r>
      <w:r w:rsidRPr="007F669D">
        <w:t>and social workers</w:t>
      </w:r>
    </w:p>
    <w:p w:rsidRPr="007F669D" w:rsidR="00740A25" w:rsidP="002F7D27" w:rsidRDefault="00740A25" w14:paraId="05FDA6E1" w14:textId="77777777">
      <w:pPr>
        <w:pStyle w:val="ListParagraph"/>
        <w:numPr>
          <w:ilvl w:val="0"/>
          <w:numId w:val="60"/>
        </w:numPr>
        <w:rPr>
          <w:rFonts w:cs="Open Sans"/>
        </w:rPr>
      </w:pPr>
      <w:r>
        <w:rPr>
          <w:rFonts w:cs="Open Sans"/>
        </w:rPr>
        <w:t xml:space="preserve">from </w:t>
      </w:r>
      <w:r w:rsidRPr="007F669D">
        <w:rPr>
          <w:rFonts w:cs="Open Sans"/>
        </w:rPr>
        <w:t>intersex-led community organisations</w:t>
      </w:r>
      <w:r w:rsidRPr="0117CC5D">
        <w:rPr>
          <w:rStyle w:val="EndnoteReference"/>
          <w:rFonts w:cs="Open Sans"/>
        </w:rPr>
        <w:endnoteReference w:id="618"/>
      </w:r>
    </w:p>
    <w:p w:rsidR="00740A25" w:rsidP="002F7D27" w:rsidRDefault="00740A25" w14:paraId="6EF7C859" w14:textId="77777777">
      <w:pPr>
        <w:pStyle w:val="ListParagraph"/>
        <w:numPr>
          <w:ilvl w:val="0"/>
          <w:numId w:val="60"/>
        </w:numPr>
        <w:rPr>
          <w:rFonts w:cs="Open Sans"/>
        </w:rPr>
      </w:pPr>
      <w:r w:rsidRPr="007F669D">
        <w:rPr>
          <w:rFonts w:cs="Open Sans"/>
        </w:rPr>
        <w:t>parent representatives</w:t>
      </w:r>
      <w:r w:rsidRPr="0117CC5D">
        <w:rPr>
          <w:rStyle w:val="EndnoteReference"/>
          <w:rFonts w:cs="Open Sans"/>
        </w:rPr>
        <w:endnoteReference w:id="619"/>
      </w:r>
    </w:p>
    <w:p w:rsidRPr="007F669D" w:rsidR="00740A25" w:rsidP="002F7D27" w:rsidRDefault="00740A25" w14:paraId="32CDEA88" w14:textId="77777777">
      <w:pPr>
        <w:pStyle w:val="ListParagraph"/>
        <w:numPr>
          <w:ilvl w:val="0"/>
          <w:numId w:val="60"/>
        </w:numPr>
        <w:rPr>
          <w:rFonts w:cs="Open Sans"/>
        </w:rPr>
      </w:pPr>
      <w:r w:rsidRPr="007F669D">
        <w:rPr>
          <w:rFonts w:cs="Open Sans"/>
        </w:rPr>
        <w:t>child advocates</w:t>
      </w:r>
      <w:r w:rsidRPr="0117CC5D">
        <w:rPr>
          <w:rStyle w:val="EndnoteReference"/>
          <w:rFonts w:cs="Open Sans"/>
        </w:rPr>
        <w:endnoteReference w:id="620"/>
      </w:r>
    </w:p>
    <w:p w:rsidR="00740A25" w:rsidP="002F7D27" w:rsidRDefault="00740A25" w14:paraId="20AB21F9" w14:textId="77777777">
      <w:pPr>
        <w:pStyle w:val="ListParagraph"/>
        <w:numPr>
          <w:ilvl w:val="0"/>
          <w:numId w:val="60"/>
        </w:numPr>
        <w:rPr>
          <w:rFonts w:cs="Open Sans"/>
        </w:rPr>
      </w:pPr>
      <w:r w:rsidRPr="0016097B">
        <w:rPr>
          <w:rFonts w:cs="Open Sans"/>
        </w:rPr>
        <w:t>human rights experts</w:t>
      </w:r>
      <w:r>
        <w:rPr>
          <w:rFonts w:cs="Open Sans"/>
        </w:rPr>
        <w:t>.</w:t>
      </w:r>
      <w:r w:rsidRPr="0117CC5D">
        <w:rPr>
          <w:rStyle w:val="EndnoteReference"/>
          <w:rFonts w:cs="Open Sans"/>
        </w:rPr>
        <w:endnoteReference w:id="621"/>
      </w:r>
    </w:p>
    <w:p w:rsidR="00740A25" w:rsidP="00740A25" w:rsidRDefault="00740A25" w14:paraId="60431AA2" w14:textId="77777777">
      <w:pPr>
        <w:rPr>
          <w:rFonts w:cs="Open Sans"/>
        </w:rPr>
      </w:pPr>
      <w:r>
        <w:rPr>
          <w:rFonts w:cs="Open Sans"/>
        </w:rPr>
        <w:t xml:space="preserve">One stakeholder </w:t>
      </w:r>
      <w:r w:rsidRPr="00495F09">
        <w:rPr>
          <w:rFonts w:cs="Open Sans"/>
        </w:rPr>
        <w:t>suggest</w:t>
      </w:r>
      <w:r>
        <w:rPr>
          <w:rFonts w:cs="Open Sans"/>
        </w:rPr>
        <w:t>ed</w:t>
      </w:r>
      <w:r w:rsidRPr="00495F09">
        <w:rPr>
          <w:rFonts w:cs="Open Sans"/>
        </w:rPr>
        <w:t xml:space="preserve"> that a </w:t>
      </w:r>
      <w:r>
        <w:rPr>
          <w:rFonts w:cs="Open Sans"/>
        </w:rPr>
        <w:t xml:space="preserve">new </w:t>
      </w:r>
      <w:r w:rsidRPr="00495F09">
        <w:rPr>
          <w:rFonts w:cs="Open Sans"/>
        </w:rPr>
        <w:t>tribunal could be convened on a</w:t>
      </w:r>
      <w:r>
        <w:rPr>
          <w:rFonts w:cs="Open Sans"/>
        </w:rPr>
        <w:t>n</w:t>
      </w:r>
      <w:r w:rsidRPr="00495F09">
        <w:rPr>
          <w:rFonts w:cs="Open Sans"/>
        </w:rPr>
        <w:t xml:space="preserve"> ‘as needed’ basis, rather than being a standing entity, and that when convened it should include a person with the same variation as </w:t>
      </w:r>
      <w:r>
        <w:rPr>
          <w:rFonts w:cs="Open Sans"/>
        </w:rPr>
        <w:t>the person</w:t>
      </w:r>
      <w:r w:rsidRPr="00495F09">
        <w:rPr>
          <w:rFonts w:cs="Open Sans"/>
        </w:rPr>
        <w:t xml:space="preserve"> for which treatment is proposed.</w:t>
      </w:r>
      <w:r w:rsidRPr="0117CC5D">
        <w:rPr>
          <w:rStyle w:val="EndnoteReference"/>
          <w:rFonts w:cs="Open Sans"/>
        </w:rPr>
        <w:endnoteReference w:id="622"/>
      </w:r>
      <w:r>
        <w:rPr>
          <w:rFonts w:cs="Open Sans"/>
        </w:rPr>
        <w:t xml:space="preserve"> </w:t>
      </w:r>
    </w:p>
    <w:p w:rsidR="00740A25" w:rsidP="00740A25" w:rsidRDefault="00740A25" w14:paraId="09619624" w14:textId="77777777">
      <w:pPr>
        <w:rPr>
          <w:rFonts w:cs="Open Sans"/>
        </w:rPr>
      </w:pPr>
      <w:r w:rsidRPr="002E404A">
        <w:rPr>
          <w:rFonts w:cs="Open Sans"/>
        </w:rPr>
        <w:t>It was suggested that a new entity</w:t>
      </w:r>
      <w:r>
        <w:rPr>
          <w:rFonts w:cs="Open Sans"/>
        </w:rPr>
        <w:t xml:space="preserve"> to review non-deferrable interventions</w:t>
      </w:r>
      <w:r w:rsidRPr="002E404A">
        <w:rPr>
          <w:rFonts w:cs="Open Sans"/>
        </w:rPr>
        <w:t xml:space="preserve"> should be funded jointly by the Commonwealth, </w:t>
      </w:r>
      <w:r>
        <w:rPr>
          <w:rFonts w:cs="Open Sans"/>
        </w:rPr>
        <w:t>s</w:t>
      </w:r>
      <w:r w:rsidRPr="002E404A">
        <w:rPr>
          <w:rFonts w:cs="Open Sans"/>
        </w:rPr>
        <w:t xml:space="preserve">tates and </w:t>
      </w:r>
      <w:r>
        <w:rPr>
          <w:rFonts w:cs="Open Sans"/>
        </w:rPr>
        <w:t>t</w:t>
      </w:r>
      <w:r w:rsidRPr="00F77177">
        <w:rPr>
          <w:rFonts w:cs="Open Sans"/>
        </w:rPr>
        <w:t>erritories.</w:t>
      </w:r>
      <w:r w:rsidRPr="0117CC5D">
        <w:rPr>
          <w:rStyle w:val="EndnoteReference"/>
          <w:rFonts w:cs="Open Sans"/>
        </w:rPr>
        <w:endnoteReference w:id="623"/>
      </w:r>
    </w:p>
    <w:p w:rsidRPr="0041006D" w:rsidR="00740A25" w:rsidP="00257949" w:rsidRDefault="1E3CBC91" w14:paraId="7FC99C05" w14:textId="77777777">
      <w:pPr>
        <w:pStyle w:val="AHRCHeading2"/>
      </w:pPr>
      <w:bookmarkStart w:name="_Toc85541473" w:id="478"/>
      <w:r>
        <w:lastRenderedPageBreak/>
        <w:t>Authorisation by Independent Panels</w:t>
      </w:r>
      <w:bookmarkEnd w:id="478"/>
    </w:p>
    <w:p w:rsidR="00740A25" w:rsidP="00740A25" w:rsidRDefault="00740A25" w14:paraId="74736DD0" w14:textId="77777777">
      <w:pPr>
        <w:rPr>
          <w:b/>
          <w:bCs/>
        </w:rPr>
      </w:pPr>
      <w:r w:rsidRPr="00474D89">
        <w:rPr>
          <w:b/>
          <w:bCs/>
        </w:rPr>
        <w:t xml:space="preserve">Recommendation 7: </w:t>
      </w:r>
    </w:p>
    <w:p w:rsidRPr="00846577" w:rsidR="00740A25" w:rsidP="00740A25" w:rsidRDefault="1E3CBC91" w14:paraId="0B48CA77" w14:textId="24984459">
      <w:pPr>
        <w:rPr>
          <w:b/>
          <w:bCs/>
        </w:rPr>
      </w:pPr>
      <w:r w:rsidRPr="3F40602D">
        <w:rPr>
          <w:b/>
          <w:bCs/>
        </w:rPr>
        <w:t xml:space="preserve">(a) The Australian Government and state and territory governments should legislate to establish one or more independent panels with responsibility to decide whether to authorise medical interventions </w:t>
      </w:r>
      <w:r w:rsidR="00DA7394">
        <w:rPr>
          <w:b/>
          <w:bCs/>
        </w:rPr>
        <w:t>modifying</w:t>
      </w:r>
      <w:r w:rsidRPr="3F40602D">
        <w:rPr>
          <w:b/>
          <w:bCs/>
        </w:rPr>
        <w:t xml:space="preserve"> sex characteristics of people under the age of 18 years born with variations (Independent Panels). </w:t>
      </w:r>
    </w:p>
    <w:p w:rsidRPr="00846577" w:rsidR="00740A25" w:rsidP="00740A25" w:rsidRDefault="00740A25" w14:paraId="028BDB20" w14:textId="77777777">
      <w:pPr>
        <w:rPr>
          <w:b/>
          <w:bCs/>
        </w:rPr>
      </w:pPr>
      <w:r w:rsidRPr="00846577">
        <w:rPr>
          <w:b/>
          <w:bCs/>
        </w:rPr>
        <w:t xml:space="preserve">(b) Whenever a clinician or clinical treatment team intends to make such a medical intervention, they should be required to apply to an Independent Panel prior to performing </w:t>
      </w:r>
      <w:r>
        <w:rPr>
          <w:b/>
          <w:bCs/>
        </w:rPr>
        <w:t>the</w:t>
      </w:r>
      <w:r w:rsidRPr="00846577">
        <w:rPr>
          <w:b/>
          <w:bCs/>
        </w:rPr>
        <w:t xml:space="preserve"> intervention. </w:t>
      </w:r>
    </w:p>
    <w:p w:rsidRPr="00846577" w:rsidR="00740A25" w:rsidP="00740A25" w:rsidRDefault="00740A25" w14:paraId="4A620E53" w14:textId="77777777">
      <w:pPr>
        <w:rPr>
          <w:b/>
          <w:bCs/>
        </w:rPr>
      </w:pPr>
      <w:r w:rsidRPr="00846577">
        <w:rPr>
          <w:b/>
          <w:bCs/>
        </w:rPr>
        <w:t>(c) Independent Panels should be constituted by members with expertise that includes relevant clinical expertise, lived experience of being born with variations in sex characteristics, and human rights.</w:t>
      </w:r>
    </w:p>
    <w:p w:rsidRPr="00551338" w:rsidR="00740A25" w:rsidP="00740A25" w:rsidRDefault="00740A25" w14:paraId="2ECC6CBC" w14:textId="77777777">
      <w:pPr>
        <w:rPr>
          <w:b/>
          <w:bCs/>
        </w:rPr>
      </w:pPr>
      <w:r w:rsidRPr="00551338">
        <w:rPr>
          <w:b/>
          <w:bCs/>
        </w:rPr>
        <w:t xml:space="preserve">Recommendation </w:t>
      </w:r>
      <w:r>
        <w:rPr>
          <w:b/>
          <w:bCs/>
        </w:rPr>
        <w:t>8</w:t>
      </w:r>
      <w:r w:rsidRPr="00551338">
        <w:rPr>
          <w:b/>
          <w:bCs/>
        </w:rPr>
        <w:t xml:space="preserve">: </w:t>
      </w:r>
    </w:p>
    <w:p w:rsidRPr="00551338" w:rsidR="00740A25" w:rsidP="00740A25" w:rsidRDefault="00740A25" w14:paraId="737425F6" w14:textId="77777777">
      <w:pPr>
        <w:rPr>
          <w:rFonts w:cs="Open Sans"/>
          <w:b/>
          <w:bCs/>
        </w:rPr>
      </w:pPr>
      <w:r w:rsidRPr="00551338">
        <w:rPr>
          <w:rFonts w:cs="Open Sans"/>
          <w:b/>
          <w:bCs/>
        </w:rPr>
        <w:t xml:space="preserve">(a) An Independent Panel should only authorise a medical intervention </w:t>
      </w:r>
      <w:r>
        <w:rPr>
          <w:rFonts w:cs="Open Sans"/>
          <w:b/>
          <w:bCs/>
        </w:rPr>
        <w:t xml:space="preserve">for a person under the age of 18 years </w:t>
      </w:r>
      <w:r w:rsidRPr="00551338">
        <w:rPr>
          <w:rFonts w:cs="Open Sans"/>
          <w:b/>
          <w:bCs/>
        </w:rPr>
        <w:t xml:space="preserve">where </w:t>
      </w:r>
      <w:r>
        <w:rPr>
          <w:rFonts w:cs="Open Sans"/>
          <w:b/>
          <w:bCs/>
        </w:rPr>
        <w:t xml:space="preserve">it is </w:t>
      </w:r>
      <w:r w:rsidRPr="00551338">
        <w:rPr>
          <w:rFonts w:cs="Open Sans"/>
          <w:b/>
          <w:bCs/>
        </w:rPr>
        <w:t>satisfied that</w:t>
      </w:r>
      <w:r w:rsidRPr="00C91F13">
        <w:rPr>
          <w:rFonts w:cs="Open Sans"/>
          <w:b/>
          <w:bCs/>
        </w:rPr>
        <w:t xml:space="preserve"> </w:t>
      </w:r>
      <w:r w:rsidRPr="00551338">
        <w:rPr>
          <w:rFonts w:cs="Open Sans"/>
          <w:b/>
          <w:bCs/>
        </w:rPr>
        <w:t xml:space="preserve">the person </w:t>
      </w:r>
      <w:r>
        <w:rPr>
          <w:rFonts w:cs="Open Sans"/>
          <w:b/>
          <w:bCs/>
        </w:rPr>
        <w:t>concerned either</w:t>
      </w:r>
      <w:r w:rsidRPr="00551338">
        <w:rPr>
          <w:rFonts w:cs="Open Sans"/>
          <w:b/>
          <w:bCs/>
        </w:rPr>
        <w:t>:</w:t>
      </w:r>
    </w:p>
    <w:p w:rsidRPr="00551338" w:rsidR="00740A25" w:rsidP="00740A25" w:rsidRDefault="00740A25" w14:paraId="49E13B03" w14:textId="77777777">
      <w:pPr>
        <w:ind w:left="720"/>
        <w:rPr>
          <w:rFonts w:cs="Open Sans"/>
          <w:b/>
          <w:bCs/>
        </w:rPr>
      </w:pPr>
      <w:r>
        <w:rPr>
          <w:rFonts w:cs="Open Sans"/>
          <w:b/>
          <w:bCs/>
        </w:rPr>
        <w:t xml:space="preserve">(i) has the ability to provide </w:t>
      </w:r>
      <w:r w:rsidRPr="00551338">
        <w:rPr>
          <w:rFonts w:cs="Open Sans"/>
          <w:b/>
          <w:bCs/>
        </w:rPr>
        <w:t>personal consent</w:t>
      </w:r>
      <w:r>
        <w:rPr>
          <w:rFonts w:cs="Open Sans"/>
          <w:b/>
          <w:bCs/>
        </w:rPr>
        <w:t xml:space="preserve"> and has provided such consent, or</w:t>
      </w:r>
    </w:p>
    <w:p w:rsidRPr="00551338" w:rsidR="00740A25" w:rsidP="00740A25" w:rsidRDefault="00740A25" w14:paraId="60A1CA9D" w14:textId="77777777">
      <w:pPr>
        <w:ind w:left="720"/>
        <w:rPr>
          <w:rFonts w:cs="Open Sans"/>
          <w:b/>
          <w:bCs/>
        </w:rPr>
      </w:pPr>
      <w:r>
        <w:rPr>
          <w:rFonts w:cs="Open Sans"/>
          <w:b/>
          <w:bCs/>
        </w:rPr>
        <w:t>(ii) is not</w:t>
      </w:r>
      <w:r w:rsidRPr="00551338">
        <w:rPr>
          <w:rFonts w:cs="Open Sans"/>
          <w:b/>
          <w:bCs/>
        </w:rPr>
        <w:t xml:space="preserve"> able to provide personal consent</w:t>
      </w:r>
      <w:r>
        <w:rPr>
          <w:rFonts w:cs="Open Sans"/>
          <w:b/>
          <w:bCs/>
        </w:rPr>
        <w:t xml:space="preserve"> </w:t>
      </w:r>
      <w:r w:rsidRPr="00551338">
        <w:rPr>
          <w:rFonts w:cs="Open Sans"/>
          <w:b/>
          <w:bCs/>
        </w:rPr>
        <w:t xml:space="preserve">and the intervention is a medical necessity. </w:t>
      </w:r>
    </w:p>
    <w:p w:rsidRPr="00551338" w:rsidR="00740A25" w:rsidP="00740A25" w:rsidRDefault="00740A25" w14:paraId="39E6D1C9" w14:textId="77777777">
      <w:pPr>
        <w:rPr>
          <w:b/>
          <w:bCs/>
        </w:rPr>
      </w:pPr>
      <w:r w:rsidRPr="00551338">
        <w:rPr>
          <w:b/>
          <w:bCs/>
        </w:rPr>
        <w:t>(b) In rare emergency situations, where there would be a real risk of serious and irreparable harm to the person if the intervention w</w:t>
      </w:r>
      <w:r>
        <w:rPr>
          <w:b/>
          <w:bCs/>
        </w:rPr>
        <w:t>ere</w:t>
      </w:r>
      <w:r w:rsidRPr="00551338">
        <w:rPr>
          <w:b/>
          <w:bCs/>
        </w:rPr>
        <w:t xml:space="preserve"> not carried out immediately, the Independent Panel should have an expedited process to consider the request for authorisation. Only where this still does not provide enough time to address the emergency, should an intervention proceed without authorisation. In those circumstances the relevant Independent Panel must be notified promptly following the conduct of the medical intervention.</w:t>
      </w:r>
    </w:p>
    <w:p w:rsidRPr="00551338" w:rsidR="00740A25" w:rsidP="00740A25" w:rsidRDefault="00740A25" w14:paraId="670AE34F" w14:textId="1B88C468">
      <w:pPr>
        <w:rPr>
          <w:rFonts w:cs="Open Sans"/>
          <w:b/>
          <w:bCs/>
        </w:rPr>
      </w:pPr>
      <w:r w:rsidRPr="00551338">
        <w:rPr>
          <w:rFonts w:cs="Open Sans"/>
          <w:b/>
          <w:bCs/>
        </w:rPr>
        <w:lastRenderedPageBreak/>
        <w:t xml:space="preserve">(c) </w:t>
      </w:r>
      <w:r w:rsidRPr="0081471E" w:rsidR="0081471E">
        <w:rPr>
          <w:rFonts w:cs="Open Sans"/>
          <w:b/>
          <w:bCs/>
        </w:rPr>
        <w:t xml:space="preserve">Independent Panels, in determining whether a medical intervention is authorised, should be informed by the </w:t>
      </w:r>
      <w:r w:rsidRPr="0081471E" w:rsidR="0081471E">
        <w:rPr>
          <w:rFonts w:cs="Open Sans"/>
          <w:b/>
          <w:bCs/>
          <w:i/>
          <w:iCs/>
        </w:rPr>
        <w:t xml:space="preserve">National Guidelines on medical interventions for people born with variations of sex characteristics. </w:t>
      </w:r>
    </w:p>
    <w:p w:rsidR="00740A25" w:rsidP="001D1B1B" w:rsidRDefault="00740A25" w14:paraId="27BF3EFE" w14:textId="77777777">
      <w:pPr>
        <w:pStyle w:val="Heading3"/>
        <w:numPr>
          <w:ilvl w:val="2"/>
          <w:numId w:val="67"/>
        </w:numPr>
        <w:tabs>
          <w:tab w:val="clear" w:pos="8222"/>
        </w:tabs>
        <w:ind w:left="851"/>
      </w:pPr>
      <w:bookmarkStart w:name="_Toc85541474" w:id="479"/>
      <w:r>
        <w:t>The obligation to seek authorisation</w:t>
      </w:r>
      <w:bookmarkEnd w:id="479"/>
    </w:p>
    <w:p w:rsidRPr="00FC7D66" w:rsidR="00740A25" w:rsidP="00740A25" w:rsidRDefault="1E3CBC91" w14:paraId="6EE06253" w14:textId="6649B1CB">
      <w:pPr>
        <w:spacing w:line="259" w:lineRule="auto"/>
      </w:pPr>
      <w:r>
        <w:t xml:space="preserve">In the Commission’s view, an application for authorisation should initially be required for all proposed medical interventions </w:t>
      </w:r>
      <w:r w:rsidR="00321527">
        <w:t xml:space="preserve">seeking </w:t>
      </w:r>
      <w:r>
        <w:t xml:space="preserve">to </w:t>
      </w:r>
      <w:r w:rsidR="00321527">
        <w:t xml:space="preserve">modify </w:t>
      </w:r>
      <w:r w:rsidR="00EF5855">
        <w:t xml:space="preserve">sex characteristics </w:t>
      </w:r>
      <w:r w:rsidR="00242F69">
        <w:t xml:space="preserve">on people </w:t>
      </w:r>
      <w:r w:rsidR="00EF5855">
        <w:t xml:space="preserve">under the age of 18 years </w:t>
      </w:r>
      <w:r w:rsidR="00242F69">
        <w:t>born with variations</w:t>
      </w:r>
      <w:r w:rsidR="00EF5855">
        <w:t>.</w:t>
      </w:r>
    </w:p>
    <w:p w:rsidRPr="00FC7D66" w:rsidR="00740A25" w:rsidP="00740A25" w:rsidRDefault="00740A25" w14:paraId="3128F201" w14:textId="508B516F">
      <w:pPr>
        <w:spacing w:line="259" w:lineRule="auto"/>
      </w:pPr>
      <w:r>
        <w:t xml:space="preserve">An advantage of initially requiring all medical interventions </w:t>
      </w:r>
      <w:r w:rsidR="00321527">
        <w:t>seeking to  modify sex characteristics on people under the age of 18 years born with variations</w:t>
      </w:r>
      <w:r w:rsidDel="00321527" w:rsidR="00321527">
        <w:t xml:space="preserve"> </w:t>
      </w:r>
      <w:r w:rsidR="00321527">
        <w:t xml:space="preserve"> to</w:t>
      </w:r>
      <w:r w:rsidR="006B4321">
        <w:t xml:space="preserve"> </w:t>
      </w:r>
      <w:r>
        <w:t>be subject to independent authorisation is that interventions based on psychosocial rationales, such as cosmetic surgeries, would be subject to scrutiny rather than just a narrow subset of cases, such as gonadectomies.</w:t>
      </w:r>
      <w:r w:rsidR="006B4321">
        <w:tab/>
      </w:r>
    </w:p>
    <w:p w:rsidR="00740A25" w:rsidP="00740A25" w:rsidRDefault="00740A25" w14:paraId="0AD8E0EA" w14:textId="77777777">
      <w:r>
        <w:t>The Independent Panel should first scrutinise whether a young person is able to provide consent to the intervention, and whether personal consent was provided on a sound, informed basis. Authorisation would not be required where consent is able to be given by the person concerned. If the young person was not able to consent to the intervention, the Independent Panel would then consider whether the intervention was medically necessary.</w:t>
      </w:r>
    </w:p>
    <w:p w:rsidR="00740A25" w:rsidP="00740A25" w:rsidRDefault="00740A25" w14:paraId="3D392E99" w14:textId="77777777">
      <w:r>
        <w:t>For particularly common variations, it may be that the Independent Panel is also able to provide guidance about how similar cases should be dealt with, which may assist in reducing the workload of the Panel as well as providing clarity for clinicians.</w:t>
      </w:r>
    </w:p>
    <w:p w:rsidRPr="00EB6757" w:rsidR="00740A25" w:rsidP="00740A25" w:rsidRDefault="1E3CBC91" w14:paraId="55BD8942" w14:textId="222AA2FC">
      <w:r>
        <w:t>Following initial experience with applications for authorisation by the Independent Panel, there may be increased clarity about the kinds of cases where treatment should be deferred, thereby reducing the need for those kinds of applications to be made.</w:t>
      </w:r>
    </w:p>
    <w:p w:rsidR="00740A25" w:rsidP="001D1B1B" w:rsidRDefault="00740A25" w14:paraId="63479579" w14:textId="77777777">
      <w:pPr>
        <w:pStyle w:val="Heading3"/>
        <w:numPr>
          <w:ilvl w:val="2"/>
          <w:numId w:val="67"/>
        </w:numPr>
        <w:ind w:left="851"/>
      </w:pPr>
      <w:bookmarkStart w:name="_Toc85541475" w:id="480"/>
      <w:r w:rsidRPr="00636F0E">
        <w:lastRenderedPageBreak/>
        <w:t>Circumstances in which interventions may be authorised</w:t>
      </w:r>
      <w:bookmarkEnd w:id="480"/>
    </w:p>
    <w:p w:rsidR="00740A25" w:rsidP="00740A25" w:rsidRDefault="00740A25" w14:paraId="4C3E1D65" w14:textId="77777777">
      <w:pPr>
        <w:spacing w:line="259" w:lineRule="auto"/>
      </w:pPr>
      <w:r>
        <w:t>Authorisations should be assessed through the human rights principles set out in Chapter 2 – particularly the principle of medical necessity and the precautionary principle.</w:t>
      </w:r>
    </w:p>
    <w:p w:rsidR="00740A25" w:rsidP="00740A25" w:rsidRDefault="00740A25" w14:paraId="05FA8EC0" w14:textId="77777777">
      <w:pPr>
        <w:spacing w:line="259" w:lineRule="auto"/>
      </w:pPr>
      <w:r>
        <w:t>Authorisation should be limited to circumstances in which the person under the age of 18 is not able to provide their personal consent and the intervention is medically necessary.</w:t>
      </w:r>
    </w:p>
    <w:p w:rsidR="00740A25" w:rsidP="00740A25" w:rsidRDefault="00740A25" w14:paraId="7843142B" w14:textId="77777777">
      <w:pPr>
        <w:rPr>
          <w:rFonts w:cs="Open Sans"/>
        </w:rPr>
      </w:pPr>
      <w:r>
        <w:rPr>
          <w:rFonts w:cs="Open Sans"/>
        </w:rPr>
        <w:t>Emergency s</w:t>
      </w:r>
      <w:r w:rsidRPr="2816C17C">
        <w:rPr>
          <w:rFonts w:cs="Open Sans"/>
        </w:rPr>
        <w:t xml:space="preserve">ituations </w:t>
      </w:r>
      <w:r>
        <w:rPr>
          <w:rFonts w:cs="Open Sans"/>
        </w:rPr>
        <w:t>may require some modification of process. An appropriate threshold for an emergency situation, drawing on existing state legislation dealing with circumstances where treatment may be carried out on a child or young person without their consent or that of their parent or guardian, is</w:t>
      </w:r>
      <w:r w:rsidRPr="2816C17C">
        <w:rPr>
          <w:rFonts w:cs="Open Sans"/>
        </w:rPr>
        <w:t xml:space="preserve"> where</w:t>
      </w:r>
      <w:r>
        <w:rPr>
          <w:rFonts w:cs="Open Sans"/>
        </w:rPr>
        <w:t xml:space="preserve"> treatment is medically necessary</w:t>
      </w:r>
      <w:r w:rsidRPr="2816C17C">
        <w:rPr>
          <w:rFonts w:eastAsia="Open Sans" w:cs="Open Sans"/>
        </w:rPr>
        <w:t xml:space="preserve"> </w:t>
      </w:r>
      <w:r>
        <w:rPr>
          <w:rFonts w:eastAsia="Open Sans" w:cs="Open Sans"/>
        </w:rPr>
        <w:t>and required as a matter of urgency in order to save the child’s life or prevent serious damage to the child’s health</w:t>
      </w:r>
      <w:r w:rsidRPr="2816C17C">
        <w:rPr>
          <w:rFonts w:cs="Open Sans"/>
        </w:rPr>
        <w:t>.</w:t>
      </w:r>
      <w:r w:rsidRPr="0117CC5D">
        <w:rPr>
          <w:rStyle w:val="EndnoteReference"/>
          <w:rFonts w:cs="Open Sans"/>
        </w:rPr>
        <w:endnoteReference w:id="624"/>
      </w:r>
      <w:r w:rsidDel="009B44EB">
        <w:rPr>
          <w:rStyle w:val="EndnoteReference"/>
          <w:rFonts w:cs="Open Sans"/>
        </w:rPr>
        <w:t xml:space="preserve"> </w:t>
      </w:r>
    </w:p>
    <w:p w:rsidRPr="00F77177" w:rsidR="00740A25" w:rsidP="00740A25" w:rsidRDefault="00740A25" w14:paraId="4069AD35" w14:textId="77777777">
      <w:r>
        <w:t xml:space="preserve">It may be that some urgent cases are still able to be dealt with by an Independent Panel if an expedited process were adopted. The Commission considers that this is an appropriate safeguard to ensure that oversight is able to be provided to the maximum extent possible. </w:t>
      </w:r>
      <w:r w:rsidRPr="00E0261F">
        <w:t xml:space="preserve">Only where this still does not provide enough time to address </w:t>
      </w:r>
      <w:r>
        <w:t>an</w:t>
      </w:r>
      <w:r w:rsidRPr="00E0261F">
        <w:t xml:space="preserve"> emergency</w:t>
      </w:r>
      <w:r>
        <w:t xml:space="preserve"> situation</w:t>
      </w:r>
      <w:r w:rsidRPr="00E0261F">
        <w:t xml:space="preserve">, should an intervention proceed without authorisation. In those circumstances the </w:t>
      </w:r>
      <w:r>
        <w:t>I</w:t>
      </w:r>
      <w:r w:rsidRPr="00E0261F">
        <w:t xml:space="preserve">ndependent </w:t>
      </w:r>
      <w:r>
        <w:t>P</w:t>
      </w:r>
      <w:r w:rsidRPr="00E0261F">
        <w:t>anel must be notified promptly following the conduct of the medical intervention.</w:t>
      </w:r>
      <w:r>
        <w:t xml:space="preserve"> </w:t>
      </w:r>
    </w:p>
    <w:p w:rsidR="00740A25" w:rsidP="001D1B1B" w:rsidRDefault="00740A25" w14:paraId="3126A033" w14:textId="77777777">
      <w:pPr>
        <w:pStyle w:val="Heading3"/>
        <w:numPr>
          <w:ilvl w:val="2"/>
          <w:numId w:val="67"/>
        </w:numPr>
        <w:ind w:left="851"/>
      </w:pPr>
      <w:bookmarkStart w:name="_Toc85541476" w:id="481"/>
      <w:r>
        <w:t>Independent Panels</w:t>
      </w:r>
      <w:bookmarkEnd w:id="481"/>
    </w:p>
    <w:p w:rsidRPr="00F77177" w:rsidR="00740A25" w:rsidP="00740A25" w:rsidRDefault="00740A25" w14:paraId="31DC851E" w14:textId="77777777">
      <w:r>
        <w:t xml:space="preserve">As reflected in the independent oversight principle, there are solid arguments for new mechanisms to ensure independent oversight of decisions about medical interventions for people born with variations in sex characteristics who are unable to provide personal consent. Such oversight should be independent from the medical treating team. </w:t>
      </w:r>
    </w:p>
    <w:p w:rsidRPr="00F77177" w:rsidR="00740A25" w:rsidDel="00AE6EA3" w:rsidP="00740A25" w:rsidRDefault="00740A25" w14:paraId="73EB9966" w14:textId="6524C8D6">
      <w:r>
        <w:t>There is a need for a</w:t>
      </w:r>
      <w:r w:rsidRPr="00F77177">
        <w:t xml:space="preserve"> mechanism</w:t>
      </w:r>
      <w:r>
        <w:t xml:space="preserve"> or network of</w:t>
      </w:r>
      <w:r w:rsidRPr="00F77177">
        <w:t xml:space="preserve"> mechanisms </w:t>
      </w:r>
      <w:r>
        <w:t>to</w:t>
      </w:r>
    </w:p>
    <w:p w:rsidRPr="00F77177" w:rsidR="00740A25" w:rsidDel="00AE6EA3" w:rsidP="002F7D27" w:rsidRDefault="00740A25" w14:paraId="3068E587" w14:textId="77777777">
      <w:pPr>
        <w:pStyle w:val="ListParagraph"/>
        <w:numPr>
          <w:ilvl w:val="0"/>
          <w:numId w:val="61"/>
        </w:numPr>
      </w:pPr>
      <w:r>
        <w:t>be inexpensive and able to operate quickly</w:t>
      </w:r>
    </w:p>
    <w:p w:rsidRPr="00F77177" w:rsidR="00740A25" w:rsidDel="00AE6EA3" w:rsidP="002F7D27" w:rsidRDefault="00740A25" w14:paraId="433A2F1B" w14:textId="77777777">
      <w:pPr>
        <w:pStyle w:val="ListParagraph"/>
        <w:numPr>
          <w:ilvl w:val="0"/>
          <w:numId w:val="61"/>
        </w:numPr>
      </w:pPr>
      <w:r w:rsidRPr="00F77177">
        <w:t xml:space="preserve">have </w:t>
      </w:r>
      <w:r w:rsidRPr="00F77177" w:rsidDel="00AE6EA3">
        <w:t xml:space="preserve">expertise about </w:t>
      </w:r>
      <w:r w:rsidRPr="00F77177">
        <w:t>the complex medical and other considerations relevant to decision making</w:t>
      </w:r>
    </w:p>
    <w:p w:rsidRPr="00F77177" w:rsidR="00740A25" w:rsidDel="00AE6EA3" w:rsidP="002F7D27" w:rsidRDefault="00740A25" w14:paraId="2A2DE817" w14:textId="77777777">
      <w:pPr>
        <w:pStyle w:val="ListParagraph"/>
        <w:numPr>
          <w:ilvl w:val="0"/>
          <w:numId w:val="61"/>
        </w:numPr>
      </w:pPr>
      <w:r>
        <w:lastRenderedPageBreak/>
        <w:t xml:space="preserve">be </w:t>
      </w:r>
      <w:r w:rsidRPr="00F77177" w:rsidDel="00AE6EA3">
        <w:t>constituted in a way that ensures children’s best interests are represented.</w:t>
      </w:r>
    </w:p>
    <w:p w:rsidRPr="00F77177" w:rsidR="00740A25" w:rsidP="00740A25" w:rsidRDefault="00740A25" w14:paraId="3E2D868F" w14:textId="77777777">
      <w:r w:rsidRPr="00F77177">
        <w:t xml:space="preserve">The </w:t>
      </w:r>
      <w:r w:rsidRPr="00923D26">
        <w:t>Australia</w:t>
      </w:r>
      <w:r>
        <w:t xml:space="preserve">n Government and </w:t>
      </w:r>
      <w:r w:rsidRPr="00923D26">
        <w:t xml:space="preserve">state and territory governments should cooperate to establish </w:t>
      </w:r>
      <w:r>
        <w:t xml:space="preserve">one or more Independent Panels </w:t>
      </w:r>
      <w:r w:rsidRPr="007B64C6">
        <w:t xml:space="preserve">with responsibility to decide whether to authorise </w:t>
      </w:r>
      <w:r w:rsidRPr="00923D26">
        <w:t xml:space="preserve">medical interventions </w:t>
      </w:r>
      <w:r>
        <w:t>for</w:t>
      </w:r>
      <w:r w:rsidRPr="00923D26">
        <w:t xml:space="preserve"> persons born with variations in sex </w:t>
      </w:r>
      <w:r w:rsidRPr="00F77177" w:rsidDel="00923D26">
        <w:t>characteristics</w:t>
      </w:r>
      <w:r>
        <w:t>.</w:t>
      </w:r>
    </w:p>
    <w:p w:rsidR="00740A25" w:rsidP="00740A25" w:rsidRDefault="00740A25" w14:paraId="738FEB5F" w14:textId="77777777">
      <w:r w:rsidRPr="00023683">
        <w:t>Independent Panels should be constituted by members with expertise that includes relevant clinical expertise</w:t>
      </w:r>
      <w:r>
        <w:t>,</w:t>
      </w:r>
      <w:r w:rsidRPr="00023683">
        <w:t xml:space="preserve"> lived experience of being born with variations in sex characteristics</w:t>
      </w:r>
      <w:r>
        <w:t>,</w:t>
      </w:r>
      <w:r w:rsidRPr="00023683">
        <w:t xml:space="preserve"> and human rights. </w:t>
      </w:r>
    </w:p>
    <w:p w:rsidR="00740A25" w:rsidP="00740A25" w:rsidRDefault="00740A25" w14:paraId="73458A07" w14:textId="77777777">
      <w:r>
        <w:t xml:space="preserve">Given the psychological dimensions of peoples’ experiences of sex variations, including clinicians with mental health expertise may inform discussions about the possible future psychological consequences of proposed medical interventions. Including people with variations in sex characteristics on Independent Panels may provide insights into lived experience to inform understandings about of the possible future impact on the person concerned Independent Panels may also benefit from members with expertise in the application of human rights principles in the context of decisions about medical treatment. </w:t>
      </w:r>
    </w:p>
    <w:p w:rsidR="00740A25" w:rsidP="00740A25" w:rsidRDefault="00740A25" w14:paraId="4DCD2BBF" w14:textId="77777777">
      <w:r>
        <w:rPr>
          <w:rFonts w:cs="Open Sans"/>
          <w:color w:val="000000"/>
        </w:rPr>
        <w:t>These forms of expertise are not an exhaustive list. There may also be a role on Independent Panels for ethicists, social science academics, and individuals with expertise in how to apply statutory criteria in making decisions, such as existing tribunal members, or judicial officers.</w:t>
      </w:r>
      <w:r w:rsidRPr="00F77177" w:rsidDel="005A0623">
        <w:t xml:space="preserve"> </w:t>
      </w:r>
    </w:p>
    <w:p w:rsidR="00740A25" w:rsidP="00740A25" w:rsidRDefault="00740A25" w14:paraId="53142C4E" w14:textId="77777777">
      <w:pPr>
        <w:shd w:val="clear" w:color="auto" w:fill="FFFFFF" w:themeFill="background1"/>
        <w:spacing w:after="0"/>
        <w:rPr>
          <w:rFonts w:eastAsia="Times New Roman"/>
        </w:rPr>
      </w:pPr>
      <w:r w:rsidRPr="792F2983">
        <w:rPr>
          <w:rFonts w:eastAsia="Times New Roman"/>
        </w:rPr>
        <w:t xml:space="preserve">In the longer term, a national </w:t>
      </w:r>
      <w:r>
        <w:rPr>
          <w:rFonts w:eastAsia="Times New Roman"/>
        </w:rPr>
        <w:t>I</w:t>
      </w:r>
      <w:r w:rsidRPr="792F2983">
        <w:rPr>
          <w:rFonts w:eastAsia="Times New Roman"/>
        </w:rPr>
        <w:t xml:space="preserve">ndependent </w:t>
      </w:r>
      <w:r>
        <w:rPr>
          <w:rFonts w:eastAsia="Times New Roman"/>
        </w:rPr>
        <w:t>P</w:t>
      </w:r>
      <w:r w:rsidRPr="792F2983">
        <w:rPr>
          <w:rFonts w:eastAsia="Times New Roman"/>
        </w:rPr>
        <w:t>anel may be the best way to decide whether to authorise medical interventions. However, enacting Commonwealth legislation to establish such a decision maker in cases involving medical interventions would be complex to implement, and may raise constitutional issues, including in relation to referral of powers and limitations on the exercise of the judicial power of the Commonwealth.</w:t>
      </w:r>
    </w:p>
    <w:p w:rsidR="00740A25" w:rsidP="00740A25" w:rsidRDefault="00740A25" w14:paraId="47F49815" w14:textId="77777777">
      <w:r w:rsidRPr="00F77177">
        <w:t xml:space="preserve">While a national approach would be preferable, there is a </w:t>
      </w:r>
      <w:r>
        <w:t>range</w:t>
      </w:r>
      <w:r w:rsidRPr="00F77177">
        <w:t xml:space="preserve"> of options for establishing mechanisms for independent </w:t>
      </w:r>
      <w:r>
        <w:t xml:space="preserve">oversight at </w:t>
      </w:r>
      <w:r w:rsidRPr="00F77177">
        <w:t xml:space="preserve">state and territory level. </w:t>
      </w:r>
    </w:p>
    <w:p w:rsidR="00740A25" w:rsidP="00740A25" w:rsidRDefault="00740A25" w14:paraId="0D7B3F1D" w14:textId="77777777">
      <w:r>
        <w:lastRenderedPageBreak/>
        <w:t xml:space="preserve">Ideally, state and territory legislation would establish and prescribe the composition of stand-alone Independent Panels. </w:t>
      </w:r>
      <w:r w:rsidRPr="00F77177">
        <w:t xml:space="preserve">Alternatively, </w:t>
      </w:r>
      <w:r>
        <w:t>s</w:t>
      </w:r>
      <w:r w:rsidRPr="00F77177">
        <w:t xml:space="preserve">tates and territories </w:t>
      </w:r>
      <w:r>
        <w:t>could</w:t>
      </w:r>
      <w:r w:rsidRPr="00F77177">
        <w:t xml:space="preserve"> establish new tribunals or provide existing tribunals, such as guardianship tribunals, with new legislative responsibilities</w:t>
      </w:r>
      <w:r w:rsidRPr="009D4490">
        <w:t xml:space="preserve"> </w:t>
      </w:r>
      <w:r w:rsidRPr="00F77177">
        <w:t>to</w:t>
      </w:r>
      <w:r>
        <w:t xml:space="preserve"> decide on</w:t>
      </w:r>
      <w:r w:rsidRPr="00F77177">
        <w:t xml:space="preserve"> </w:t>
      </w:r>
      <w:r>
        <w:t xml:space="preserve">the </w:t>
      </w:r>
      <w:r w:rsidRPr="00F77177">
        <w:t>authorisation of medical interventions</w:t>
      </w:r>
      <w:r>
        <w:t xml:space="preserve"> for people born with variations. </w:t>
      </w:r>
    </w:p>
    <w:p w:rsidRPr="00F77177" w:rsidR="00740A25" w:rsidP="00740A25" w:rsidRDefault="00740A25" w14:paraId="4C30FB13" w14:textId="77777777">
      <w:r>
        <w:t>These l</w:t>
      </w:r>
      <w:r w:rsidRPr="0041006D">
        <w:t>egislative provisions might be included in state and territory child protection</w:t>
      </w:r>
      <w:r>
        <w:t>,</w:t>
      </w:r>
      <w:r w:rsidRPr="0041006D">
        <w:t xml:space="preserve"> guardianship</w:t>
      </w:r>
      <w:r>
        <w:t>,</w:t>
      </w:r>
      <w:r w:rsidRPr="0117CC5D">
        <w:rPr>
          <w:rStyle w:val="EndnoteReference"/>
        </w:rPr>
        <w:endnoteReference w:id="625"/>
      </w:r>
      <w:r w:rsidRPr="0041006D">
        <w:t xml:space="preserve"> or other legislation</w:t>
      </w:r>
      <w:r>
        <w:t xml:space="preserve">. </w:t>
      </w:r>
      <w:r w:rsidRPr="00F77177">
        <w:t xml:space="preserve">For example, in New South Wales, the Guardianship Division of the NSW Civil and Administrative Tribunal has power under </w:t>
      </w:r>
      <w:r>
        <w:t xml:space="preserve">s 175(2)(b) of </w:t>
      </w:r>
      <w:r w:rsidRPr="00F77177">
        <w:t xml:space="preserve">the </w:t>
      </w:r>
      <w:r w:rsidRPr="00F77177">
        <w:rPr>
          <w:i/>
          <w:iCs/>
        </w:rPr>
        <w:t>Children and Young Persons (Care and Protection) Act 1998</w:t>
      </w:r>
      <w:r w:rsidRPr="00F77177">
        <w:t xml:space="preserve"> (NSW) to consent to special medical treatments </w:t>
      </w:r>
      <w:r>
        <w:t>on behalf of</w:t>
      </w:r>
      <w:r w:rsidRPr="00F77177">
        <w:t xml:space="preserve"> people aged under 16.</w:t>
      </w:r>
    </w:p>
    <w:p w:rsidR="00740A25" w:rsidP="00740A25" w:rsidRDefault="00740A25" w14:paraId="5841C2E3" w14:textId="0EE233E5">
      <w:r>
        <w:t>In any case, the intention is that Independent Panels or tribunals would provide a more cost effective and less formal process than that of the Family Court or state and territory courts. Independent Panels or tribunals would also be able to be specially constituted with a range of expertise able to thoroughly scrutinise proposed medical interventions. There may be advantages in arrangements being entered into allowing smaller jurisdictions to refer cases to Independent Panels or tribunals in jurisdictions with more resources or expertise.</w:t>
      </w:r>
    </w:p>
    <w:p w:rsidR="00740A25" w:rsidP="001D1B1B" w:rsidRDefault="00740A25" w14:paraId="6DDE63FD" w14:textId="77777777">
      <w:pPr>
        <w:pStyle w:val="Heading3"/>
        <w:numPr>
          <w:ilvl w:val="2"/>
          <w:numId w:val="67"/>
        </w:numPr>
        <w:ind w:left="851"/>
      </w:pPr>
      <w:bookmarkStart w:name="_Toc85541477" w:id="482"/>
      <w:r>
        <w:t>Implementation in policy</w:t>
      </w:r>
      <w:bookmarkEnd w:id="482"/>
    </w:p>
    <w:p w:rsidR="00740A25" w:rsidP="00740A25" w:rsidRDefault="00740A25" w14:paraId="07AEE5D6" w14:textId="77777777">
      <w:r>
        <w:t>While</w:t>
      </w:r>
      <w:r w:rsidRPr="0041006D">
        <w:t xml:space="preserve"> the obligation to seek independent authorisation should be enacted in legislation, </w:t>
      </w:r>
      <w:r>
        <w:t xml:space="preserve">in its absence, state and territory </w:t>
      </w:r>
      <w:r w:rsidRPr="0041006D">
        <w:t xml:space="preserve">government and health professional entities may </w:t>
      </w:r>
      <w:r>
        <w:t>choose to</w:t>
      </w:r>
      <w:r w:rsidRPr="0041006D">
        <w:t xml:space="preserve"> implement</w:t>
      </w:r>
      <w:r>
        <w:t xml:space="preserve"> aspects of the Commission’s</w:t>
      </w:r>
      <w:r w:rsidRPr="0041006D">
        <w:t xml:space="preserve"> recommendation</w:t>
      </w:r>
      <w:r>
        <w:t>s</w:t>
      </w:r>
      <w:r w:rsidRPr="0041006D">
        <w:t xml:space="preserve"> through policies and practices, including those applying to treatment in public hospitals.</w:t>
      </w:r>
    </w:p>
    <w:p w:rsidRPr="0041006D" w:rsidR="00740A25" w:rsidP="00740A25" w:rsidRDefault="00740A25" w14:paraId="5BB3FF35" w14:textId="77777777">
      <w:r>
        <w:t>I</w:t>
      </w:r>
      <w:r w:rsidRPr="00F77177">
        <w:t xml:space="preserve">mplementation </w:t>
      </w:r>
      <w:r>
        <w:t xml:space="preserve">in policies and practices </w:t>
      </w:r>
      <w:r w:rsidRPr="00F77177">
        <w:t xml:space="preserve">would not require legislation. </w:t>
      </w:r>
      <w:r>
        <w:t>For example, s</w:t>
      </w:r>
      <w:r w:rsidRPr="00F77177">
        <w:t>tate and territory governments, through health departments and public hospital administrations, could ensure that there is formal</w:t>
      </w:r>
      <w:r>
        <w:t xml:space="preserve"> and</w:t>
      </w:r>
      <w:r w:rsidRPr="00F77177">
        <w:t xml:space="preserve"> independent multidisciplinary review of relevant medical interventions.</w:t>
      </w:r>
    </w:p>
    <w:p w:rsidRPr="00F77177" w:rsidR="00740A25" w:rsidP="001D1B1B" w:rsidRDefault="1E3CBC91" w14:paraId="23528480" w14:textId="77777777">
      <w:pPr>
        <w:pStyle w:val="Heading3"/>
        <w:numPr>
          <w:ilvl w:val="2"/>
          <w:numId w:val="67"/>
        </w:numPr>
        <w:ind w:left="851"/>
      </w:pPr>
      <w:bookmarkStart w:name="_Toc85541478" w:id="483"/>
      <w:r>
        <w:t>Role of the National Guidelines</w:t>
      </w:r>
      <w:bookmarkEnd w:id="483"/>
    </w:p>
    <w:p w:rsidRPr="00F77177" w:rsidR="00740A25" w:rsidP="00740A25" w:rsidRDefault="00740A25" w14:paraId="54FA6306" w14:textId="77777777">
      <w:pPr>
        <w:shd w:val="clear" w:color="auto" w:fill="FFFFFF" w:themeFill="background1"/>
        <w:spacing w:after="0"/>
        <w:rPr>
          <w:rFonts w:eastAsia="Times New Roman"/>
        </w:rPr>
      </w:pPr>
      <w:r w:rsidRPr="792F2983">
        <w:rPr>
          <w:rFonts w:eastAsia="Times New Roman"/>
        </w:rPr>
        <w:t xml:space="preserve">Whatever the eventual forums for independent oversight of medical interventions, decision making should be informed by a national approach </w:t>
      </w:r>
      <w:r w:rsidRPr="792F2983">
        <w:rPr>
          <w:rFonts w:eastAsia="Times New Roman"/>
        </w:rPr>
        <w:lastRenderedPageBreak/>
        <w:t xml:space="preserve">consistent with international human rights law, as reflected in the National Guidelines. </w:t>
      </w:r>
    </w:p>
    <w:p w:rsidR="00740A25" w:rsidP="001D1B1B" w:rsidRDefault="00740A25" w14:paraId="24B5CEB3" w14:textId="77777777">
      <w:pPr>
        <w:pStyle w:val="Heading3"/>
        <w:numPr>
          <w:ilvl w:val="2"/>
          <w:numId w:val="67"/>
        </w:numPr>
        <w:ind w:left="851"/>
      </w:pPr>
      <w:bookmarkStart w:name="_Toc85541479" w:id="484"/>
      <w:r>
        <w:t>Reform of court processes</w:t>
      </w:r>
      <w:bookmarkEnd w:id="484"/>
    </w:p>
    <w:p w:rsidR="00740A25" w:rsidP="00740A25" w:rsidRDefault="00740A25" w14:paraId="6DC7639E" w14:textId="77777777">
      <w:r>
        <w:t xml:space="preserve">Court processes alone are not well suited to provide effective oversight of medical interventions modifying sex characteristics. This conclusion is based on the Commission’s review of Family Court decision making in this area and informed by the experience of stakeholders. </w:t>
      </w:r>
    </w:p>
    <w:p w:rsidR="00740A25" w:rsidP="00740A25" w:rsidRDefault="00740A25" w14:paraId="1545A641" w14:textId="77777777">
      <w:r>
        <w:t>A major theme of stakeholder concern is that cases brought in the Family Court may not always present all of the evidence necessary for the Court to decide what is in the ‘best interests’ of the child and, in the absence of this evidence, Family Court judges may lack knowledge and understanding of the complexities of intersex medical and other issues. People born with variations in sex characteristics argue that this leads to unquestioning, uncritical deference to the medical opinion of the treating team. The Court’s lack of access to scientific expertise and knowledge and understanding of the socio-cultural factors in play may lead to limited scrutiny of the assertions of the treating team that a particular intervention is in the child’s best interests. These characterisations are consistent with the Commission’s review of the cases that have been before courts to date.</w:t>
      </w:r>
    </w:p>
    <w:p w:rsidR="00740A25" w:rsidP="00740A25" w:rsidRDefault="00740A25" w14:paraId="2C07B6D9" w14:textId="77777777">
      <w:r>
        <w:t>Cases involving children with variations in sex characteristics brought to the Family Court for authorisation have all proceeded on an uncontested basis. In only one case has the Family Court exercised its discretion to appoint an independent children’s lawyer.</w:t>
      </w:r>
    </w:p>
    <w:p w:rsidR="00740A25" w:rsidP="00740A25" w:rsidRDefault="00740A25" w14:paraId="3EFE7541" w14:textId="77777777">
      <w:r>
        <w:t xml:space="preserve">The lack of independent advocacy for the child’s best interests in the applications to the Family Court is problematic, as the interests of the child, as distinct from those of their family, may not have been adequately explored. It is important for medical evidence to be properly tested and scrutinised to ensure that crucial human rights obligations, such as protection of bodily integrity, are given adequate consideration. The Commission considers that Family Court processes do not currently provide adequate oversight protecting the human rights of </w:t>
      </w:r>
      <w:r>
        <w:lastRenderedPageBreak/>
        <w:t>children born with variations in sex characteristics – particularly as expressed through the human rights framework of principles set out in Chapter 2.</w:t>
      </w:r>
    </w:p>
    <w:p w:rsidR="00740A25" w:rsidP="00740A25" w:rsidRDefault="1E3CBC91" w14:paraId="42E510F6" w14:textId="3F1D05A8">
      <w:r>
        <w:t xml:space="preserve">In any case, given the numbers of people who are born with variations in sex characteristics, it would place a significant burden on the courts if they had to authorise all proposed medical interventions. APEG noted that this could require the Family Court to authorise treatment for up to </w:t>
      </w:r>
      <w:r w:rsidR="003126B2">
        <w:t>1.7</w:t>
      </w:r>
      <w:r>
        <w:t>% of the population.</w:t>
      </w:r>
      <w:r w:rsidRPr="00DD531E" w:rsidR="00740A25">
        <w:rPr>
          <w:sz w:val="20"/>
          <w:szCs w:val="20"/>
          <w:vertAlign w:val="superscript"/>
        </w:rPr>
        <w:endnoteReference w:id="626"/>
      </w:r>
      <w:r>
        <w:t xml:space="preserve"> </w:t>
      </w:r>
    </w:p>
    <w:p w:rsidR="00740A25" w:rsidP="00740A25" w:rsidRDefault="00740A25" w14:paraId="68C878BE" w14:textId="77777777">
      <w:r>
        <w:t>This is an important practical reason for the Commission’s view that authorisation should be determined primarily by Independent Panels, rather than the courts. Independent Panels may be able to develop guidance or administrative procedures that allow them to respond more easily to applications in relation to common variations.</w:t>
      </w:r>
    </w:p>
    <w:p w:rsidR="00740A25" w:rsidP="00740A25" w:rsidRDefault="1E3CBC91" w14:paraId="6DCD06E2" w14:textId="51E95CDB">
      <w:r>
        <w:t xml:space="preserve">However, courts may still be involved in some cases where authorisation is required. Some applications for court authorisation may continue under the </w:t>
      </w:r>
      <w:r w:rsidRPr="003126B2" w:rsidR="006E23F7">
        <w:t>welfare</w:t>
      </w:r>
      <w:r w:rsidRPr="006E23F7">
        <w:t xml:space="preserve"> </w:t>
      </w:r>
      <w:r>
        <w:t xml:space="preserve">jurisdiction of the courts if they retain concurrent jurisdiction with Independent Panels. Further, parties who are dissatisfied with a decision of an Independent Panel may seek judicial review of panel decisions, although this is more likely to involve questions of legal error rather than review on the merits. </w:t>
      </w:r>
    </w:p>
    <w:p w:rsidRPr="00981D7E" w:rsidR="00740A25" w:rsidDel="001770DA" w:rsidP="00740A25" w:rsidRDefault="00740A25" w14:paraId="6D8E0196" w14:textId="77777777">
      <w:r>
        <w:t xml:space="preserve">If courts continue to have a substantial role in decision making in this area, </w:t>
      </w:r>
      <w:r w:rsidRPr="00981D7E" w:rsidDel="001770DA">
        <w:t xml:space="preserve">court processes </w:t>
      </w:r>
      <w:r>
        <w:t xml:space="preserve">may need reform </w:t>
      </w:r>
      <w:r w:rsidRPr="00981D7E" w:rsidDel="001770DA">
        <w:t xml:space="preserve">to ensure judges have access to a fuller range of perspectives and expert opinion evidence. </w:t>
      </w:r>
    </w:p>
    <w:p w:rsidR="00740A25" w:rsidP="00740A25" w:rsidRDefault="00740A25" w14:paraId="7BDFD080" w14:textId="77777777">
      <w:r>
        <w:t xml:space="preserve">For example, one suggested reform is the mandatory appointment of an independent children’s lawyer in all cases involving children born with variations in sex characteristics. The presence of a dedicated advocate for the child’s best interests may help to elucidate whether a proposed intervention is medically necessary. </w:t>
      </w:r>
    </w:p>
    <w:p w:rsidR="00740A25" w:rsidP="00740A25" w:rsidRDefault="00740A25" w14:paraId="544EA5D3" w14:textId="77777777">
      <w:r>
        <w:t xml:space="preserve">There are a range of other reforms to court processes that might ensure judges have access to a fuller range of perspectives and expert opinion evidence. </w:t>
      </w:r>
    </w:p>
    <w:p w:rsidR="00740A25" w:rsidP="00740A25" w:rsidRDefault="00740A25" w14:paraId="683C7C12" w14:textId="77777777">
      <w:pPr>
        <w:pStyle w:val="ListParagraph"/>
        <w:ind w:left="0"/>
        <w:rPr>
          <w:rFonts w:cs="Open Sans"/>
        </w:rPr>
      </w:pPr>
      <w:r>
        <w:t xml:space="preserve">The Senate Committee considered that more </w:t>
      </w:r>
      <w:r w:rsidRPr="03223B69">
        <w:rPr>
          <w:rFonts w:cs="Open Sans"/>
        </w:rPr>
        <w:t>complex cases of medical intervention should be referred by courts or other decision makers to a ‘</w:t>
      </w:r>
      <w:r>
        <w:t>special medical procedures advisory body’ f</w:t>
      </w:r>
      <w:r w:rsidRPr="03223B69">
        <w:rPr>
          <w:rFonts w:cs="Open Sans"/>
        </w:rPr>
        <w:t>or their advice.</w:t>
      </w:r>
      <w:r w:rsidRPr="0117CC5D">
        <w:rPr>
          <w:rStyle w:val="EndnoteReference"/>
          <w:rFonts w:cs="Open Sans"/>
        </w:rPr>
        <w:endnoteReference w:id="627"/>
      </w:r>
      <w:r w:rsidRPr="03223B69">
        <w:rPr>
          <w:rFonts w:cs="Open Sans"/>
        </w:rPr>
        <w:t xml:space="preserve"> It said</w:t>
      </w:r>
      <w:r>
        <w:rPr>
          <w:rFonts w:cs="Open Sans"/>
        </w:rPr>
        <w:t>:</w:t>
      </w:r>
    </w:p>
    <w:p w:rsidRPr="003D43D0" w:rsidR="00740A25" w:rsidP="00740A25" w:rsidRDefault="00740A25" w14:paraId="7370B85F" w14:textId="77777777">
      <w:pPr>
        <w:ind w:left="720"/>
        <w:rPr>
          <w:sz w:val="22"/>
          <w:szCs w:val="22"/>
        </w:rPr>
      </w:pPr>
      <w:r w:rsidRPr="003D43D0">
        <w:rPr>
          <w:sz w:val="22"/>
          <w:szCs w:val="22"/>
        </w:rPr>
        <w:t xml:space="preserve">The decision on whether a referral is required should be taken by whoever is considering the case. The committee envisages that this would normally be a </w:t>
      </w:r>
      <w:r w:rsidRPr="003D43D0">
        <w:rPr>
          <w:sz w:val="22"/>
          <w:szCs w:val="22"/>
        </w:rPr>
        <w:lastRenderedPageBreak/>
        <w:t>tribunal, but in some complex cases could be the Family Court. In the committee’s view this procedure would assist in objectivity in the decision-making process, as well as providing the opportunity to ensure that international best practice was followed.</w:t>
      </w:r>
      <w:r w:rsidRPr="003D43D0">
        <w:rPr>
          <w:rStyle w:val="EndnoteReference"/>
          <w:rFonts w:cs="Open Sans"/>
          <w:sz w:val="22"/>
          <w:szCs w:val="28"/>
        </w:rPr>
        <w:endnoteReference w:id="628"/>
      </w:r>
    </w:p>
    <w:p w:rsidR="00740A25" w:rsidP="00740A25" w:rsidRDefault="00740A25" w14:paraId="465DFBB0" w14:textId="77777777">
      <w:r>
        <w:t xml:space="preserve">More generally, court processes might be more often assisted by the involvement of </w:t>
      </w:r>
      <w:r w:rsidRPr="03223B69">
        <w:rPr>
          <w:i/>
          <w:iCs/>
        </w:rPr>
        <w:t>amicus curiae</w:t>
      </w:r>
      <w:r>
        <w:t xml:space="preserve"> or interveners. </w:t>
      </w:r>
    </w:p>
    <w:p w:rsidR="00740A25" w:rsidP="00740A25" w:rsidRDefault="00740A25" w14:paraId="1E8D6D6D" w14:textId="77777777">
      <w:r>
        <w:t xml:space="preserve">While the role of an </w:t>
      </w:r>
      <w:r w:rsidRPr="03223B69">
        <w:rPr>
          <w:i/>
          <w:iCs/>
        </w:rPr>
        <w:t>amicus curiae</w:t>
      </w:r>
      <w:r>
        <w:t xml:space="preserve"> is to assist the court, the role of an intervener is to represent the intervener’s own legal interests or legislative responsibilities in proceedings. For example, the </w:t>
      </w:r>
      <w:r w:rsidRPr="03223B69">
        <w:rPr>
          <w:i/>
          <w:iCs/>
        </w:rPr>
        <w:t>Australian Human Rights Commission Act 1986</w:t>
      </w:r>
      <w:r>
        <w:t xml:space="preserve"> (Cth) confers an intervention function on the Australian Human Rights Commission under which the Commission, with the leave of the court, can intervene in proceedings that involve human rights issues.</w:t>
      </w:r>
      <w:r w:rsidRPr="0117CC5D">
        <w:rPr>
          <w:rStyle w:val="EndnoteReference"/>
        </w:rPr>
        <w:endnoteReference w:id="629"/>
      </w:r>
    </w:p>
    <w:p w:rsidR="00740A25" w:rsidP="00740A25" w:rsidRDefault="00740A25" w14:paraId="32ABA3F3" w14:textId="77777777">
      <w:r>
        <w:t>There could also be greater use of court-appointed expert witnesses and assessors. The Family Court may, on its own initiative, appoint expert witnesses.</w:t>
      </w:r>
      <w:r w:rsidRPr="0117CC5D">
        <w:rPr>
          <w:rStyle w:val="EndnoteReference"/>
        </w:rPr>
        <w:endnoteReference w:id="630"/>
      </w:r>
      <w:r>
        <w:t xml:space="preserve"> The Family Law Rules also provide for the appointment of assessors.</w:t>
      </w:r>
      <w:r w:rsidRPr="0117CC5D">
        <w:rPr>
          <w:rStyle w:val="EndnoteReference"/>
        </w:rPr>
        <w:endnoteReference w:id="631"/>
      </w:r>
      <w:r>
        <w:t xml:space="preserve"> Assessors perform a similar role to expert witnesses, but are not subject to cross-examination. They act in an advisory capacity to the judge. </w:t>
      </w:r>
    </w:p>
    <w:p w:rsidR="00740A25" w:rsidP="00740A25" w:rsidRDefault="00740A25" w14:paraId="7DBD6156" w14:textId="3B76B4FD">
      <w:r>
        <w:t>If practicable, r</w:t>
      </w:r>
      <w:r w:rsidRPr="00981D7E" w:rsidDel="001770DA">
        <w:t xml:space="preserve">eform should </w:t>
      </w:r>
      <w:r>
        <w:t xml:space="preserve">also </w:t>
      </w:r>
      <w:r w:rsidRPr="00981D7E" w:rsidDel="001770DA">
        <w:t xml:space="preserve">ensure that </w:t>
      </w:r>
      <w:r>
        <w:t>the National Guidelines, and expert opinion on how they should be interpreted, are able to be fully considered if relevant cases come before the federal courts.</w:t>
      </w:r>
      <w:r w:rsidRPr="0117CC5D">
        <w:rPr>
          <w:rStyle w:val="EndnoteReference"/>
        </w:rPr>
        <w:endnoteReference w:id="632"/>
      </w:r>
      <w:r>
        <w:t xml:space="preserve"> </w:t>
      </w:r>
      <w:bookmarkStart w:name="_Hlk72920181" w:id="485"/>
      <w:r>
        <w:t xml:space="preserve">This might require legislative action by the Australian Government, and reform of </w:t>
      </w:r>
      <w:r w:rsidRPr="00BC28F0">
        <w:t xml:space="preserve">the </w:t>
      </w:r>
      <w:r>
        <w:t xml:space="preserve">legal </w:t>
      </w:r>
      <w:r w:rsidRPr="00BC28F0">
        <w:t>criteria for authorisation</w:t>
      </w:r>
      <w:r>
        <w:t xml:space="preserve"> of medical interventions</w:t>
      </w:r>
      <w:r w:rsidRPr="00BC28F0">
        <w:t xml:space="preserve"> by federal courts, consistent with</w:t>
      </w:r>
      <w:r>
        <w:t xml:space="preserve"> the Commission’s recommendations.</w:t>
      </w:r>
    </w:p>
    <w:p w:rsidR="003D43D0" w:rsidP="003D43D0" w:rsidRDefault="003D43D0" w14:paraId="35D035D7" w14:textId="1CB242B5">
      <w:pPr>
        <w:spacing w:before="0" w:after="0"/>
      </w:pPr>
      <w:r>
        <w:br w:type="page"/>
      </w:r>
    </w:p>
    <w:p w:rsidRPr="004B6DCD" w:rsidR="00452E54" w:rsidP="00452E54" w:rsidRDefault="00452E54" w14:paraId="0D7854DF" w14:textId="77777777">
      <w:pPr>
        <w:pStyle w:val="AHRCHeading1"/>
      </w:pPr>
      <w:bookmarkStart w:name="_Toc80614216" w:id="486"/>
      <w:bookmarkStart w:name="_Toc85541480" w:id="487"/>
      <w:r>
        <w:lastRenderedPageBreak/>
        <w:t>Enforcement</w:t>
      </w:r>
      <w:bookmarkEnd w:id="486"/>
      <w:bookmarkEnd w:id="487"/>
    </w:p>
    <w:p w:rsidRPr="004B6DCD" w:rsidR="00452E54" w:rsidP="00452E54" w:rsidRDefault="00452E54" w14:paraId="5C5CA303" w14:textId="77777777">
      <w:pPr>
        <w:pStyle w:val="AHRCHeading2"/>
      </w:pPr>
      <w:bookmarkStart w:name="_Toc42167946" w:id="488"/>
      <w:bookmarkStart w:name="_Toc42175420" w:id="489"/>
      <w:bookmarkStart w:name="_Toc80614217" w:id="490"/>
      <w:bookmarkStart w:name="_Toc85541481" w:id="491"/>
      <w:r>
        <w:t>Enforcement</w:t>
      </w:r>
      <w:bookmarkEnd w:id="488"/>
      <w:bookmarkEnd w:id="489"/>
      <w:bookmarkEnd w:id="490"/>
      <w:bookmarkEnd w:id="491"/>
    </w:p>
    <w:p w:rsidRPr="00DD69C6" w:rsidR="00452E54" w:rsidP="00452E54" w:rsidRDefault="00452E54" w14:paraId="68E6862D" w14:textId="77777777">
      <w:pPr>
        <w:rPr>
          <w:rFonts w:cs="Open Sans"/>
        </w:rPr>
      </w:pPr>
      <w:r>
        <w:rPr>
          <w:rFonts w:cs="Open Sans"/>
        </w:rPr>
        <w:t xml:space="preserve">Under international </w:t>
      </w:r>
      <w:r w:rsidRPr="2AC416A1">
        <w:rPr>
          <w:rFonts w:cs="Open Sans"/>
        </w:rPr>
        <w:t xml:space="preserve">human rights </w:t>
      </w:r>
      <w:r>
        <w:rPr>
          <w:rFonts w:cs="Open Sans"/>
        </w:rPr>
        <w:t xml:space="preserve">law, Australia’s federal, state and territory </w:t>
      </w:r>
      <w:r w:rsidRPr="2AC416A1">
        <w:rPr>
          <w:rFonts w:cs="Open Sans"/>
        </w:rPr>
        <w:t xml:space="preserve">governments </w:t>
      </w:r>
      <w:r>
        <w:rPr>
          <w:rFonts w:cs="Open Sans"/>
        </w:rPr>
        <w:t xml:space="preserve">must </w:t>
      </w:r>
      <w:r w:rsidRPr="2AC416A1">
        <w:rPr>
          <w:rFonts w:cs="Open Sans"/>
        </w:rPr>
        <w:t xml:space="preserve">ensure that human rights are </w:t>
      </w:r>
      <w:r>
        <w:rPr>
          <w:rFonts w:cs="Open Sans"/>
        </w:rPr>
        <w:t>upheld</w:t>
      </w:r>
      <w:r w:rsidRPr="2AC416A1">
        <w:rPr>
          <w:rFonts w:cs="Open Sans"/>
        </w:rPr>
        <w:t xml:space="preserve"> in relation to medical interventions for people born with variations in sex characteristics. </w:t>
      </w:r>
    </w:p>
    <w:p w:rsidRPr="00DD69C6" w:rsidR="00452E54" w:rsidP="00452E54" w:rsidRDefault="00452E54" w14:paraId="6EB64F40" w14:textId="2E82E7F4">
      <w:pPr>
        <w:rPr>
          <w:rFonts w:cs="Open Sans"/>
        </w:rPr>
      </w:pPr>
      <w:r w:rsidRPr="2AC416A1">
        <w:rPr>
          <w:rFonts w:cs="Open Sans"/>
        </w:rPr>
        <w:t xml:space="preserve">In Chapter 7, the Commission recommends that </w:t>
      </w:r>
      <w:r>
        <w:rPr>
          <w:rFonts w:cs="Open Sans"/>
        </w:rPr>
        <w:t>th</w:t>
      </w:r>
      <w:r w:rsidRPr="00060C6D">
        <w:rPr>
          <w:rFonts w:cs="Open Sans"/>
        </w:rPr>
        <w:t xml:space="preserve">e Australian Government and state and territory governments legislate to </w:t>
      </w:r>
      <w:r>
        <w:rPr>
          <w:rFonts w:cs="Open Sans"/>
        </w:rPr>
        <w:t>require</w:t>
      </w:r>
      <w:r w:rsidRPr="00060C6D">
        <w:rPr>
          <w:rFonts w:cs="Open Sans"/>
        </w:rPr>
        <w:t xml:space="preserve"> clinician</w:t>
      </w:r>
      <w:r>
        <w:rPr>
          <w:rFonts w:cs="Open Sans"/>
        </w:rPr>
        <w:t>s to apply to an In</w:t>
      </w:r>
      <w:r w:rsidRPr="00060C6D">
        <w:rPr>
          <w:rFonts w:cs="Open Sans"/>
        </w:rPr>
        <w:t xml:space="preserve">dependent Panel prior to performing </w:t>
      </w:r>
      <w:r>
        <w:rPr>
          <w:rFonts w:cs="Open Sans"/>
        </w:rPr>
        <w:t xml:space="preserve">medical interventions </w:t>
      </w:r>
      <w:r w:rsidR="00DA7394">
        <w:rPr>
          <w:rFonts w:cs="Open Sans"/>
        </w:rPr>
        <w:t>modifying</w:t>
      </w:r>
      <w:r w:rsidRPr="006A6BB1">
        <w:rPr>
          <w:rFonts w:cs="Open Sans"/>
        </w:rPr>
        <w:t xml:space="preserve"> the sex characteristics of a person born with a variation</w:t>
      </w:r>
      <w:r>
        <w:rPr>
          <w:rFonts w:cs="Open Sans"/>
        </w:rPr>
        <w:t xml:space="preserve"> </w:t>
      </w:r>
      <w:r w:rsidRPr="2AC416A1">
        <w:rPr>
          <w:rFonts w:cs="Open Sans"/>
        </w:rPr>
        <w:t>(Recommendation 7).</w:t>
      </w:r>
    </w:p>
    <w:p w:rsidR="00452E54" w:rsidP="00452E54" w:rsidRDefault="00452E54" w14:paraId="630B4176" w14:textId="77777777">
      <w:pPr>
        <w:rPr>
          <w:rFonts w:cs="Open Sans"/>
        </w:rPr>
      </w:pPr>
      <w:r w:rsidRPr="2AC416A1">
        <w:rPr>
          <w:rFonts w:cs="Open Sans"/>
        </w:rPr>
        <w:t xml:space="preserve">This chapter discusses how </w:t>
      </w:r>
      <w:r>
        <w:rPr>
          <w:rFonts w:cs="Open Sans"/>
        </w:rPr>
        <w:t>these</w:t>
      </w:r>
      <w:r w:rsidRPr="2AC416A1">
        <w:rPr>
          <w:rFonts w:cs="Open Sans"/>
        </w:rPr>
        <w:t xml:space="preserve"> obligations placed on health practitioners and others </w:t>
      </w:r>
      <w:r>
        <w:rPr>
          <w:rFonts w:cs="Open Sans"/>
        </w:rPr>
        <w:t>might</w:t>
      </w:r>
      <w:r w:rsidRPr="2AC416A1">
        <w:rPr>
          <w:rFonts w:cs="Open Sans"/>
        </w:rPr>
        <w:t xml:space="preserve"> be enforced in practice, under criminal and civil law, and through regulation of health professionals. </w:t>
      </w:r>
    </w:p>
    <w:p w:rsidR="00452E54" w:rsidP="00452E54" w:rsidRDefault="00452E54" w14:paraId="41DB2568" w14:textId="77777777">
      <w:pPr>
        <w:rPr>
          <w:rFonts w:cs="Open Sans"/>
        </w:rPr>
      </w:pPr>
      <w:r>
        <w:rPr>
          <w:rFonts w:cs="Open Sans"/>
        </w:rPr>
        <w:t xml:space="preserve">In the Commission’s view, </w:t>
      </w:r>
      <w:r w:rsidRPr="005B5224">
        <w:rPr>
          <w:rFonts w:cs="Open Sans"/>
        </w:rPr>
        <w:t>legislat</w:t>
      </w:r>
      <w:r>
        <w:rPr>
          <w:rFonts w:cs="Open Sans"/>
        </w:rPr>
        <w:t xml:space="preserve">ion should </w:t>
      </w:r>
      <w:r w:rsidRPr="005B5224">
        <w:rPr>
          <w:rFonts w:cs="Open Sans"/>
        </w:rPr>
        <w:t xml:space="preserve">prohibit medical interventions </w:t>
      </w:r>
      <w:r>
        <w:rPr>
          <w:rFonts w:cs="Open Sans"/>
        </w:rPr>
        <w:t xml:space="preserve">without authorisation, and there should </w:t>
      </w:r>
      <w:r w:rsidRPr="005B5224">
        <w:rPr>
          <w:rFonts w:cs="Open Sans"/>
        </w:rPr>
        <w:t>be appropriate criminal penalties attached to breaching this prohibition</w:t>
      </w:r>
      <w:r>
        <w:rPr>
          <w:rFonts w:cs="Open Sans"/>
        </w:rPr>
        <w:t>.</w:t>
      </w:r>
    </w:p>
    <w:p w:rsidRPr="00F8113B" w:rsidR="00452E54" w:rsidP="00452E54" w:rsidRDefault="00452E54" w14:paraId="0F36E2F2" w14:textId="77777777">
      <w:pPr>
        <w:rPr>
          <w:rFonts w:cs="Open Sans"/>
        </w:rPr>
      </w:pPr>
      <w:r w:rsidRPr="2AC416A1">
        <w:rPr>
          <w:rFonts w:cs="Open Sans"/>
        </w:rPr>
        <w:t xml:space="preserve">The reforms recommended by the Commission </w:t>
      </w:r>
      <w:r>
        <w:rPr>
          <w:rFonts w:cs="Open Sans"/>
        </w:rPr>
        <w:t>may</w:t>
      </w:r>
      <w:r w:rsidRPr="2AC416A1">
        <w:rPr>
          <w:rFonts w:cs="Open Sans"/>
        </w:rPr>
        <w:t xml:space="preserve"> also have implications in terms of disciplinary action against health professionals and civil liability, which are discussed </w:t>
      </w:r>
      <w:r w:rsidRPr="00976BF8">
        <w:rPr>
          <w:rFonts w:cs="Open Sans"/>
        </w:rPr>
        <w:t xml:space="preserve">briefly in </w:t>
      </w:r>
      <w:r w:rsidRPr="006841C3">
        <w:rPr>
          <w:rFonts w:cs="Open Sans"/>
        </w:rPr>
        <w:t>this chapter.</w:t>
      </w:r>
    </w:p>
    <w:p w:rsidR="00452E54" w:rsidP="00452E54" w:rsidRDefault="00452E54" w14:paraId="47AD216D" w14:textId="77777777">
      <w:pPr>
        <w:pStyle w:val="AHRCHeading2"/>
      </w:pPr>
      <w:bookmarkStart w:name="_Toc77866646" w:id="492"/>
      <w:bookmarkStart w:name="_Toc80614218" w:id="493"/>
      <w:bookmarkStart w:name="_Toc85541482" w:id="494"/>
      <w:bookmarkEnd w:id="492"/>
      <w:r>
        <w:t>Support for new regulation</w:t>
      </w:r>
      <w:bookmarkEnd w:id="493"/>
      <w:bookmarkEnd w:id="494"/>
    </w:p>
    <w:p w:rsidR="00452E54" w:rsidP="00452E54" w:rsidRDefault="00452E54" w14:paraId="57E81F53" w14:textId="77777777">
      <w:pPr>
        <w:rPr>
          <w:rFonts w:cs="Open Sans"/>
        </w:rPr>
      </w:pPr>
      <w:r w:rsidRPr="2AC416A1">
        <w:rPr>
          <w:rFonts w:cs="Open Sans"/>
        </w:rPr>
        <w:t xml:space="preserve">Stakeholders expressed a range of views about how medical interventions modifying variations in sex characteristics without individual consent should be regulated. </w:t>
      </w:r>
    </w:p>
    <w:p w:rsidRPr="00154D64" w:rsidR="00452E54" w:rsidP="00452E54" w:rsidRDefault="00452E54" w14:paraId="7F068CFD" w14:textId="77777777">
      <w:pPr>
        <w:rPr>
          <w:rFonts w:cs="Open Sans"/>
        </w:rPr>
      </w:pPr>
      <w:r>
        <w:rPr>
          <w:rFonts w:cs="Open Sans"/>
        </w:rPr>
        <w:t xml:space="preserve">The importance of effective regulation was highlighted by reference to a </w:t>
      </w:r>
      <w:r w:rsidRPr="00154D64">
        <w:rPr>
          <w:rFonts w:cs="Open Sans"/>
        </w:rPr>
        <w:t xml:space="preserve">qualitative study </w:t>
      </w:r>
      <w:r>
        <w:rPr>
          <w:rFonts w:cs="Open Sans"/>
        </w:rPr>
        <w:t xml:space="preserve">of </w:t>
      </w:r>
      <w:r w:rsidRPr="00154D64">
        <w:rPr>
          <w:rFonts w:cs="Open Sans"/>
          <w:shd w:val="clear" w:color="auto" w:fill="FFFFFF"/>
        </w:rPr>
        <w:t>the relationship between intersex experience and law</w:t>
      </w:r>
      <w:r>
        <w:rPr>
          <w:rFonts w:cs="Open Sans"/>
          <w:shd w:val="clear" w:color="auto" w:fill="FFFFFF"/>
        </w:rPr>
        <w:t>.</w:t>
      </w:r>
      <w:r w:rsidRPr="0117CC5D">
        <w:rPr>
          <w:rStyle w:val="EndnoteReference"/>
          <w:rFonts w:cs="Open Sans"/>
          <w:shd w:val="clear" w:color="auto" w:fill="FFFFFF"/>
        </w:rPr>
        <w:endnoteReference w:id="633"/>
      </w:r>
      <w:r>
        <w:rPr>
          <w:rFonts w:cs="Open Sans"/>
          <w:shd w:val="clear" w:color="auto" w:fill="FFFFFF"/>
        </w:rPr>
        <w:t xml:space="preserve"> This</w:t>
      </w:r>
      <w:r w:rsidRPr="00154D64">
        <w:rPr>
          <w:rFonts w:cs="Open Sans"/>
          <w:shd w:val="clear" w:color="auto" w:fill="FFFFFF"/>
        </w:rPr>
        <w:t xml:space="preserve"> </w:t>
      </w:r>
      <w:r>
        <w:rPr>
          <w:rFonts w:cs="Open Sans"/>
          <w:shd w:val="clear" w:color="auto" w:fill="FFFFFF"/>
        </w:rPr>
        <w:t xml:space="preserve">study </w:t>
      </w:r>
      <w:r w:rsidRPr="00154D64">
        <w:rPr>
          <w:rFonts w:cs="Open Sans"/>
          <w:shd w:val="clear" w:color="auto" w:fill="FFFFFF"/>
        </w:rPr>
        <w:t xml:space="preserve">concluded </w:t>
      </w:r>
      <w:r w:rsidRPr="002F5766">
        <w:rPr>
          <w:rFonts w:cs="Open Sans"/>
          <w:shd w:val="clear" w:color="auto" w:fill="FFFFFF"/>
        </w:rPr>
        <w:t xml:space="preserve">that </w:t>
      </w:r>
      <w:r>
        <w:rPr>
          <w:rFonts w:cs="Open Sans"/>
          <w:shd w:val="clear" w:color="auto" w:fill="FFFFFF"/>
        </w:rPr>
        <w:t>’</w:t>
      </w:r>
      <w:r w:rsidRPr="002F5766">
        <w:rPr>
          <w:rFonts w:cs="Open Sans"/>
          <w:shd w:val="clear" w:color="auto" w:fill="FFFFFF"/>
        </w:rPr>
        <w:t>prevention of non-therapeutic medical intervention on the bodies of children was understood to be the key method of achieving equality for intersex embodied people’.</w:t>
      </w:r>
      <w:r w:rsidRPr="0117CC5D">
        <w:rPr>
          <w:rStyle w:val="EndnoteReference"/>
          <w:rFonts w:cs="Open Sans"/>
          <w:shd w:val="clear" w:color="auto" w:fill="FFFFFF"/>
        </w:rPr>
        <w:endnoteReference w:id="634"/>
      </w:r>
    </w:p>
    <w:p w:rsidRPr="00493B6C" w:rsidR="00452E54" w:rsidP="00452E54" w:rsidRDefault="00452E54" w14:paraId="395BBDF2" w14:textId="17E83D54">
      <w:pPr>
        <w:rPr>
          <w:rFonts w:cs="Open Sans"/>
        </w:rPr>
      </w:pPr>
      <w:r w:rsidRPr="2AC416A1">
        <w:rPr>
          <w:rFonts w:cs="Open Sans"/>
        </w:rPr>
        <w:t>A range of measures was suggested, including</w:t>
      </w:r>
    </w:p>
    <w:p w:rsidRPr="00493B6C" w:rsidR="00452E54" w:rsidP="00452E54" w:rsidRDefault="00452E54" w14:paraId="0F92C675" w14:textId="77777777">
      <w:pPr>
        <w:pStyle w:val="ListParagraph"/>
        <w:numPr>
          <w:ilvl w:val="0"/>
          <w:numId w:val="70"/>
        </w:numPr>
        <w:rPr>
          <w:rFonts w:cs="Open Sans"/>
        </w:rPr>
      </w:pPr>
      <w:r w:rsidRPr="00493B6C">
        <w:rPr>
          <w:rFonts w:cs="Open Sans"/>
        </w:rPr>
        <w:lastRenderedPageBreak/>
        <w:t xml:space="preserve">establishing a comprehensive legislative framework regulating a defined </w:t>
      </w:r>
      <w:r>
        <w:rPr>
          <w:rFonts w:cs="Open Sans"/>
        </w:rPr>
        <w:t>category</w:t>
      </w:r>
      <w:r w:rsidRPr="00493B6C">
        <w:rPr>
          <w:rFonts w:cs="Open Sans"/>
        </w:rPr>
        <w:t xml:space="preserve"> of intervention</w:t>
      </w:r>
      <w:r w:rsidRPr="0117CC5D">
        <w:rPr>
          <w:rStyle w:val="EndnoteReference"/>
          <w:rFonts w:cs="Open Sans"/>
        </w:rPr>
        <w:endnoteReference w:id="635"/>
      </w:r>
    </w:p>
    <w:p w:rsidRPr="00493B6C" w:rsidR="00452E54" w:rsidP="00452E54" w:rsidRDefault="00452E54" w14:paraId="0CD42C4E" w14:textId="77777777">
      <w:pPr>
        <w:pStyle w:val="ListParagraph"/>
        <w:numPr>
          <w:ilvl w:val="0"/>
          <w:numId w:val="70"/>
        </w:numPr>
        <w:rPr>
          <w:rFonts w:cs="Open Sans"/>
        </w:rPr>
      </w:pPr>
      <w:r w:rsidRPr="00493B6C">
        <w:rPr>
          <w:rFonts w:cs="Open Sans"/>
        </w:rPr>
        <w:t xml:space="preserve">the creation of criminal offences for </w:t>
      </w:r>
      <w:r>
        <w:rPr>
          <w:rFonts w:cs="Open Sans"/>
        </w:rPr>
        <w:t>medical interventions modifying sex characteristics that are deferrable or not medically necessary</w:t>
      </w:r>
      <w:r w:rsidRPr="0117CC5D">
        <w:rPr>
          <w:rStyle w:val="EndnoteReference"/>
          <w:rFonts w:cs="Open Sans"/>
        </w:rPr>
        <w:endnoteReference w:id="636"/>
      </w:r>
    </w:p>
    <w:p w:rsidR="00452E54" w:rsidP="00452E54" w:rsidRDefault="00452E54" w14:paraId="42B46FD9" w14:textId="77777777">
      <w:pPr>
        <w:pStyle w:val="ListParagraph"/>
        <w:numPr>
          <w:ilvl w:val="0"/>
          <w:numId w:val="70"/>
        </w:numPr>
        <w:rPr>
          <w:rFonts w:cs="Open Sans"/>
        </w:rPr>
      </w:pPr>
      <w:r w:rsidRPr="00493B6C">
        <w:rPr>
          <w:rFonts w:cs="Open Sans"/>
        </w:rPr>
        <w:t xml:space="preserve">the creation of civil </w:t>
      </w:r>
      <w:r>
        <w:rPr>
          <w:rFonts w:cs="Open Sans"/>
        </w:rPr>
        <w:t xml:space="preserve">liability </w:t>
      </w:r>
      <w:r w:rsidRPr="00493B6C">
        <w:rPr>
          <w:rFonts w:cs="Open Sans"/>
        </w:rPr>
        <w:t xml:space="preserve">for </w:t>
      </w:r>
      <w:r>
        <w:rPr>
          <w:rFonts w:cs="Open Sans"/>
        </w:rPr>
        <w:t>medical interventions modifying sex characteristics that are deferrable or not medically necessary</w:t>
      </w:r>
      <w:r w:rsidRPr="0117CC5D">
        <w:rPr>
          <w:rStyle w:val="EndnoteReference"/>
          <w:rFonts w:cs="Open Sans"/>
        </w:rPr>
        <w:endnoteReference w:id="637"/>
      </w:r>
      <w:r>
        <w:rPr>
          <w:rFonts w:cs="Open Sans"/>
        </w:rPr>
        <w:t xml:space="preserve">  </w:t>
      </w:r>
    </w:p>
    <w:p w:rsidRPr="00493B6C" w:rsidR="00452E54" w:rsidP="00452E54" w:rsidRDefault="00452E54" w14:paraId="1F33A490" w14:textId="77777777">
      <w:pPr>
        <w:pStyle w:val="ListParagraph"/>
        <w:numPr>
          <w:ilvl w:val="0"/>
          <w:numId w:val="70"/>
        </w:numPr>
        <w:rPr>
          <w:rFonts w:cs="Open Sans"/>
        </w:rPr>
      </w:pPr>
      <w:r>
        <w:rPr>
          <w:rFonts w:cs="Open Sans"/>
        </w:rPr>
        <w:t>removal of any limitation periods for legal action</w:t>
      </w:r>
      <w:r w:rsidRPr="0117CC5D">
        <w:rPr>
          <w:rStyle w:val="EndnoteReference"/>
          <w:rFonts w:cs="Open Sans"/>
        </w:rPr>
        <w:endnoteReference w:id="638"/>
      </w:r>
      <w:r w:rsidRPr="004B6DCD" w:rsidDel="00851CF7">
        <w:rPr>
          <w:rStyle w:val="CommentReference"/>
          <w:rFonts w:cs="Open Sans"/>
        </w:rPr>
        <w:t xml:space="preserve"> </w:t>
      </w:r>
    </w:p>
    <w:p w:rsidRPr="00493B6C" w:rsidR="00452E54" w:rsidDel="006A718D" w:rsidP="00452E54" w:rsidRDefault="00452E54" w14:paraId="1B3CDBCA" w14:textId="77777777">
      <w:pPr>
        <w:pStyle w:val="ListParagraph"/>
        <w:numPr>
          <w:ilvl w:val="0"/>
          <w:numId w:val="70"/>
        </w:numPr>
        <w:rPr>
          <w:rFonts w:asciiTheme="minorHAnsi" w:hAnsiTheme="minorHAnsi" w:eastAsiaTheme="minorEastAsia" w:cstheme="minorBidi"/>
        </w:rPr>
      </w:pPr>
      <w:r>
        <w:rPr>
          <w:rFonts w:cs="Open Sans"/>
        </w:rPr>
        <w:t xml:space="preserve">the use of </w:t>
      </w:r>
      <w:r w:rsidRPr="00493B6C">
        <w:rPr>
          <w:rFonts w:cs="Open Sans"/>
        </w:rPr>
        <w:t>de-registration and other professional disciplinary measures</w:t>
      </w:r>
      <w:r>
        <w:rPr>
          <w:rFonts w:cs="Open Sans"/>
        </w:rPr>
        <w:t>.</w:t>
      </w:r>
      <w:r w:rsidRPr="0117CC5D">
        <w:rPr>
          <w:rStyle w:val="EndnoteReference"/>
          <w:rFonts w:cs="Open Sans"/>
        </w:rPr>
        <w:endnoteReference w:id="639"/>
      </w:r>
      <w:r w:rsidRPr="2AC416A1">
        <w:rPr>
          <w:rFonts w:cs="Open Sans"/>
        </w:rPr>
        <w:t xml:space="preserve"> </w:t>
      </w:r>
    </w:p>
    <w:p w:rsidRPr="00154D64" w:rsidR="00452E54" w:rsidDel="00B86C1E" w:rsidP="00452E54" w:rsidRDefault="00452E54" w14:paraId="08C8A60F" w14:textId="77777777">
      <w:pPr>
        <w:rPr>
          <w:rFonts w:cs="Open Sans"/>
        </w:rPr>
      </w:pPr>
      <w:r>
        <w:rPr>
          <w:rFonts w:cs="Open Sans"/>
        </w:rPr>
        <w:t xml:space="preserve">Stakeholders argued that changes </w:t>
      </w:r>
      <w:r w:rsidRPr="00493B6C" w:rsidDel="005A693D">
        <w:rPr>
          <w:rFonts w:cs="Open Sans"/>
        </w:rPr>
        <w:t>in</w:t>
      </w:r>
      <w:r w:rsidDel="005A693D">
        <w:rPr>
          <w:rFonts w:cs="Open Sans"/>
        </w:rPr>
        <w:t xml:space="preserve"> </w:t>
      </w:r>
      <w:r w:rsidRPr="00493B6C">
        <w:rPr>
          <w:rFonts w:cs="Open Sans"/>
        </w:rPr>
        <w:t xml:space="preserve">clinical practice </w:t>
      </w:r>
      <w:r>
        <w:rPr>
          <w:rFonts w:cs="Open Sans"/>
        </w:rPr>
        <w:t xml:space="preserve">would fail to achieve the cultural change necessary to safeguard </w:t>
      </w:r>
      <w:r w:rsidRPr="00493B6C" w:rsidDel="005A693D">
        <w:rPr>
          <w:rFonts w:cs="Open Sans"/>
        </w:rPr>
        <w:t>people’s</w:t>
      </w:r>
      <w:r>
        <w:rPr>
          <w:rFonts w:cs="Open Sans"/>
        </w:rPr>
        <w:t xml:space="preserve"> </w:t>
      </w:r>
      <w:r w:rsidRPr="00493B6C">
        <w:rPr>
          <w:rFonts w:cs="Open Sans"/>
        </w:rPr>
        <w:t xml:space="preserve">human rights </w:t>
      </w:r>
      <w:r w:rsidRPr="00493B6C" w:rsidDel="005A693D">
        <w:rPr>
          <w:rFonts w:cs="Open Sans"/>
        </w:rPr>
        <w:t>unless</w:t>
      </w:r>
      <w:r>
        <w:rPr>
          <w:rFonts w:cs="Open Sans"/>
        </w:rPr>
        <w:t xml:space="preserve"> </w:t>
      </w:r>
      <w:r w:rsidRPr="00493B6C">
        <w:rPr>
          <w:rFonts w:cs="Open Sans"/>
        </w:rPr>
        <w:t>given legislative backing</w:t>
      </w:r>
      <w:r>
        <w:rPr>
          <w:rFonts w:cs="Open Sans"/>
        </w:rPr>
        <w:t>.</w:t>
      </w:r>
      <w:r w:rsidRPr="0117CC5D">
        <w:rPr>
          <w:rStyle w:val="EndnoteReference"/>
          <w:rFonts w:cs="Open Sans"/>
        </w:rPr>
        <w:endnoteReference w:id="640"/>
      </w:r>
      <w:r w:rsidDel="00494B68">
        <w:rPr>
          <w:rFonts w:cs="Open Sans"/>
        </w:rPr>
        <w:t xml:space="preserve"> </w:t>
      </w:r>
      <w:r w:rsidRPr="004B6DCD">
        <w:rPr>
          <w:rFonts w:cs="Open Sans"/>
        </w:rPr>
        <w:t>One stakeholder stated</w:t>
      </w:r>
      <w:r>
        <w:rPr>
          <w:rFonts w:cs="Open Sans"/>
        </w:rPr>
        <w:t>,</w:t>
      </w:r>
      <w:r w:rsidDel="00494B68">
        <w:rPr>
          <w:rFonts w:cs="Open Sans"/>
        </w:rPr>
        <w:t xml:space="preserve"> </w:t>
      </w:r>
      <w:r w:rsidRPr="2AC416A1">
        <w:rPr>
          <w:rFonts w:cs="Open Sans"/>
        </w:rPr>
        <w:t>‘National guidelines are important, but they are still just guidelines which physicians could choose to ignore willy nilly’.</w:t>
      </w:r>
      <w:r w:rsidRPr="0117CC5D">
        <w:rPr>
          <w:rStyle w:val="EndnoteReference"/>
          <w:rFonts w:cs="Open Sans"/>
        </w:rPr>
        <w:endnoteReference w:id="641"/>
      </w:r>
    </w:p>
    <w:p w:rsidRPr="00FA56D0" w:rsidR="00452E54" w:rsidP="00452E54" w:rsidRDefault="00452E54" w14:paraId="1497407A" w14:textId="77777777">
      <w:pPr>
        <w:pStyle w:val="Heading3"/>
        <w:rPr>
          <w:rFonts w:cs="Open Sans"/>
          <w:szCs w:val="24"/>
        </w:rPr>
      </w:pPr>
      <w:bookmarkStart w:name="_Toc21092260" w:id="496"/>
      <w:bookmarkStart w:name="_Toc42167947" w:id="497"/>
      <w:bookmarkStart w:name="_Toc42175421" w:id="498"/>
      <w:bookmarkStart w:name="_Toc80614219" w:id="499"/>
      <w:bookmarkStart w:name="_Toc85541483" w:id="500"/>
      <w:r w:rsidRPr="00FA56D0">
        <w:rPr>
          <w:rFonts w:cs="Open Sans"/>
          <w:szCs w:val="24"/>
        </w:rPr>
        <w:t>Creation of criminal offences</w:t>
      </w:r>
      <w:bookmarkEnd w:id="496"/>
      <w:bookmarkEnd w:id="497"/>
      <w:bookmarkEnd w:id="498"/>
      <w:bookmarkEnd w:id="499"/>
      <w:bookmarkEnd w:id="500"/>
    </w:p>
    <w:p w:rsidR="00452E54" w:rsidP="00452E54" w:rsidRDefault="00452E54" w14:paraId="0991568D" w14:textId="77777777">
      <w:pPr>
        <w:rPr>
          <w:rFonts w:cs="Open Sans"/>
        </w:rPr>
      </w:pPr>
      <w:r>
        <w:rPr>
          <w:rFonts w:cs="Open Sans"/>
        </w:rPr>
        <w:t>Stakeholders</w:t>
      </w:r>
      <w:r w:rsidRPr="00493B6C">
        <w:rPr>
          <w:rFonts w:cs="Open Sans"/>
        </w:rPr>
        <w:t xml:space="preserve"> </w:t>
      </w:r>
      <w:r>
        <w:rPr>
          <w:rFonts w:cs="Open Sans"/>
        </w:rPr>
        <w:t xml:space="preserve">from peer support and human rights organisations, and people with lived experience of variations in sex characteristics, </w:t>
      </w:r>
      <w:r w:rsidRPr="00493B6C">
        <w:rPr>
          <w:rFonts w:cs="Open Sans"/>
        </w:rPr>
        <w:t>advocat</w:t>
      </w:r>
      <w:r>
        <w:rPr>
          <w:rFonts w:cs="Open Sans"/>
        </w:rPr>
        <w:t>ed</w:t>
      </w:r>
      <w:r w:rsidRPr="00493B6C">
        <w:rPr>
          <w:rFonts w:cs="Open Sans"/>
        </w:rPr>
        <w:t xml:space="preserve"> for the creation of </w:t>
      </w:r>
      <w:r>
        <w:rPr>
          <w:rFonts w:cs="Open Sans"/>
        </w:rPr>
        <w:t xml:space="preserve">new </w:t>
      </w:r>
      <w:r w:rsidRPr="00493B6C">
        <w:rPr>
          <w:rFonts w:cs="Open Sans"/>
        </w:rPr>
        <w:t>criminal offences.</w:t>
      </w:r>
      <w:r w:rsidRPr="0117CC5D">
        <w:rPr>
          <w:rStyle w:val="EndnoteReference"/>
          <w:rFonts w:cs="Open Sans"/>
        </w:rPr>
        <w:endnoteReference w:id="642"/>
      </w:r>
      <w:r w:rsidRPr="00493B6C">
        <w:rPr>
          <w:rFonts w:cs="Open Sans"/>
        </w:rPr>
        <w:t xml:space="preserve"> </w:t>
      </w:r>
    </w:p>
    <w:p w:rsidRPr="00493B6C" w:rsidR="00452E54" w:rsidP="00452E54" w:rsidRDefault="00452E54" w14:paraId="27B2049D" w14:textId="77777777">
      <w:pPr>
        <w:rPr>
          <w:rFonts w:cs="Open Sans"/>
        </w:rPr>
      </w:pPr>
      <w:r>
        <w:rPr>
          <w:rFonts w:cs="Open Sans"/>
        </w:rPr>
        <w:t xml:space="preserve">Creating new offences for some medical interventions would, </w:t>
      </w:r>
      <w:r w:rsidRPr="00493B6C">
        <w:rPr>
          <w:rFonts w:cs="Open Sans"/>
        </w:rPr>
        <w:t xml:space="preserve">it was argued, align with the Yogyakarta Principles </w:t>
      </w:r>
      <w:r w:rsidRPr="00466D25">
        <w:rPr>
          <w:rFonts w:cs="Open Sans"/>
          <w:i/>
          <w:iCs/>
        </w:rPr>
        <w:t xml:space="preserve">plus </w:t>
      </w:r>
      <w:r w:rsidRPr="00C02557">
        <w:rPr>
          <w:rFonts w:cs="Open Sans"/>
          <w:i/>
          <w:iCs/>
        </w:rPr>
        <w:t>10</w:t>
      </w:r>
      <w:r w:rsidRPr="00466D25">
        <w:rPr>
          <w:rFonts w:cs="Open Sans"/>
        </w:rPr>
        <w:t>,</w:t>
      </w:r>
      <w:r w:rsidRPr="0117CC5D">
        <w:rPr>
          <w:rStyle w:val="EndnoteReference"/>
          <w:rFonts w:cs="Open Sans"/>
        </w:rPr>
        <w:endnoteReference w:id="643"/>
      </w:r>
      <w:r w:rsidRPr="001A6AE6">
        <w:rPr>
          <w:rFonts w:cs="Open Sans"/>
          <w:i/>
          <w:iCs/>
        </w:rPr>
        <w:t xml:space="preserve"> the Darlington Statement</w:t>
      </w:r>
      <w:r w:rsidRPr="00466D25">
        <w:rPr>
          <w:rFonts w:cs="Open Sans"/>
        </w:rPr>
        <w:t>,</w:t>
      </w:r>
      <w:r w:rsidRPr="0117CC5D">
        <w:rPr>
          <w:rStyle w:val="EndnoteReference"/>
          <w:rFonts w:cs="Open Sans"/>
        </w:rPr>
        <w:endnoteReference w:id="644"/>
      </w:r>
      <w:r w:rsidRPr="001A6AE6">
        <w:rPr>
          <w:rFonts w:cs="Open Sans"/>
          <w:i/>
          <w:iCs/>
        </w:rPr>
        <w:t xml:space="preserve"> and the Universal Declaration of Human Rights</w:t>
      </w:r>
      <w:r w:rsidRPr="00493B6C">
        <w:rPr>
          <w:rFonts w:cs="Open Sans"/>
        </w:rPr>
        <w:t>.</w:t>
      </w:r>
      <w:r w:rsidRPr="0117CC5D">
        <w:rPr>
          <w:rStyle w:val="EndnoteReference"/>
          <w:rFonts w:cs="Open Sans"/>
        </w:rPr>
        <w:endnoteReference w:id="645"/>
      </w:r>
    </w:p>
    <w:p w:rsidRPr="00493B6C" w:rsidR="00452E54" w:rsidP="00452E54" w:rsidRDefault="00452E54" w14:paraId="7367C702" w14:textId="43858F64">
      <w:pPr>
        <w:rPr>
          <w:rFonts w:cs="Open Sans"/>
        </w:rPr>
      </w:pPr>
      <w:r>
        <w:rPr>
          <w:rFonts w:cs="Open Sans"/>
        </w:rPr>
        <w:t>Stakeholders</w:t>
      </w:r>
      <w:r w:rsidRPr="00493B6C">
        <w:rPr>
          <w:rFonts w:cs="Open Sans"/>
        </w:rPr>
        <w:t xml:space="preserve"> noted that </w:t>
      </w:r>
      <w:r>
        <w:rPr>
          <w:rFonts w:cs="Open Sans"/>
        </w:rPr>
        <w:t xml:space="preserve">there have been many </w:t>
      </w:r>
      <w:r w:rsidRPr="00493B6C">
        <w:rPr>
          <w:rFonts w:cs="Open Sans"/>
        </w:rPr>
        <w:t>calls for legislative prohibition</w:t>
      </w:r>
      <w:r>
        <w:rPr>
          <w:rFonts w:cs="Open Sans"/>
        </w:rPr>
        <w:t>, including via new criminal offences,</w:t>
      </w:r>
      <w:r w:rsidRPr="00493B6C">
        <w:rPr>
          <w:rFonts w:cs="Open Sans"/>
        </w:rPr>
        <w:t xml:space="preserve"> </w:t>
      </w:r>
      <w:r>
        <w:rPr>
          <w:rFonts w:cs="Open Sans"/>
        </w:rPr>
        <w:t xml:space="preserve">in respect </w:t>
      </w:r>
      <w:r w:rsidRPr="00493B6C">
        <w:rPr>
          <w:rFonts w:cs="Open Sans"/>
        </w:rPr>
        <w:t>of non-consensual medical interventions.</w:t>
      </w:r>
      <w:r w:rsidRPr="0117CC5D">
        <w:rPr>
          <w:rStyle w:val="EndnoteReference"/>
          <w:rFonts w:cs="Open Sans"/>
        </w:rPr>
        <w:endnoteReference w:id="646"/>
      </w:r>
      <w:r>
        <w:rPr>
          <w:rFonts w:cs="Open Sans"/>
        </w:rPr>
        <w:t xml:space="preserve"> One peer support and advocacy organisation</w:t>
      </w:r>
      <w:r w:rsidRPr="004C6562">
        <w:rPr>
          <w:rFonts w:cs="Open Sans"/>
        </w:rPr>
        <w:t xml:space="preserve"> noted that since the 1990s</w:t>
      </w:r>
      <w:r>
        <w:rPr>
          <w:rFonts w:cs="Open Sans"/>
        </w:rPr>
        <w:t>, it has</w:t>
      </w:r>
      <w:r w:rsidRPr="004C6562">
        <w:rPr>
          <w:rFonts w:cs="Open Sans"/>
        </w:rPr>
        <w:t xml:space="preserve"> been calling for a moratorium on deferrable surgeries.</w:t>
      </w:r>
      <w:r w:rsidRPr="0117CC5D">
        <w:rPr>
          <w:rStyle w:val="EndnoteReference"/>
          <w:rFonts w:cs="Open Sans"/>
        </w:rPr>
        <w:endnoteReference w:id="647"/>
      </w:r>
      <w:r w:rsidRPr="004C6562">
        <w:rPr>
          <w:rFonts w:cs="Open Sans"/>
        </w:rPr>
        <w:t xml:space="preserve"> </w:t>
      </w:r>
      <w:r>
        <w:rPr>
          <w:rFonts w:cs="Open Sans"/>
        </w:rPr>
        <w:t>It</w:t>
      </w:r>
      <w:r w:rsidRPr="00493B6C">
        <w:rPr>
          <w:rFonts w:cs="Open Sans"/>
        </w:rPr>
        <w:t xml:space="preserve"> observed that advocacy for criminalisation has </w:t>
      </w:r>
      <w:r>
        <w:rPr>
          <w:rFonts w:cs="Open Sans"/>
        </w:rPr>
        <w:t>come</w:t>
      </w:r>
      <w:r w:rsidRPr="00493B6C">
        <w:rPr>
          <w:rFonts w:cs="Open Sans"/>
        </w:rPr>
        <w:t xml:space="preserve"> from diverse </w:t>
      </w:r>
      <w:r>
        <w:rPr>
          <w:rFonts w:cs="Open Sans"/>
        </w:rPr>
        <w:t>sources</w:t>
      </w:r>
      <w:r w:rsidRPr="00493B6C">
        <w:rPr>
          <w:rFonts w:cs="Open Sans"/>
        </w:rPr>
        <w:t>, including</w:t>
      </w:r>
      <w:r>
        <w:rPr>
          <w:rFonts w:cs="Open Sans"/>
        </w:rPr>
        <w:t xml:space="preserve"> in</w:t>
      </w:r>
    </w:p>
    <w:p w:rsidRPr="00493B6C" w:rsidR="00452E54" w:rsidP="00452E54" w:rsidRDefault="00452E54" w14:paraId="6F4A9EF8" w14:textId="77777777">
      <w:pPr>
        <w:pStyle w:val="ListParagraph"/>
        <w:numPr>
          <w:ilvl w:val="0"/>
          <w:numId w:val="71"/>
        </w:numPr>
        <w:rPr>
          <w:rFonts w:cs="Open Sans"/>
        </w:rPr>
      </w:pPr>
      <w:r w:rsidRPr="2AC416A1">
        <w:rPr>
          <w:rFonts w:cs="Open Sans"/>
        </w:rPr>
        <w:t>UN treaty body concluding observations</w:t>
      </w:r>
    </w:p>
    <w:p w:rsidRPr="00493B6C" w:rsidR="00452E54" w:rsidP="00452E54" w:rsidRDefault="00452E54" w14:paraId="1CC18B0E" w14:textId="77777777">
      <w:pPr>
        <w:pStyle w:val="ListParagraph"/>
        <w:numPr>
          <w:ilvl w:val="0"/>
          <w:numId w:val="71"/>
        </w:numPr>
        <w:rPr>
          <w:rFonts w:cs="Open Sans"/>
        </w:rPr>
      </w:pPr>
      <w:r w:rsidRPr="2AC416A1">
        <w:rPr>
          <w:rFonts w:cs="Open Sans"/>
        </w:rPr>
        <w:lastRenderedPageBreak/>
        <w:t>recommendations made by Special Rapporteurs</w:t>
      </w:r>
    </w:p>
    <w:p w:rsidRPr="00493B6C" w:rsidR="00452E54" w:rsidP="00452E54" w:rsidRDefault="00452E54" w14:paraId="48004E69" w14:textId="77777777">
      <w:pPr>
        <w:pStyle w:val="ListParagraph"/>
        <w:numPr>
          <w:ilvl w:val="0"/>
          <w:numId w:val="71"/>
        </w:numPr>
        <w:rPr>
          <w:rFonts w:cs="Open Sans"/>
        </w:rPr>
      </w:pPr>
      <w:r w:rsidRPr="2AC416A1">
        <w:rPr>
          <w:rFonts w:cs="Open Sans"/>
        </w:rPr>
        <w:t>recommendations by independent experts</w:t>
      </w:r>
    </w:p>
    <w:p w:rsidRPr="00493B6C" w:rsidR="00452E54" w:rsidP="00452E54" w:rsidRDefault="00452E54" w14:paraId="4ECCE012" w14:textId="77777777">
      <w:pPr>
        <w:pStyle w:val="ListParagraph"/>
        <w:numPr>
          <w:ilvl w:val="0"/>
          <w:numId w:val="71"/>
        </w:numPr>
        <w:rPr>
          <w:rFonts w:cs="Open Sans"/>
        </w:rPr>
      </w:pPr>
      <w:r w:rsidRPr="00493B6C">
        <w:rPr>
          <w:rFonts w:cs="Open Sans"/>
        </w:rPr>
        <w:t>community consensus statements</w:t>
      </w:r>
      <w:r w:rsidRPr="0117CC5D">
        <w:rPr>
          <w:rStyle w:val="EndnoteReference"/>
          <w:rFonts w:cs="Open Sans"/>
        </w:rPr>
        <w:endnoteReference w:id="648"/>
      </w:r>
    </w:p>
    <w:p w:rsidRPr="00493B6C" w:rsidR="00452E54" w:rsidP="00452E54" w:rsidRDefault="00452E54" w14:paraId="24BCE8C9" w14:textId="77777777">
      <w:pPr>
        <w:pStyle w:val="ListParagraph"/>
        <w:numPr>
          <w:ilvl w:val="0"/>
          <w:numId w:val="71"/>
        </w:numPr>
        <w:rPr>
          <w:rFonts w:cs="Open Sans"/>
        </w:rPr>
      </w:pPr>
      <w:r>
        <w:rPr>
          <w:rFonts w:cs="Open Sans"/>
        </w:rPr>
        <w:t xml:space="preserve">statements by </w:t>
      </w:r>
      <w:r w:rsidRPr="00493B6C">
        <w:rPr>
          <w:rFonts w:cs="Open Sans"/>
        </w:rPr>
        <w:t>disability organisations</w:t>
      </w:r>
      <w:r>
        <w:rPr>
          <w:rFonts w:cs="Open Sans"/>
        </w:rPr>
        <w:t>.</w:t>
      </w:r>
      <w:r w:rsidRPr="00285EB2">
        <w:rPr>
          <w:rStyle w:val="EndnoteReference"/>
          <w:rFonts w:cs="Open Sans"/>
          <w:sz w:val="22"/>
          <w:szCs w:val="22"/>
        </w:rPr>
        <w:endnoteReference w:id="649"/>
      </w:r>
    </w:p>
    <w:p w:rsidRPr="00FA56D0" w:rsidR="00452E54" w:rsidP="00452E54" w:rsidRDefault="00452E54" w14:paraId="7E3B1D1D" w14:textId="77777777">
      <w:pPr>
        <w:rPr>
          <w:rFonts w:cs="Open Sans"/>
        </w:rPr>
      </w:pPr>
      <w:r w:rsidRPr="00FA56D0">
        <w:rPr>
          <w:rFonts w:cs="Open Sans"/>
        </w:rPr>
        <w:t xml:space="preserve">Some </w:t>
      </w:r>
      <w:r>
        <w:rPr>
          <w:rFonts w:cs="Open Sans"/>
        </w:rPr>
        <w:t>stakeholders</w:t>
      </w:r>
      <w:r w:rsidRPr="00FA56D0">
        <w:rPr>
          <w:rFonts w:cs="Open Sans"/>
        </w:rPr>
        <w:t xml:space="preserve"> called for criminalisation in line with human rights obligations</w:t>
      </w:r>
      <w:r>
        <w:rPr>
          <w:rFonts w:cs="Open Sans"/>
        </w:rPr>
        <w:t>. E</w:t>
      </w:r>
      <w:r w:rsidRPr="00FA56D0">
        <w:rPr>
          <w:rFonts w:cs="Open Sans"/>
        </w:rPr>
        <w:t xml:space="preserve">xisting </w:t>
      </w:r>
      <w:r>
        <w:rPr>
          <w:rFonts w:cs="Open Sans"/>
        </w:rPr>
        <w:t>offences</w:t>
      </w:r>
      <w:r w:rsidRPr="00FA56D0">
        <w:rPr>
          <w:rFonts w:cs="Open Sans"/>
        </w:rPr>
        <w:t xml:space="preserve"> relating to female genital mutilation </w:t>
      </w:r>
      <w:r>
        <w:rPr>
          <w:rFonts w:cs="Open Sans"/>
        </w:rPr>
        <w:t xml:space="preserve">were taken as a precedent, </w:t>
      </w:r>
      <w:r w:rsidRPr="00FA56D0">
        <w:rPr>
          <w:rFonts w:cs="Open Sans"/>
        </w:rPr>
        <w:t>including</w:t>
      </w:r>
      <w:r>
        <w:rPr>
          <w:rFonts w:cs="Open Sans"/>
        </w:rPr>
        <w:t xml:space="preserve"> in relation to</w:t>
      </w:r>
      <w:r w:rsidRPr="00FA56D0">
        <w:rPr>
          <w:rFonts w:cs="Open Sans"/>
        </w:rPr>
        <w:t xml:space="preserve"> extra-territorial application</w:t>
      </w:r>
      <w:r>
        <w:rPr>
          <w:rFonts w:cs="Open Sans"/>
        </w:rPr>
        <w:t>.</w:t>
      </w:r>
      <w:r w:rsidRPr="0117CC5D">
        <w:rPr>
          <w:rStyle w:val="EndnoteReference"/>
          <w:rFonts w:cs="Open Sans"/>
        </w:rPr>
        <w:endnoteReference w:id="650"/>
      </w:r>
      <w:r w:rsidRPr="00FA56D0">
        <w:rPr>
          <w:rFonts w:cs="Open Sans"/>
        </w:rPr>
        <w:t xml:space="preserve"> Some emphasised that </w:t>
      </w:r>
      <w:r>
        <w:rPr>
          <w:rFonts w:cs="Open Sans"/>
        </w:rPr>
        <w:t xml:space="preserve">criminalisation </w:t>
      </w:r>
      <w:r w:rsidRPr="00FA56D0">
        <w:rPr>
          <w:rFonts w:cs="Open Sans"/>
        </w:rPr>
        <w:t xml:space="preserve">was a </w:t>
      </w:r>
      <w:r>
        <w:rPr>
          <w:rFonts w:cs="Open Sans"/>
        </w:rPr>
        <w:t xml:space="preserve">concern </w:t>
      </w:r>
      <w:r w:rsidRPr="00FA56D0">
        <w:rPr>
          <w:rFonts w:cs="Open Sans"/>
        </w:rPr>
        <w:t>of the highest priority to them,</w:t>
      </w:r>
      <w:r w:rsidRPr="0117CC5D">
        <w:rPr>
          <w:rStyle w:val="EndnoteReference"/>
          <w:rFonts w:cs="Open Sans"/>
        </w:rPr>
        <w:endnoteReference w:id="651"/>
      </w:r>
      <w:r w:rsidRPr="00FA56D0">
        <w:rPr>
          <w:rFonts w:cs="Open Sans"/>
        </w:rPr>
        <w:t xml:space="preserve"> and argued that a </w:t>
      </w:r>
      <w:r>
        <w:rPr>
          <w:rFonts w:cs="Open Sans"/>
        </w:rPr>
        <w:t xml:space="preserve">criminal </w:t>
      </w:r>
      <w:r w:rsidRPr="00FA56D0">
        <w:rPr>
          <w:rFonts w:cs="Open Sans"/>
        </w:rPr>
        <w:t>prohibition would enhance the human rights of all members of the community.</w:t>
      </w:r>
      <w:r w:rsidRPr="0117CC5D">
        <w:rPr>
          <w:rStyle w:val="EndnoteReference"/>
          <w:rFonts w:cs="Open Sans"/>
        </w:rPr>
        <w:endnoteReference w:id="652"/>
      </w:r>
      <w:r w:rsidRPr="00FA56D0">
        <w:rPr>
          <w:rFonts w:cs="Open Sans"/>
        </w:rPr>
        <w:t xml:space="preserve">  </w:t>
      </w:r>
    </w:p>
    <w:p w:rsidRPr="00FA56D0" w:rsidR="00452E54" w:rsidP="00452E54" w:rsidRDefault="00452E54" w14:paraId="3CD8E748" w14:textId="77777777">
      <w:pPr>
        <w:rPr>
          <w:rFonts w:cs="Open Sans"/>
        </w:rPr>
      </w:pPr>
      <w:r w:rsidRPr="00FA56D0">
        <w:rPr>
          <w:rFonts w:cs="Open Sans"/>
        </w:rPr>
        <w:t xml:space="preserve">Some </w:t>
      </w:r>
      <w:r>
        <w:rPr>
          <w:rFonts w:cs="Open Sans"/>
        </w:rPr>
        <w:t>stakeholders</w:t>
      </w:r>
      <w:r w:rsidRPr="00FA56D0">
        <w:rPr>
          <w:rFonts w:cs="Open Sans"/>
        </w:rPr>
        <w:t xml:space="preserve"> were adamant that nothing short of criminalisation would be adequate to promote a cultur</w:t>
      </w:r>
      <w:r>
        <w:rPr>
          <w:rFonts w:cs="Open Sans"/>
        </w:rPr>
        <w:t>al</w:t>
      </w:r>
      <w:r w:rsidRPr="00FA56D0">
        <w:rPr>
          <w:rFonts w:cs="Open Sans"/>
        </w:rPr>
        <w:t xml:space="preserve"> shift, which they considered necessary to de-pathologise people born with </w:t>
      </w:r>
      <w:r>
        <w:rPr>
          <w:rFonts w:cs="Open Sans"/>
        </w:rPr>
        <w:t>variations in sex</w:t>
      </w:r>
      <w:r w:rsidRPr="00FA56D0">
        <w:rPr>
          <w:rFonts w:cs="Open Sans"/>
        </w:rPr>
        <w:t xml:space="preserve"> characteristics and de-medicalise initial responses by means of early intervention.</w:t>
      </w:r>
      <w:r w:rsidRPr="0117CC5D">
        <w:rPr>
          <w:rStyle w:val="EndnoteReference"/>
          <w:rFonts w:cs="Open Sans"/>
        </w:rPr>
        <w:endnoteReference w:id="653"/>
      </w:r>
      <w:r w:rsidRPr="00FA56D0">
        <w:rPr>
          <w:rFonts w:cs="Open Sans"/>
        </w:rPr>
        <w:t xml:space="preserve"> </w:t>
      </w:r>
      <w:r>
        <w:rPr>
          <w:rFonts w:cs="Open Sans"/>
        </w:rPr>
        <w:t xml:space="preserve">Stakeholders also considered that </w:t>
      </w:r>
      <w:r w:rsidRPr="00FA56D0">
        <w:rPr>
          <w:rFonts w:cs="Open Sans"/>
        </w:rPr>
        <w:t>criminal prohibition</w:t>
      </w:r>
      <w:r>
        <w:rPr>
          <w:rFonts w:cs="Open Sans"/>
        </w:rPr>
        <w:t>s</w:t>
      </w:r>
      <w:r w:rsidRPr="00FA56D0">
        <w:rPr>
          <w:rFonts w:cs="Open Sans"/>
        </w:rPr>
        <w:t xml:space="preserve"> should be preferred to civil</w:t>
      </w:r>
      <w:r>
        <w:rPr>
          <w:rFonts w:cs="Open Sans"/>
        </w:rPr>
        <w:t xml:space="preserve"> remedies, because civil</w:t>
      </w:r>
      <w:r w:rsidRPr="00FA56D0">
        <w:rPr>
          <w:rFonts w:cs="Open Sans"/>
        </w:rPr>
        <w:t xml:space="preserve"> litigation</w:t>
      </w:r>
      <w:r>
        <w:rPr>
          <w:rFonts w:cs="Open Sans"/>
        </w:rPr>
        <w:t xml:space="preserve"> </w:t>
      </w:r>
      <w:r w:rsidRPr="00FA56D0">
        <w:rPr>
          <w:rFonts w:cs="Open Sans"/>
        </w:rPr>
        <w:t xml:space="preserve">would </w:t>
      </w:r>
      <w:r>
        <w:rPr>
          <w:rFonts w:cs="Open Sans"/>
        </w:rPr>
        <w:t xml:space="preserve">effectively </w:t>
      </w:r>
      <w:r w:rsidRPr="00FA56D0">
        <w:rPr>
          <w:rFonts w:cs="Open Sans"/>
        </w:rPr>
        <w:t xml:space="preserve">require children to </w:t>
      </w:r>
      <w:r>
        <w:rPr>
          <w:rFonts w:cs="Open Sans"/>
        </w:rPr>
        <w:t>bring actions</w:t>
      </w:r>
      <w:r w:rsidRPr="00FA56D0">
        <w:rPr>
          <w:rFonts w:cs="Open Sans"/>
        </w:rPr>
        <w:t xml:space="preserve"> against their parents.</w:t>
      </w:r>
      <w:r w:rsidRPr="0117CC5D">
        <w:rPr>
          <w:rStyle w:val="EndnoteReference"/>
          <w:rFonts w:cs="Open Sans"/>
        </w:rPr>
        <w:endnoteReference w:id="654"/>
      </w:r>
      <w:r w:rsidRPr="00FA56D0">
        <w:rPr>
          <w:rFonts w:cs="Open Sans"/>
        </w:rPr>
        <w:t xml:space="preserve"> </w:t>
      </w:r>
    </w:p>
    <w:p w:rsidRPr="00FA56D0" w:rsidR="00452E54" w:rsidP="00452E54" w:rsidRDefault="00452E54" w14:paraId="682D97D6" w14:textId="77777777">
      <w:pPr>
        <w:rPr>
          <w:rFonts w:cs="Open Sans"/>
        </w:rPr>
      </w:pPr>
      <w:r>
        <w:rPr>
          <w:rFonts w:cs="Open Sans"/>
        </w:rPr>
        <w:t xml:space="preserve">Some stakeholders </w:t>
      </w:r>
      <w:r w:rsidRPr="00FA56D0">
        <w:rPr>
          <w:rFonts w:cs="Open Sans"/>
        </w:rPr>
        <w:t xml:space="preserve">expressed dismay that </w:t>
      </w:r>
      <w:r>
        <w:rPr>
          <w:rFonts w:cs="Open Sans"/>
        </w:rPr>
        <w:t>Australian</w:t>
      </w:r>
      <w:r w:rsidRPr="00FA56D0">
        <w:rPr>
          <w:rFonts w:cs="Open Sans"/>
        </w:rPr>
        <w:t xml:space="preserve"> governments have dismissed calls</w:t>
      </w:r>
      <w:r>
        <w:rPr>
          <w:rFonts w:cs="Open Sans"/>
        </w:rPr>
        <w:t xml:space="preserve"> for new offences applying to carrying out medical interventions modifying sex characteristics.</w:t>
      </w:r>
      <w:r w:rsidRPr="0117CC5D">
        <w:rPr>
          <w:rStyle w:val="EndnoteReference"/>
          <w:rFonts w:cs="Open Sans"/>
        </w:rPr>
        <w:endnoteReference w:id="655"/>
      </w:r>
      <w:r>
        <w:rPr>
          <w:rFonts w:cs="Open Sans"/>
        </w:rPr>
        <w:t xml:space="preserve"> On the other hand, as discussed below, t</w:t>
      </w:r>
      <w:r w:rsidRPr="00FA56D0">
        <w:rPr>
          <w:rFonts w:cs="Open Sans"/>
        </w:rPr>
        <w:t xml:space="preserve">here was strong opposition from clinical </w:t>
      </w:r>
      <w:r>
        <w:rPr>
          <w:rFonts w:cs="Open Sans"/>
        </w:rPr>
        <w:t>stakeholders</w:t>
      </w:r>
      <w:r w:rsidRPr="00FA56D0">
        <w:rPr>
          <w:rFonts w:cs="Open Sans"/>
        </w:rPr>
        <w:t xml:space="preserve"> to any criminalisation of </w:t>
      </w:r>
      <w:r>
        <w:rPr>
          <w:rFonts w:cs="Open Sans"/>
        </w:rPr>
        <w:t xml:space="preserve">medical </w:t>
      </w:r>
      <w:r w:rsidRPr="00FA56D0">
        <w:rPr>
          <w:rFonts w:cs="Open Sans"/>
        </w:rPr>
        <w:t>practice</w:t>
      </w:r>
      <w:r>
        <w:rPr>
          <w:rFonts w:cs="Open Sans"/>
        </w:rPr>
        <w:t>.</w:t>
      </w:r>
    </w:p>
    <w:p w:rsidRPr="00FA56D0" w:rsidR="00452E54" w:rsidP="00452E54" w:rsidRDefault="00452E54" w14:paraId="3826CF0D" w14:textId="77777777">
      <w:pPr>
        <w:pStyle w:val="Heading3"/>
        <w:rPr>
          <w:rFonts w:cs="Open Sans"/>
          <w:szCs w:val="24"/>
        </w:rPr>
      </w:pPr>
      <w:bookmarkStart w:name="_Toc21092261" w:id="501"/>
      <w:bookmarkStart w:name="_Toc42167948" w:id="502"/>
      <w:bookmarkStart w:name="_Toc42175422" w:id="503"/>
      <w:bookmarkStart w:name="_Toc80614220" w:id="504"/>
      <w:bookmarkStart w:name="_Toc85541484" w:id="505"/>
      <w:r w:rsidRPr="00FA56D0">
        <w:rPr>
          <w:rFonts w:cs="Open Sans"/>
          <w:szCs w:val="24"/>
        </w:rPr>
        <w:t>Civil liability</w:t>
      </w:r>
      <w:bookmarkEnd w:id="501"/>
      <w:bookmarkEnd w:id="502"/>
      <w:bookmarkEnd w:id="503"/>
      <w:bookmarkEnd w:id="504"/>
      <w:bookmarkEnd w:id="505"/>
    </w:p>
    <w:p w:rsidR="00452E54" w:rsidP="00452E54" w:rsidRDefault="00452E54" w14:paraId="43E1E530" w14:textId="77777777">
      <w:pPr>
        <w:rPr>
          <w:rFonts w:cs="Open Sans"/>
        </w:rPr>
      </w:pPr>
      <w:r w:rsidRPr="2AC416A1">
        <w:rPr>
          <w:rFonts w:cs="Open Sans"/>
        </w:rPr>
        <w:t>Existing civil remedies include those in tort such as</w:t>
      </w:r>
      <w:r>
        <w:rPr>
          <w:rFonts w:cs="Open Sans"/>
        </w:rPr>
        <w:t xml:space="preserve"> trespass to the person</w:t>
      </w:r>
      <w:r w:rsidRPr="2AC416A1">
        <w:rPr>
          <w:rFonts w:cs="Open Sans"/>
        </w:rPr>
        <w:t xml:space="preserve">, which </w:t>
      </w:r>
      <w:r>
        <w:rPr>
          <w:rFonts w:cs="Open Sans"/>
        </w:rPr>
        <w:t>is</w:t>
      </w:r>
      <w:r w:rsidRPr="2AC416A1">
        <w:rPr>
          <w:rFonts w:cs="Open Sans"/>
        </w:rPr>
        <w:t xml:space="preserve"> actionable without proof of damage or causation of damage, and in negligence, including negligent nondisclosure of material risks.</w:t>
      </w:r>
    </w:p>
    <w:p w:rsidR="00452E54" w:rsidP="00452E54" w:rsidRDefault="00452E54" w14:paraId="4C223682" w14:textId="77777777">
      <w:pPr>
        <w:rPr>
          <w:rFonts w:cs="Open Sans"/>
        </w:rPr>
      </w:pPr>
      <w:r>
        <w:rPr>
          <w:rFonts w:cs="Open Sans"/>
        </w:rPr>
        <w:t xml:space="preserve">Some human rights experts and people with lived experience of variations in sex characteristics </w:t>
      </w:r>
      <w:r w:rsidRPr="00493B6C">
        <w:rPr>
          <w:rFonts w:cs="Open Sans"/>
        </w:rPr>
        <w:t xml:space="preserve">advocated for </w:t>
      </w:r>
      <w:r>
        <w:rPr>
          <w:rFonts w:cs="Open Sans"/>
        </w:rPr>
        <w:t xml:space="preserve">improved </w:t>
      </w:r>
      <w:r w:rsidRPr="00493B6C">
        <w:rPr>
          <w:rFonts w:cs="Open Sans"/>
        </w:rPr>
        <w:t>civil remedies</w:t>
      </w:r>
      <w:r>
        <w:rPr>
          <w:rFonts w:cs="Open Sans"/>
        </w:rPr>
        <w:t>, including extending limitation periods.</w:t>
      </w:r>
      <w:r w:rsidRPr="0117CC5D">
        <w:rPr>
          <w:rStyle w:val="EndnoteReference"/>
          <w:rFonts w:cs="Open Sans"/>
        </w:rPr>
        <w:endnoteReference w:id="656"/>
      </w:r>
      <w:r w:rsidRPr="00493B6C">
        <w:rPr>
          <w:rFonts w:cs="Open Sans"/>
        </w:rPr>
        <w:t xml:space="preserve"> </w:t>
      </w:r>
    </w:p>
    <w:p w:rsidRPr="00981E9B" w:rsidR="00452E54" w:rsidDel="00F86200" w:rsidP="00452E54" w:rsidRDefault="00452E54" w14:paraId="5791EB6C" w14:textId="77777777">
      <w:pPr>
        <w:pStyle w:val="Heading3"/>
        <w:rPr>
          <w:rFonts w:asciiTheme="minorHAnsi" w:hAnsiTheme="minorHAnsi" w:eastAsiaTheme="minorEastAsia" w:cstheme="minorBidi"/>
        </w:rPr>
      </w:pPr>
      <w:bookmarkStart w:name="_Toc21092262" w:id="506"/>
      <w:bookmarkStart w:name="_Toc42167949" w:id="507"/>
      <w:bookmarkStart w:name="_Toc42175423" w:id="508"/>
      <w:bookmarkStart w:name="_Toc80614221" w:id="509"/>
      <w:bookmarkStart w:name="_Toc85541485" w:id="510"/>
      <w:r w:rsidRPr="2AC416A1">
        <w:lastRenderedPageBreak/>
        <w:t>Disciplinary action</w:t>
      </w:r>
      <w:bookmarkEnd w:id="506"/>
      <w:bookmarkEnd w:id="507"/>
      <w:bookmarkEnd w:id="508"/>
      <w:bookmarkEnd w:id="509"/>
      <w:bookmarkEnd w:id="510"/>
    </w:p>
    <w:p w:rsidRPr="00493B6C" w:rsidR="00452E54" w:rsidP="00452E54" w:rsidRDefault="00452E54" w14:paraId="1401720B" w14:textId="77777777">
      <w:pPr>
        <w:rPr>
          <w:rFonts w:cs="Open Sans"/>
        </w:rPr>
      </w:pPr>
      <w:r w:rsidRPr="0073584B">
        <w:rPr>
          <w:rFonts w:cs="Open Sans"/>
        </w:rPr>
        <w:t>Some stakeholders highlighted the possible role of disciplinary action by professional regulatory entities, such as the Australian Health Practitioner Regulatory Authority, in sanctioning health practitioners who carry out medical interventions modifying sex characteristics</w:t>
      </w:r>
      <w:r>
        <w:rPr>
          <w:rFonts w:cs="Open Sans"/>
        </w:rPr>
        <w:t xml:space="preserve"> of people under the age of 18 years, in circumstances other than medical necessity</w:t>
      </w:r>
      <w:r w:rsidRPr="0073584B">
        <w:rPr>
          <w:rFonts w:cs="Open Sans"/>
        </w:rPr>
        <w:t>.</w:t>
      </w:r>
      <w:r w:rsidRPr="0117CC5D">
        <w:rPr>
          <w:rStyle w:val="EndnoteReference"/>
          <w:rFonts w:cs="Open Sans"/>
        </w:rPr>
        <w:endnoteReference w:id="657"/>
      </w:r>
      <w:r w:rsidRPr="00493B6C">
        <w:rPr>
          <w:rFonts w:cs="Open Sans"/>
        </w:rPr>
        <w:t xml:space="preserve"> </w:t>
      </w:r>
      <w:r>
        <w:rPr>
          <w:rFonts w:cs="Open Sans"/>
        </w:rPr>
        <w:t xml:space="preserve">Disciplinary action may include </w:t>
      </w:r>
      <w:r w:rsidRPr="00493B6C">
        <w:rPr>
          <w:rFonts w:cs="Open Sans"/>
        </w:rPr>
        <w:t>de-registration, suspension from practice and supervision arrangements.</w:t>
      </w:r>
    </w:p>
    <w:p w:rsidRPr="00493B6C" w:rsidR="00452E54" w:rsidP="00452E54" w:rsidRDefault="00452E54" w14:paraId="1680C160" w14:textId="77777777">
      <w:pPr>
        <w:pStyle w:val="AHRCHeading2"/>
      </w:pPr>
      <w:bookmarkStart w:name="_Toc80614222" w:id="511"/>
      <w:bookmarkStart w:name="_Toc21092263" w:id="512"/>
      <w:bookmarkStart w:name="_Toc42167950" w:id="513"/>
      <w:bookmarkStart w:name="_Toc42175424" w:id="514"/>
      <w:bookmarkStart w:name="_Toc85541486" w:id="515"/>
      <w:r w:rsidRPr="00493B6C">
        <w:t xml:space="preserve">Opposition to </w:t>
      </w:r>
      <w:r>
        <w:t xml:space="preserve">new </w:t>
      </w:r>
      <w:r w:rsidRPr="00493B6C">
        <w:t>regulat</w:t>
      </w:r>
      <w:r>
        <w:t>ion</w:t>
      </w:r>
      <w:bookmarkEnd w:id="511"/>
      <w:bookmarkEnd w:id="515"/>
      <w:r>
        <w:t xml:space="preserve"> </w:t>
      </w:r>
      <w:bookmarkEnd w:id="512"/>
      <w:bookmarkEnd w:id="513"/>
      <w:bookmarkEnd w:id="514"/>
    </w:p>
    <w:p w:rsidRPr="00493B6C" w:rsidR="00452E54" w:rsidP="00452E54" w:rsidRDefault="18BF7503" w14:paraId="64874E40" w14:textId="58BB7357">
      <w:pPr>
        <w:rPr>
          <w:rFonts w:cs="Open Sans"/>
        </w:rPr>
      </w:pPr>
      <w:r w:rsidRPr="3F40602D">
        <w:rPr>
          <w:rFonts w:cs="Open Sans"/>
        </w:rPr>
        <w:t xml:space="preserve">Clinical stakeholders and some parents of people born with variations in sex characteristics made forceful objections to legislative prohibition of medical interventions modifying sex characteristics and, in particular the creation of new criminal offences. </w:t>
      </w:r>
    </w:p>
    <w:p w:rsidR="00452E54" w:rsidP="00452E54" w:rsidRDefault="00452E54" w14:paraId="35D1C6F1" w14:textId="77777777">
      <w:pPr>
        <w:pStyle w:val="Heading3"/>
      </w:pPr>
      <w:bookmarkStart w:name="_Toc80614223" w:id="516"/>
      <w:bookmarkStart w:name="_Toc85541487" w:id="517"/>
      <w:r>
        <w:t>Legislative prohibition is morally unjustified</w:t>
      </w:r>
      <w:bookmarkEnd w:id="516"/>
      <w:bookmarkEnd w:id="517"/>
    </w:p>
    <w:p w:rsidRPr="008C7F47" w:rsidR="00452E54" w:rsidDel="00C871FD" w:rsidP="00452E54" w:rsidRDefault="00452E54" w14:paraId="4BC9CF49" w14:textId="77777777">
      <w:pPr>
        <w:rPr>
          <w:rFonts w:cs="Open Sans"/>
        </w:rPr>
      </w:pPr>
      <w:r w:rsidRPr="00124B13">
        <w:rPr>
          <w:rFonts w:cs="Open Sans"/>
        </w:rPr>
        <w:t>There was a view that regulat</w:t>
      </w:r>
      <w:r>
        <w:rPr>
          <w:rFonts w:cs="Open Sans"/>
        </w:rPr>
        <w:t>ion</w:t>
      </w:r>
      <w:r w:rsidRPr="00124B13">
        <w:rPr>
          <w:rFonts w:cs="Open Sans"/>
        </w:rPr>
        <w:t xml:space="preserve"> would not be appropriate </w:t>
      </w:r>
      <w:r>
        <w:rPr>
          <w:rFonts w:cs="Open Sans"/>
        </w:rPr>
        <w:t xml:space="preserve">because medical interventions proposed by clinicians or agreed to by parents are aimed at improving the lives of people born with variations in sex characteristics </w:t>
      </w:r>
      <w:r w:rsidRPr="00C871FD">
        <w:rPr>
          <w:rFonts w:cs="Open Sans"/>
        </w:rPr>
        <w:t xml:space="preserve">and </w:t>
      </w:r>
      <w:r>
        <w:rPr>
          <w:rFonts w:cs="Open Sans"/>
        </w:rPr>
        <w:t xml:space="preserve">in accordance with </w:t>
      </w:r>
      <w:r w:rsidRPr="00C871FD">
        <w:rPr>
          <w:rFonts w:cs="Open Sans"/>
        </w:rPr>
        <w:t>medical ethics</w:t>
      </w:r>
      <w:r w:rsidRPr="002B51DC">
        <w:rPr>
          <w:rFonts w:cs="Open Sans"/>
          <w:sz w:val="20"/>
          <w:szCs w:val="20"/>
          <w:vertAlign w:val="superscript"/>
        </w:rPr>
        <w:endnoteReference w:id="658"/>
      </w:r>
      <w:r>
        <w:rPr>
          <w:rFonts w:cs="Open Sans"/>
        </w:rPr>
        <w:t xml:space="preserve"> and</w:t>
      </w:r>
      <w:r w:rsidRPr="002750E9">
        <w:rPr>
          <w:rFonts w:cs="Open Sans"/>
        </w:rPr>
        <w:t xml:space="preserve"> </w:t>
      </w:r>
      <w:r>
        <w:rPr>
          <w:rFonts w:cs="Open Sans"/>
        </w:rPr>
        <w:t xml:space="preserve">the good intentions of </w:t>
      </w:r>
      <w:r w:rsidRPr="002750E9">
        <w:rPr>
          <w:rFonts w:cs="Open Sans"/>
        </w:rPr>
        <w:t>parents</w:t>
      </w:r>
      <w:r>
        <w:rPr>
          <w:rFonts w:cs="Open Sans"/>
        </w:rPr>
        <w:t>.</w:t>
      </w:r>
      <w:r w:rsidRPr="002B51DC">
        <w:rPr>
          <w:rFonts w:cs="Open Sans"/>
          <w:sz w:val="20"/>
          <w:szCs w:val="20"/>
          <w:vertAlign w:val="superscript"/>
        </w:rPr>
        <w:endnoteReference w:id="659"/>
      </w:r>
      <w:r>
        <w:rPr>
          <w:rFonts w:cs="Open Sans"/>
        </w:rPr>
        <w:t xml:space="preserve"> The introduction of prohibitions would, it was said, imply malicious intent on their part.</w:t>
      </w:r>
      <w:r w:rsidRPr="002B51DC">
        <w:rPr>
          <w:rFonts w:cs="Open Sans"/>
          <w:sz w:val="20"/>
          <w:szCs w:val="20"/>
          <w:vertAlign w:val="superscript"/>
        </w:rPr>
        <w:endnoteReference w:id="660"/>
      </w:r>
    </w:p>
    <w:p w:rsidRPr="00493B6C" w:rsidR="00452E54" w:rsidP="00452E54" w:rsidRDefault="00452E54" w14:paraId="18220527" w14:textId="77777777">
      <w:pPr>
        <w:rPr>
          <w:rFonts w:cs="Open Sans"/>
        </w:rPr>
      </w:pPr>
      <w:r w:rsidRPr="00A9011A">
        <w:rPr>
          <w:rFonts w:cs="Open Sans"/>
        </w:rPr>
        <w:t xml:space="preserve">Criminalisation of medical interventions </w:t>
      </w:r>
      <w:r>
        <w:rPr>
          <w:rFonts w:cs="Open Sans"/>
        </w:rPr>
        <w:t>was considered by some to</w:t>
      </w:r>
      <w:r w:rsidRPr="2AC416A1">
        <w:rPr>
          <w:rFonts w:cs="Open Sans"/>
        </w:rPr>
        <w:t xml:space="preserve"> be</w:t>
      </w:r>
      <w:r w:rsidRPr="00A9011A">
        <w:rPr>
          <w:rFonts w:cs="Open Sans"/>
        </w:rPr>
        <w:t xml:space="preserve"> inappropriate and impractical</w:t>
      </w:r>
      <w:r>
        <w:rPr>
          <w:rFonts w:cs="Open Sans"/>
        </w:rPr>
        <w:t>.</w:t>
      </w:r>
      <w:r w:rsidRPr="002B51DC">
        <w:rPr>
          <w:rFonts w:cs="Open Sans"/>
          <w:sz w:val="20"/>
          <w:szCs w:val="20"/>
          <w:vertAlign w:val="superscript"/>
        </w:rPr>
        <w:endnoteReference w:id="661"/>
      </w:r>
      <w:r w:rsidRPr="00A9011A">
        <w:rPr>
          <w:rFonts w:cs="Open Sans"/>
        </w:rPr>
        <w:t xml:space="preserve"> </w:t>
      </w:r>
      <w:r>
        <w:rPr>
          <w:rFonts w:cs="Open Sans"/>
        </w:rPr>
        <w:t xml:space="preserve">This was based on the notion that interventions are undertaken based on good impulses to help people, and thus criminalisation is not appropriate. It was observed that </w:t>
      </w:r>
      <w:r w:rsidRPr="00A9011A">
        <w:rPr>
          <w:rFonts w:cs="Open Sans"/>
        </w:rPr>
        <w:t xml:space="preserve">Chile </w:t>
      </w:r>
      <w:r w:rsidRPr="2AC416A1">
        <w:rPr>
          <w:rFonts w:cs="Open Sans"/>
        </w:rPr>
        <w:t>rolled back its original blanket prohibition on unnecessary treatments.</w:t>
      </w:r>
      <w:r w:rsidRPr="0117CC5D">
        <w:rPr>
          <w:rStyle w:val="EndnoteReference"/>
          <w:rFonts w:cs="Open Sans"/>
        </w:rPr>
        <w:endnoteReference w:id="662"/>
      </w:r>
    </w:p>
    <w:p w:rsidR="00452E54" w:rsidP="00452E54" w:rsidRDefault="00452E54" w14:paraId="6C2C76A4" w14:textId="77777777">
      <w:pPr>
        <w:pStyle w:val="Heading3"/>
      </w:pPr>
      <w:bookmarkStart w:name="_Toc80614224" w:id="518"/>
      <w:bookmarkStart w:name="_Hlk19089655" w:id="519"/>
      <w:bookmarkStart w:name="_Toc85541488" w:id="520"/>
      <w:r>
        <w:t>Regulation</w:t>
      </w:r>
      <w:r w:rsidRPr="00493B6C">
        <w:t xml:space="preserve"> is an unnecessarily complicated response</w:t>
      </w:r>
      <w:bookmarkEnd w:id="518"/>
      <w:bookmarkEnd w:id="520"/>
      <w:r w:rsidRPr="00493B6C">
        <w:t xml:space="preserve"> </w:t>
      </w:r>
    </w:p>
    <w:p w:rsidR="00452E54" w:rsidP="00452E54" w:rsidRDefault="00452E54" w14:paraId="00D06ABE" w14:textId="77777777">
      <w:pPr>
        <w:rPr>
          <w:rFonts w:cs="Open Sans"/>
        </w:rPr>
      </w:pPr>
      <w:r w:rsidRPr="2AC416A1">
        <w:rPr>
          <w:rFonts w:cs="Open Sans"/>
        </w:rPr>
        <w:t>Some clinician stakeholders and parents</w:t>
      </w:r>
      <w:r w:rsidRPr="2AC416A1" w:rsidDel="00BC404C">
        <w:rPr>
          <w:rFonts w:cs="Open Sans"/>
        </w:rPr>
        <w:t xml:space="preserve"> </w:t>
      </w:r>
      <w:r w:rsidRPr="2AC416A1">
        <w:rPr>
          <w:rFonts w:cs="Open Sans"/>
        </w:rPr>
        <w:t xml:space="preserve">stated that a formal regulatory response to medical interventions would lead to a range of problems, including </w:t>
      </w:r>
      <w:r w:rsidRPr="2AC416A1">
        <w:rPr>
          <w:rFonts w:cs="Open Sans"/>
        </w:rPr>
        <w:lastRenderedPageBreak/>
        <w:t>inappropriately limiting treatment choices, and caus</w:t>
      </w:r>
      <w:r>
        <w:rPr>
          <w:rFonts w:cs="Open Sans"/>
        </w:rPr>
        <w:t xml:space="preserve">ing </w:t>
      </w:r>
      <w:r w:rsidRPr="2AC416A1">
        <w:rPr>
          <w:rFonts w:cs="Open Sans"/>
        </w:rPr>
        <w:t xml:space="preserve">stress to parents by frustrating their legitimate role in making decisions on behalf of their children. </w:t>
      </w:r>
    </w:p>
    <w:p w:rsidRPr="008C7F47" w:rsidR="00452E54" w:rsidP="00452E54" w:rsidRDefault="00452E54" w14:paraId="569BA38F" w14:textId="77777777">
      <w:pPr>
        <w:rPr>
          <w:rFonts w:cs="Open Sans"/>
        </w:rPr>
      </w:pPr>
      <w:r w:rsidRPr="2AC416A1">
        <w:rPr>
          <w:rFonts w:cs="Open Sans"/>
        </w:rPr>
        <w:t>A legislative response was considered inappropriate for the following reasons:</w:t>
      </w:r>
    </w:p>
    <w:bookmarkEnd w:id="519"/>
    <w:p w:rsidR="00452E54" w:rsidP="00452E54" w:rsidRDefault="00452E54" w14:paraId="2BDE890E" w14:textId="77777777">
      <w:pPr>
        <w:numPr>
          <w:ilvl w:val="0"/>
          <w:numId w:val="68"/>
        </w:numPr>
        <w:rPr>
          <w:rFonts w:cs="Open Sans"/>
        </w:rPr>
      </w:pPr>
      <w:r>
        <w:rPr>
          <w:rFonts w:cs="Open Sans"/>
        </w:rPr>
        <w:t xml:space="preserve">New </w:t>
      </w:r>
      <w:r w:rsidRPr="000C39DD">
        <w:rPr>
          <w:rFonts w:cs="Open Sans"/>
        </w:rPr>
        <w:t>legislati</w:t>
      </w:r>
      <w:r w:rsidRPr="00590CD2">
        <w:rPr>
          <w:rFonts w:cs="Open Sans"/>
        </w:rPr>
        <w:t>on would be cumbersome,</w:t>
      </w:r>
      <w:r w:rsidRPr="000C39DD">
        <w:rPr>
          <w:rFonts w:cs="Open Sans"/>
        </w:rPr>
        <w:t xml:space="preserve"> complex, and difficult to draft,</w:t>
      </w:r>
      <w:r w:rsidRPr="004475AA">
        <w:rPr>
          <w:rFonts w:cs="Open Sans"/>
          <w:sz w:val="20"/>
          <w:szCs w:val="20"/>
          <w:vertAlign w:val="superscript"/>
        </w:rPr>
        <w:endnoteReference w:id="663"/>
      </w:r>
      <w:r w:rsidRPr="000C39DD">
        <w:rPr>
          <w:rFonts w:cs="Open Sans"/>
        </w:rPr>
        <w:t xml:space="preserve"> especially given the evolving nature of medical science</w:t>
      </w:r>
      <w:r>
        <w:rPr>
          <w:rFonts w:cs="Open Sans"/>
        </w:rPr>
        <w:t>.</w:t>
      </w:r>
      <w:r w:rsidRPr="004475AA">
        <w:rPr>
          <w:rFonts w:cs="Open Sans"/>
          <w:sz w:val="20"/>
          <w:szCs w:val="20"/>
          <w:vertAlign w:val="superscript"/>
        </w:rPr>
        <w:endnoteReference w:id="664"/>
      </w:r>
      <w:r w:rsidRPr="000C39DD">
        <w:rPr>
          <w:rFonts w:cs="Open Sans"/>
        </w:rPr>
        <w:t xml:space="preserve"> </w:t>
      </w:r>
      <w:r>
        <w:rPr>
          <w:rFonts w:cs="Open Sans"/>
        </w:rPr>
        <w:t>In particular, because i</w:t>
      </w:r>
      <w:r w:rsidRPr="000C39DD">
        <w:rPr>
          <w:rFonts w:cs="Open Sans"/>
        </w:rPr>
        <w:t>ndividuals and their needs are diverse and complex,</w:t>
      </w:r>
      <w:r w:rsidRPr="004475AA">
        <w:rPr>
          <w:rFonts w:cs="Open Sans"/>
          <w:sz w:val="20"/>
          <w:szCs w:val="20"/>
          <w:vertAlign w:val="superscript"/>
        </w:rPr>
        <w:endnoteReference w:id="665"/>
      </w:r>
      <w:r w:rsidRPr="000C39DD">
        <w:rPr>
          <w:rFonts w:cs="Open Sans"/>
        </w:rPr>
        <w:t xml:space="preserve"> it would be impractical to define the limits of permissible intervention. </w:t>
      </w:r>
    </w:p>
    <w:p w:rsidRPr="000C39DD" w:rsidR="00452E54" w:rsidP="00452E54" w:rsidRDefault="00452E54" w14:paraId="133CB6CE" w14:textId="77777777">
      <w:pPr>
        <w:numPr>
          <w:ilvl w:val="0"/>
          <w:numId w:val="68"/>
        </w:numPr>
        <w:rPr>
          <w:rFonts w:cs="Open Sans"/>
        </w:rPr>
      </w:pPr>
      <w:r w:rsidRPr="000C39DD">
        <w:rPr>
          <w:rFonts w:cs="Open Sans"/>
        </w:rPr>
        <w:t xml:space="preserve">This complexity risks causing inadvertent harm to other </w:t>
      </w:r>
      <w:r>
        <w:rPr>
          <w:rFonts w:cs="Open Sans"/>
        </w:rPr>
        <w:t>individuals</w:t>
      </w:r>
      <w:r w:rsidRPr="00736D23">
        <w:rPr>
          <w:rFonts w:cs="Open Sans"/>
        </w:rPr>
        <w:t xml:space="preserve">. </w:t>
      </w:r>
      <w:r>
        <w:rPr>
          <w:rFonts w:cs="Open Sans"/>
        </w:rPr>
        <w:t>S</w:t>
      </w:r>
      <w:r w:rsidRPr="00736D23">
        <w:rPr>
          <w:rFonts w:cs="Open Sans"/>
        </w:rPr>
        <w:t xml:space="preserve">ome </w:t>
      </w:r>
      <w:r>
        <w:rPr>
          <w:rFonts w:cs="Open Sans"/>
        </w:rPr>
        <w:t xml:space="preserve">legitimate medical interventions </w:t>
      </w:r>
      <w:r w:rsidRPr="00736D23">
        <w:rPr>
          <w:rFonts w:cs="Open Sans"/>
        </w:rPr>
        <w:t xml:space="preserve">would be inadvertently captured and clinicians </w:t>
      </w:r>
      <w:r>
        <w:rPr>
          <w:rFonts w:cs="Open Sans"/>
        </w:rPr>
        <w:t xml:space="preserve">and parents </w:t>
      </w:r>
      <w:r w:rsidRPr="00736D23">
        <w:rPr>
          <w:rFonts w:cs="Open Sans"/>
        </w:rPr>
        <w:t>criminalised inappropriately</w:t>
      </w:r>
      <w:r>
        <w:rPr>
          <w:rFonts w:cs="Open Sans"/>
        </w:rPr>
        <w:t>.</w:t>
      </w:r>
      <w:r w:rsidRPr="0075197B">
        <w:rPr>
          <w:rFonts w:cs="Open Sans"/>
          <w:sz w:val="20"/>
          <w:szCs w:val="20"/>
          <w:vertAlign w:val="superscript"/>
        </w:rPr>
        <w:endnoteReference w:id="666"/>
      </w:r>
      <w:r w:rsidRPr="0075197B">
        <w:rPr>
          <w:rFonts w:cs="Open Sans"/>
          <w:sz w:val="20"/>
          <w:szCs w:val="20"/>
        </w:rPr>
        <w:t xml:space="preserve"> </w:t>
      </w:r>
      <w:r>
        <w:rPr>
          <w:rFonts w:cs="Open Sans"/>
        </w:rPr>
        <w:t xml:space="preserve">A </w:t>
      </w:r>
      <w:r w:rsidRPr="000C39DD">
        <w:rPr>
          <w:rFonts w:cs="Open Sans"/>
        </w:rPr>
        <w:t xml:space="preserve">longer-term consequence </w:t>
      </w:r>
      <w:r>
        <w:rPr>
          <w:rFonts w:cs="Open Sans"/>
        </w:rPr>
        <w:t xml:space="preserve">would be more difficulties for people in </w:t>
      </w:r>
      <w:r w:rsidRPr="000C39DD">
        <w:rPr>
          <w:rFonts w:cs="Open Sans"/>
        </w:rPr>
        <w:t>obtaining necessary treatment</w:t>
      </w:r>
      <w:r>
        <w:rPr>
          <w:rFonts w:cs="Open Sans"/>
        </w:rPr>
        <w:t>.</w:t>
      </w:r>
      <w:r w:rsidRPr="0075197B">
        <w:rPr>
          <w:rFonts w:cs="Open Sans"/>
          <w:sz w:val="20"/>
          <w:szCs w:val="20"/>
          <w:vertAlign w:val="superscript"/>
        </w:rPr>
        <w:endnoteReference w:id="667"/>
      </w:r>
    </w:p>
    <w:p w:rsidRPr="00493B6C" w:rsidR="00452E54" w:rsidP="00452E54" w:rsidRDefault="00452E54" w14:paraId="1B3DB2B6" w14:textId="77777777">
      <w:pPr>
        <w:numPr>
          <w:ilvl w:val="0"/>
          <w:numId w:val="68"/>
        </w:numPr>
        <w:rPr>
          <w:rFonts w:cs="Open Sans"/>
        </w:rPr>
      </w:pPr>
      <w:r>
        <w:rPr>
          <w:rFonts w:cs="Open Sans"/>
        </w:rPr>
        <w:t>New legislation would</w:t>
      </w:r>
      <w:r w:rsidRPr="00493B6C">
        <w:rPr>
          <w:rFonts w:cs="Open Sans"/>
        </w:rPr>
        <w:t xml:space="preserve"> generally </w:t>
      </w:r>
      <w:r>
        <w:rPr>
          <w:rFonts w:cs="Open Sans"/>
        </w:rPr>
        <w:t xml:space="preserve">be </w:t>
      </w:r>
      <w:r w:rsidRPr="00493B6C">
        <w:rPr>
          <w:rFonts w:cs="Open Sans"/>
        </w:rPr>
        <w:t>unnecessary and impractical</w:t>
      </w:r>
      <w:r>
        <w:rPr>
          <w:rFonts w:cs="Open Sans"/>
        </w:rPr>
        <w:t>, would get in the way of the provision of medical care</w:t>
      </w:r>
      <w:r w:rsidRPr="00493B6C">
        <w:rPr>
          <w:rFonts w:cs="Open Sans"/>
        </w:rPr>
        <w:t>,</w:t>
      </w:r>
      <w:r w:rsidRPr="0075197B">
        <w:rPr>
          <w:rFonts w:cs="Open Sans"/>
          <w:sz w:val="20"/>
          <w:szCs w:val="20"/>
          <w:vertAlign w:val="superscript"/>
        </w:rPr>
        <w:endnoteReference w:id="668"/>
      </w:r>
      <w:r w:rsidRPr="00493B6C">
        <w:rPr>
          <w:rFonts w:cs="Open Sans"/>
        </w:rPr>
        <w:t xml:space="preserve"> and create risks for people in life-threatening situations flowing from inevitable delays in working through prescribed processes</w:t>
      </w:r>
      <w:r>
        <w:rPr>
          <w:rFonts w:cs="Open Sans"/>
        </w:rPr>
        <w:t>.</w:t>
      </w:r>
      <w:r w:rsidRPr="0075197B">
        <w:rPr>
          <w:rFonts w:cs="Open Sans"/>
          <w:sz w:val="20"/>
          <w:szCs w:val="20"/>
          <w:vertAlign w:val="superscript"/>
        </w:rPr>
        <w:endnoteReference w:id="669"/>
      </w:r>
    </w:p>
    <w:p w:rsidRPr="00FE73B2" w:rsidR="00452E54" w:rsidP="00452E54" w:rsidRDefault="00452E54" w14:paraId="28FDBA99" w14:textId="77777777">
      <w:pPr>
        <w:numPr>
          <w:ilvl w:val="0"/>
          <w:numId w:val="68"/>
        </w:numPr>
        <w:rPr>
          <w:rFonts w:cs="Open Sans"/>
        </w:rPr>
      </w:pPr>
      <w:r>
        <w:rPr>
          <w:rFonts w:cs="Open Sans"/>
        </w:rPr>
        <w:t>New legislation would impose</w:t>
      </w:r>
      <w:r w:rsidRPr="00493B6C">
        <w:rPr>
          <w:rFonts w:cs="Open Sans"/>
        </w:rPr>
        <w:t xml:space="preserve"> unnecessary expenses on stressed and vulnerable families</w:t>
      </w:r>
      <w:r>
        <w:rPr>
          <w:rFonts w:cs="Open Sans"/>
        </w:rPr>
        <w:t>,</w:t>
      </w:r>
      <w:r w:rsidRPr="0075197B">
        <w:rPr>
          <w:rFonts w:cs="Open Sans"/>
          <w:sz w:val="20"/>
          <w:szCs w:val="20"/>
          <w:vertAlign w:val="superscript"/>
        </w:rPr>
        <w:endnoteReference w:id="670"/>
      </w:r>
      <w:r>
        <w:rPr>
          <w:rFonts w:cs="Open Sans"/>
        </w:rPr>
        <w:t xml:space="preserve"> and </w:t>
      </w:r>
      <w:r w:rsidRPr="009F07C3">
        <w:rPr>
          <w:rFonts w:cs="Open Sans"/>
        </w:rPr>
        <w:t>breach parents’ rights to make decisions for their children.</w:t>
      </w:r>
      <w:r w:rsidRPr="0075197B">
        <w:rPr>
          <w:rFonts w:cs="Open Sans"/>
          <w:sz w:val="20"/>
          <w:szCs w:val="20"/>
          <w:vertAlign w:val="superscript"/>
        </w:rPr>
        <w:endnoteReference w:id="671"/>
      </w:r>
    </w:p>
    <w:p w:rsidRPr="00493B6C" w:rsidR="00452E54" w:rsidP="00452E54" w:rsidRDefault="00452E54" w14:paraId="28EC4830" w14:textId="77777777">
      <w:pPr>
        <w:rPr>
          <w:rFonts w:cs="Open Sans"/>
        </w:rPr>
      </w:pPr>
      <w:r>
        <w:rPr>
          <w:rFonts w:cs="Open Sans"/>
        </w:rPr>
        <w:t>One multidisciplinary team argued that formal regulation is unnecessary as there is</w:t>
      </w:r>
      <w:r w:rsidRPr="00493B6C">
        <w:rPr>
          <w:rFonts w:cs="Open Sans"/>
        </w:rPr>
        <w:t xml:space="preserve"> no evidence that early </w:t>
      </w:r>
      <w:r>
        <w:rPr>
          <w:rFonts w:cs="Open Sans"/>
        </w:rPr>
        <w:t xml:space="preserve">medical </w:t>
      </w:r>
      <w:r w:rsidRPr="00493B6C">
        <w:rPr>
          <w:rFonts w:cs="Open Sans"/>
        </w:rPr>
        <w:t>intervention is harmful</w:t>
      </w:r>
      <w:r>
        <w:rPr>
          <w:rFonts w:cs="Open Sans"/>
        </w:rPr>
        <w:t xml:space="preserve"> to children born with variations in sex characteristics.</w:t>
      </w:r>
      <w:r w:rsidRPr="008235B3">
        <w:rPr>
          <w:rFonts w:cs="Open Sans"/>
          <w:sz w:val="20"/>
          <w:szCs w:val="20"/>
          <w:vertAlign w:val="superscript"/>
        </w:rPr>
        <w:endnoteReference w:id="672"/>
      </w:r>
    </w:p>
    <w:p w:rsidR="00452E54" w:rsidP="00452E54" w:rsidRDefault="00452E54" w14:paraId="0B9A33A8" w14:textId="77777777">
      <w:pPr>
        <w:pStyle w:val="Heading3"/>
      </w:pPr>
      <w:bookmarkStart w:name="_Toc80614225" w:id="521"/>
      <w:bookmarkStart w:name="_Hlk19093660" w:id="522"/>
      <w:bookmarkStart w:name="_Toc85541489" w:id="523"/>
      <w:r w:rsidRPr="00493B6C">
        <w:t>Regulation would breach children’s rights</w:t>
      </w:r>
      <w:bookmarkEnd w:id="521"/>
      <w:bookmarkEnd w:id="523"/>
    </w:p>
    <w:p w:rsidRPr="00235F42" w:rsidR="00452E54" w:rsidP="00452E54" w:rsidRDefault="00452E54" w14:paraId="35BC5BD2" w14:textId="75DABAEE">
      <w:pPr>
        <w:rPr>
          <w:rFonts w:cs="Open Sans"/>
        </w:rPr>
      </w:pPr>
      <w:r w:rsidRPr="2AC416A1">
        <w:rPr>
          <w:rFonts w:cs="Open Sans"/>
        </w:rPr>
        <w:t xml:space="preserve">Some parents and clinical stakeholders considered that any </w:t>
      </w:r>
      <w:r>
        <w:rPr>
          <w:rFonts w:cs="Open Sans"/>
        </w:rPr>
        <w:t xml:space="preserve">additional </w:t>
      </w:r>
      <w:r w:rsidRPr="2AC416A1">
        <w:rPr>
          <w:rFonts w:cs="Open Sans"/>
        </w:rPr>
        <w:t>regulation of medical interventions for children born with variations in sex characteristics would undermine the realisation of the rights of the child. Specifically, it was stated that</w:t>
      </w:r>
    </w:p>
    <w:bookmarkEnd w:id="522"/>
    <w:p w:rsidRPr="00235F42" w:rsidR="00452E54" w:rsidP="00452E54" w:rsidRDefault="00452E54" w14:paraId="161B4C13" w14:textId="77777777">
      <w:pPr>
        <w:numPr>
          <w:ilvl w:val="0"/>
          <w:numId w:val="68"/>
        </w:numPr>
        <w:rPr>
          <w:rFonts w:cs="Open Sans"/>
        </w:rPr>
      </w:pPr>
      <w:r w:rsidRPr="00493B6C">
        <w:rPr>
          <w:rFonts w:cs="Open Sans"/>
        </w:rPr>
        <w:t xml:space="preserve">any legal hurdles </w:t>
      </w:r>
      <w:r>
        <w:rPr>
          <w:rFonts w:cs="Open Sans"/>
        </w:rPr>
        <w:t>to</w:t>
      </w:r>
      <w:r w:rsidRPr="00493B6C">
        <w:rPr>
          <w:rFonts w:cs="Open Sans"/>
        </w:rPr>
        <w:t xml:space="preserve"> obtaining treatment </w:t>
      </w:r>
      <w:r>
        <w:rPr>
          <w:rFonts w:cs="Open Sans"/>
        </w:rPr>
        <w:t xml:space="preserve">would </w:t>
      </w:r>
      <w:r w:rsidRPr="00493B6C">
        <w:rPr>
          <w:rFonts w:cs="Open Sans"/>
        </w:rPr>
        <w:t xml:space="preserve">breach children’s rights to attain </w:t>
      </w:r>
      <w:r>
        <w:rPr>
          <w:rFonts w:cs="Open Sans"/>
        </w:rPr>
        <w:t xml:space="preserve">the </w:t>
      </w:r>
      <w:r w:rsidRPr="00493B6C">
        <w:rPr>
          <w:rFonts w:cs="Open Sans"/>
        </w:rPr>
        <w:t>highest possible standard of health (understanding health in a particular socio</w:t>
      </w:r>
      <w:r>
        <w:rPr>
          <w:rFonts w:cs="Open Sans"/>
        </w:rPr>
        <w:t>-</w:t>
      </w:r>
      <w:r w:rsidRPr="00493B6C">
        <w:rPr>
          <w:rFonts w:cs="Open Sans"/>
        </w:rPr>
        <w:t>temporal context)</w:t>
      </w:r>
      <w:r w:rsidRPr="008235B3">
        <w:rPr>
          <w:rFonts w:cs="Open Sans"/>
          <w:sz w:val="20"/>
          <w:szCs w:val="20"/>
          <w:vertAlign w:val="superscript"/>
        </w:rPr>
        <w:endnoteReference w:id="673"/>
      </w:r>
    </w:p>
    <w:p w:rsidRPr="00493B6C" w:rsidR="00452E54" w:rsidP="00452E54" w:rsidRDefault="00452E54" w14:paraId="30424501" w14:textId="77777777">
      <w:pPr>
        <w:numPr>
          <w:ilvl w:val="0"/>
          <w:numId w:val="69"/>
        </w:numPr>
        <w:rPr>
          <w:rFonts w:cs="Open Sans"/>
        </w:rPr>
      </w:pPr>
      <w:r>
        <w:rPr>
          <w:rFonts w:cs="Open Sans"/>
        </w:rPr>
        <w:lastRenderedPageBreak/>
        <w:t>regulation</w:t>
      </w:r>
      <w:r w:rsidRPr="00493B6C">
        <w:rPr>
          <w:rFonts w:cs="Open Sans"/>
        </w:rPr>
        <w:t xml:space="preserve"> would provide an incentive for well-intentioned parents to take children to other jurisdictions for desired treatments</w:t>
      </w:r>
      <w:r w:rsidRPr="008235B3">
        <w:rPr>
          <w:rFonts w:cs="Open Sans"/>
          <w:sz w:val="20"/>
          <w:szCs w:val="20"/>
          <w:vertAlign w:val="superscript"/>
        </w:rPr>
        <w:endnoteReference w:id="674"/>
      </w:r>
    </w:p>
    <w:p w:rsidRPr="00493B6C" w:rsidR="00452E54" w:rsidP="00452E54" w:rsidRDefault="00452E54" w14:paraId="795DF181" w14:textId="77777777">
      <w:pPr>
        <w:numPr>
          <w:ilvl w:val="0"/>
          <w:numId w:val="69"/>
        </w:numPr>
        <w:rPr>
          <w:rFonts w:cs="Open Sans"/>
        </w:rPr>
      </w:pPr>
      <w:r w:rsidRPr="00493B6C">
        <w:rPr>
          <w:rFonts w:cs="Open Sans"/>
        </w:rPr>
        <w:t>some classes of procedure (in particular, hypospadias surgery) are ‘almost universally acknowledged to be beneficial’</w:t>
      </w:r>
      <w:r>
        <w:rPr>
          <w:rFonts w:cs="Open Sans"/>
        </w:rPr>
        <w:t>.</w:t>
      </w:r>
      <w:r w:rsidRPr="008235B3">
        <w:rPr>
          <w:rFonts w:cs="Open Sans"/>
          <w:sz w:val="20"/>
          <w:szCs w:val="20"/>
          <w:vertAlign w:val="superscript"/>
        </w:rPr>
        <w:endnoteReference w:id="675"/>
      </w:r>
    </w:p>
    <w:p w:rsidRPr="00493B6C" w:rsidR="00452E54" w:rsidP="00452E54" w:rsidRDefault="00452E54" w14:paraId="2406E045" w14:textId="77777777">
      <w:pPr>
        <w:pStyle w:val="AHRCHeading2"/>
      </w:pPr>
      <w:bookmarkStart w:name="_Toc21092264" w:id="524"/>
      <w:bookmarkStart w:name="_Toc42167951" w:id="525"/>
      <w:bookmarkStart w:name="_Toc42175425" w:id="526"/>
      <w:bookmarkStart w:name="_Toc80614226" w:id="527"/>
      <w:bookmarkStart w:name="_Toc85541490" w:id="528"/>
      <w:r>
        <w:t>New criminal penalties</w:t>
      </w:r>
      <w:bookmarkEnd w:id="524"/>
      <w:bookmarkEnd w:id="525"/>
      <w:bookmarkEnd w:id="526"/>
      <w:bookmarkEnd w:id="527"/>
      <w:bookmarkEnd w:id="528"/>
    </w:p>
    <w:p w:rsidRPr="00736490" w:rsidR="00452E54" w:rsidP="00452E54" w:rsidRDefault="00452E54" w14:paraId="36D67B07" w14:textId="342C6B48">
      <w:pPr>
        <w:rPr>
          <w:rFonts w:cs="Open Sans"/>
          <w:b/>
          <w:bCs/>
        </w:rPr>
      </w:pPr>
      <w:r w:rsidRPr="00B05B55">
        <w:rPr>
          <w:rFonts w:cs="Open Sans"/>
          <w:b/>
          <w:bCs/>
        </w:rPr>
        <w:t xml:space="preserve">Recommendation </w:t>
      </w:r>
      <w:r w:rsidR="008A5FCA">
        <w:rPr>
          <w:rFonts w:cs="Open Sans"/>
          <w:b/>
          <w:bCs/>
        </w:rPr>
        <w:t>9</w:t>
      </w:r>
      <w:r w:rsidRPr="00B05B55">
        <w:rPr>
          <w:rFonts w:cs="Open Sans"/>
          <w:b/>
          <w:bCs/>
        </w:rPr>
        <w:t xml:space="preserve">: </w:t>
      </w:r>
      <w:r w:rsidRPr="00B05B55">
        <w:rPr>
          <w:rFonts w:cs="Open Sans"/>
        </w:rPr>
        <w:t xml:space="preserve"> </w:t>
      </w:r>
      <w:r w:rsidRPr="00736490">
        <w:rPr>
          <w:rFonts w:cs="Open Sans"/>
          <w:b/>
          <w:bCs/>
        </w:rPr>
        <w:t xml:space="preserve">The Australian Government and state and territory governments should legislate to prohibit medical interventions for people born with variations in sex characteristics otherwise than in accordance with Recommendations 7 </w:t>
      </w:r>
      <w:r w:rsidR="008A5FCA">
        <w:rPr>
          <w:rFonts w:cs="Open Sans"/>
          <w:b/>
          <w:bCs/>
        </w:rPr>
        <w:t>and</w:t>
      </w:r>
      <w:r w:rsidRPr="00736490">
        <w:rPr>
          <w:rFonts w:cs="Open Sans"/>
          <w:b/>
          <w:bCs/>
        </w:rPr>
        <w:t xml:space="preserve"> </w:t>
      </w:r>
      <w:r w:rsidR="008A5FCA">
        <w:rPr>
          <w:rFonts w:cs="Open Sans"/>
          <w:b/>
          <w:bCs/>
        </w:rPr>
        <w:t>8</w:t>
      </w:r>
      <w:r w:rsidRPr="00736490">
        <w:rPr>
          <w:rFonts w:cs="Open Sans"/>
          <w:b/>
          <w:bCs/>
        </w:rPr>
        <w:t xml:space="preserve">. There should be criminal penalties for breaching this prohibition.  </w:t>
      </w:r>
    </w:p>
    <w:p w:rsidR="00452E54" w:rsidP="00452E54" w:rsidRDefault="00452E54" w14:paraId="15BFD4ED" w14:textId="77777777">
      <w:pPr>
        <w:rPr>
          <w:rFonts w:cs="Open Sans"/>
        </w:rPr>
      </w:pPr>
      <w:r w:rsidRPr="00C24865">
        <w:rPr>
          <w:rFonts w:cs="Open Sans"/>
        </w:rPr>
        <w:t>Australia’s human rights obligations require governments to ensure</w:t>
      </w:r>
      <w:r w:rsidRPr="2AC416A1">
        <w:rPr>
          <w:rFonts w:cs="Open Sans"/>
        </w:rPr>
        <w:t xml:space="preserve"> human rights are adequately observed and enforced. As discussed in Chapter </w:t>
      </w:r>
      <w:r>
        <w:rPr>
          <w:rFonts w:cs="Open Sans"/>
        </w:rPr>
        <w:t>7</w:t>
      </w:r>
      <w:r w:rsidRPr="2AC416A1">
        <w:rPr>
          <w:rFonts w:cs="Open Sans"/>
        </w:rPr>
        <w:t xml:space="preserve">, there is </w:t>
      </w:r>
      <w:r>
        <w:rPr>
          <w:rFonts w:cs="Open Sans"/>
        </w:rPr>
        <w:t>a real</w:t>
      </w:r>
      <w:r w:rsidRPr="2AC416A1">
        <w:rPr>
          <w:rFonts w:cs="Open Sans"/>
        </w:rPr>
        <w:t xml:space="preserve"> risk that medical interventions</w:t>
      </w:r>
      <w:r>
        <w:rPr>
          <w:rFonts w:cs="Open Sans"/>
        </w:rPr>
        <w:t>,</w:t>
      </w:r>
      <w:r w:rsidRPr="2AC416A1">
        <w:rPr>
          <w:rFonts w:cs="Open Sans"/>
        </w:rPr>
        <w:t xml:space="preserve"> other than on grounds of medical necessity</w:t>
      </w:r>
      <w:r>
        <w:rPr>
          <w:rFonts w:cs="Open Sans"/>
        </w:rPr>
        <w:t>,</w:t>
      </w:r>
      <w:r w:rsidRPr="2AC416A1">
        <w:rPr>
          <w:rFonts w:cs="Open Sans"/>
        </w:rPr>
        <w:t xml:space="preserve"> may be undertaken in the future. This position is informed by the views of a range of clinicians that psychosocial factors are justifiable considerations for medical interventions, with such justifications given weight in leading international guidance documents. </w:t>
      </w:r>
      <w:r>
        <w:rPr>
          <w:rFonts w:cs="Open Sans"/>
        </w:rPr>
        <w:t>Therefore</w:t>
      </w:r>
      <w:r w:rsidRPr="2AC416A1">
        <w:rPr>
          <w:rFonts w:cs="Open Sans"/>
        </w:rPr>
        <w:t>, overall cultural change would be unlikely in the absence of binding direction</w:t>
      </w:r>
      <w:r>
        <w:rPr>
          <w:rFonts w:cs="Open Sans"/>
        </w:rPr>
        <w:t>s</w:t>
      </w:r>
      <w:r w:rsidRPr="2AC416A1">
        <w:rPr>
          <w:rFonts w:cs="Open Sans"/>
        </w:rPr>
        <w:t xml:space="preserve">. </w:t>
      </w:r>
    </w:p>
    <w:p w:rsidR="00452E54" w:rsidP="00452E54" w:rsidRDefault="00452E54" w14:paraId="7B584C5B" w14:textId="77777777">
      <w:pPr>
        <w:rPr>
          <w:rFonts w:cs="Open Sans"/>
        </w:rPr>
      </w:pPr>
      <w:r w:rsidRPr="2AC416A1">
        <w:rPr>
          <w:rFonts w:cs="Open Sans"/>
        </w:rPr>
        <w:t>While new clinical guidelines</w:t>
      </w:r>
      <w:r>
        <w:rPr>
          <w:rFonts w:cs="Open Sans"/>
        </w:rPr>
        <w:t>, including in the new National Guidelines,</w:t>
      </w:r>
      <w:r w:rsidRPr="2AC416A1">
        <w:rPr>
          <w:rFonts w:cs="Open Sans"/>
        </w:rPr>
        <w:t xml:space="preserve"> may help bring about changes in medical practice and culture, more formal regulation is necessary to prevent medical interventions that infringe human rights.</w:t>
      </w:r>
    </w:p>
    <w:p w:rsidRPr="00493B6C" w:rsidR="00452E54" w:rsidP="00452E54" w:rsidRDefault="00452E54" w14:paraId="05762B1C" w14:textId="77777777">
      <w:pPr>
        <w:rPr>
          <w:rFonts w:cs="Open Sans"/>
        </w:rPr>
      </w:pPr>
      <w:r w:rsidRPr="2AC416A1">
        <w:rPr>
          <w:rFonts w:cs="Open Sans"/>
        </w:rPr>
        <w:t xml:space="preserve">While medical interventions </w:t>
      </w:r>
      <w:r>
        <w:rPr>
          <w:rFonts w:cs="Open Sans"/>
        </w:rPr>
        <w:t xml:space="preserve">without personal consent </w:t>
      </w:r>
      <w:r w:rsidRPr="2AC416A1">
        <w:rPr>
          <w:rFonts w:cs="Open Sans"/>
        </w:rPr>
        <w:t xml:space="preserve">may be carried out with the best of intentions, this is not </w:t>
      </w:r>
      <w:r>
        <w:rPr>
          <w:rFonts w:cs="Open Sans"/>
        </w:rPr>
        <w:t xml:space="preserve">a </w:t>
      </w:r>
      <w:r w:rsidRPr="2AC416A1">
        <w:rPr>
          <w:rFonts w:cs="Open Sans"/>
        </w:rPr>
        <w:t>valid argument against the introduction of sanctions designed to protect people’s human rights. These medical interventions do cause some people devastating and lifelong harm</w:t>
      </w:r>
      <w:r>
        <w:rPr>
          <w:rFonts w:cs="Open Sans"/>
        </w:rPr>
        <w:t xml:space="preserve"> – </w:t>
      </w:r>
      <w:r w:rsidRPr="00050743">
        <w:rPr>
          <w:rFonts w:cs="Open Sans"/>
        </w:rPr>
        <w:t>and are in conflict with the principle of bodily integrity.</w:t>
      </w:r>
    </w:p>
    <w:p w:rsidRPr="00493B6C" w:rsidR="00452E54" w:rsidP="00452E54" w:rsidRDefault="00452E54" w14:paraId="216081F4" w14:textId="77777777">
      <w:pPr>
        <w:rPr>
          <w:rFonts w:cs="Open Sans"/>
        </w:rPr>
      </w:pPr>
      <w:r w:rsidRPr="00493B6C">
        <w:rPr>
          <w:rFonts w:cs="Open Sans"/>
        </w:rPr>
        <w:t xml:space="preserve">Some </w:t>
      </w:r>
      <w:r>
        <w:rPr>
          <w:rFonts w:cs="Open Sans"/>
        </w:rPr>
        <w:t xml:space="preserve">stakeholders </w:t>
      </w:r>
      <w:r w:rsidRPr="00493B6C">
        <w:rPr>
          <w:rFonts w:cs="Open Sans"/>
        </w:rPr>
        <w:t>seemed to base their opposition to any legal sanction</w:t>
      </w:r>
      <w:r>
        <w:rPr>
          <w:rFonts w:cs="Open Sans"/>
        </w:rPr>
        <w:t>s</w:t>
      </w:r>
      <w:r w:rsidRPr="00493B6C">
        <w:rPr>
          <w:rFonts w:cs="Open Sans"/>
        </w:rPr>
        <w:t xml:space="preserve"> on the premise that all </w:t>
      </w:r>
      <w:r>
        <w:rPr>
          <w:rFonts w:cs="Open Sans"/>
        </w:rPr>
        <w:t xml:space="preserve">medical </w:t>
      </w:r>
      <w:r w:rsidRPr="00493B6C">
        <w:rPr>
          <w:rFonts w:cs="Open Sans"/>
        </w:rPr>
        <w:t>intervention</w:t>
      </w:r>
      <w:r>
        <w:rPr>
          <w:rFonts w:cs="Open Sans"/>
        </w:rPr>
        <w:t>s</w:t>
      </w:r>
      <w:r w:rsidRPr="00493B6C">
        <w:rPr>
          <w:rFonts w:cs="Open Sans"/>
        </w:rPr>
        <w:t xml:space="preserve"> </w:t>
      </w:r>
      <w:r>
        <w:rPr>
          <w:rFonts w:cs="Open Sans"/>
        </w:rPr>
        <w:t xml:space="preserve">modifying sex characteristics </w:t>
      </w:r>
      <w:r w:rsidRPr="00493B6C">
        <w:rPr>
          <w:rFonts w:cs="Open Sans"/>
        </w:rPr>
        <w:t xml:space="preserve">would be </w:t>
      </w:r>
      <w:r w:rsidRPr="00493B6C">
        <w:rPr>
          <w:rFonts w:cs="Open Sans"/>
        </w:rPr>
        <w:lastRenderedPageBreak/>
        <w:t>prohibited, in all circumstances.</w:t>
      </w:r>
      <w:r w:rsidRPr="00AC17DE">
        <w:rPr>
          <w:rFonts w:cs="Open Sans"/>
          <w:sz w:val="20"/>
          <w:szCs w:val="20"/>
          <w:vertAlign w:val="superscript"/>
        </w:rPr>
        <w:endnoteReference w:id="676"/>
      </w:r>
      <w:r w:rsidRPr="00AC17DE">
        <w:rPr>
          <w:rFonts w:cs="Open Sans"/>
          <w:sz w:val="20"/>
          <w:szCs w:val="20"/>
        </w:rPr>
        <w:t xml:space="preserve"> </w:t>
      </w:r>
      <w:r>
        <w:rPr>
          <w:rFonts w:cs="Open Sans"/>
        </w:rPr>
        <w:t xml:space="preserve">However, neither the Commission nor any stakeholders have </w:t>
      </w:r>
      <w:r w:rsidRPr="00493B6C">
        <w:rPr>
          <w:rFonts w:cs="Open Sans"/>
        </w:rPr>
        <w:t>advocat</w:t>
      </w:r>
      <w:r>
        <w:rPr>
          <w:rFonts w:cs="Open Sans"/>
        </w:rPr>
        <w:t>ed such a blanket prohibition.</w:t>
      </w:r>
    </w:p>
    <w:p w:rsidR="00452E54" w:rsidP="00452E54" w:rsidRDefault="00452E54" w14:paraId="0E662AA3" w14:textId="77777777">
      <w:pPr>
        <w:rPr>
          <w:rFonts w:cs="Open Sans"/>
        </w:rPr>
      </w:pPr>
      <w:r w:rsidRPr="2AC416A1">
        <w:rPr>
          <w:rFonts w:cs="Open Sans"/>
        </w:rPr>
        <w:t xml:space="preserve">The view that any legislative </w:t>
      </w:r>
      <w:r>
        <w:rPr>
          <w:rFonts w:cs="Open Sans"/>
        </w:rPr>
        <w:t>prohibition on medical interventions</w:t>
      </w:r>
      <w:r w:rsidRPr="2AC416A1">
        <w:rPr>
          <w:rFonts w:cs="Open Sans"/>
        </w:rPr>
        <w:t xml:space="preserve"> would breach children’s rights to </w:t>
      </w:r>
      <w:r>
        <w:rPr>
          <w:rFonts w:cs="Open Sans"/>
        </w:rPr>
        <w:t xml:space="preserve">attain </w:t>
      </w:r>
      <w:r w:rsidRPr="2AC416A1">
        <w:rPr>
          <w:rFonts w:cs="Open Sans"/>
        </w:rPr>
        <w:t>the highest possible standard of health fails to recognise the significant, ongoing harm experienced by some individuals following interventions without their consent</w:t>
      </w:r>
      <w:r>
        <w:rPr>
          <w:rFonts w:cs="Open Sans"/>
        </w:rPr>
        <w:t xml:space="preserve"> – </w:t>
      </w:r>
      <w:r w:rsidRPr="2AC416A1">
        <w:rPr>
          <w:rFonts w:cs="Open Sans"/>
        </w:rPr>
        <w:t>despite those interventions having been undertaken in the belief that they were in the child’s best interests.</w:t>
      </w:r>
    </w:p>
    <w:p w:rsidR="00452E54" w:rsidP="00452E54" w:rsidRDefault="00452E54" w14:paraId="007E5D26" w14:textId="77777777">
      <w:pPr>
        <w:rPr>
          <w:rFonts w:cs="Open Sans"/>
        </w:rPr>
      </w:pPr>
      <w:r w:rsidRPr="2AC416A1">
        <w:rPr>
          <w:rFonts w:cs="Open Sans"/>
        </w:rPr>
        <w:t>The</w:t>
      </w:r>
      <w:r>
        <w:rPr>
          <w:rFonts w:cs="Open Sans"/>
        </w:rPr>
        <w:t xml:space="preserve"> Commission’s recommended</w:t>
      </w:r>
      <w:r w:rsidRPr="2AC416A1">
        <w:rPr>
          <w:rFonts w:cs="Open Sans"/>
        </w:rPr>
        <w:t xml:space="preserve"> reforms need legislative backing and an effective means of enforcing the obligation to seek authorisation</w:t>
      </w:r>
      <w:r>
        <w:rPr>
          <w:rFonts w:cs="Open Sans"/>
        </w:rPr>
        <w:t xml:space="preserve"> from Independent Panels</w:t>
      </w:r>
      <w:r w:rsidRPr="2AC416A1">
        <w:rPr>
          <w:rFonts w:cs="Open Sans"/>
        </w:rPr>
        <w:t xml:space="preserve">. </w:t>
      </w:r>
    </w:p>
    <w:p w:rsidR="00452E54" w:rsidP="00452E54" w:rsidRDefault="18BF7503" w14:paraId="0AC83B8C" w14:textId="748AF3A0">
      <w:pPr>
        <w:rPr>
          <w:rFonts w:cs="Open Sans"/>
        </w:rPr>
      </w:pPr>
      <w:r w:rsidRPr="3F40602D">
        <w:rPr>
          <w:rFonts w:cs="Open Sans"/>
        </w:rPr>
        <w:t>Exactly where these legislative provisions should be located and how they will be enforced will depend on legal and policy decisions taken in each jurisdiction. However, the Commission recommends that criminal penalties be provided in relation to the carrying out of relevant medical interventions without authorisation.</w:t>
      </w:r>
    </w:p>
    <w:p w:rsidRPr="005A5C9F" w:rsidR="00452E54" w:rsidP="00452E54" w:rsidRDefault="00452E54" w14:paraId="3EA11AF0" w14:textId="77777777">
      <w:pPr>
        <w:rPr>
          <w:rFonts w:cs="Open Sans"/>
        </w:rPr>
      </w:pPr>
      <w:r>
        <w:rPr>
          <w:rFonts w:cs="Open Sans"/>
        </w:rPr>
        <w:t>One model for a criminal offence is that provided under NSW guardianship legislation relating to</w:t>
      </w:r>
      <w:r w:rsidRPr="005A5C9F">
        <w:rPr>
          <w:rFonts w:cs="Open Sans"/>
        </w:rPr>
        <w:t xml:space="preserve"> sterilisation procedures</w:t>
      </w:r>
      <w:r>
        <w:rPr>
          <w:rFonts w:cs="Open Sans"/>
        </w:rPr>
        <w:t>. This</w:t>
      </w:r>
      <w:r w:rsidRPr="005A5C9F">
        <w:rPr>
          <w:rFonts w:cs="Open Sans"/>
        </w:rPr>
        <w:t xml:space="preserve"> provides an offence, punishable by </w:t>
      </w:r>
      <w:r>
        <w:rPr>
          <w:rFonts w:cs="Open Sans"/>
        </w:rPr>
        <w:t>seven</w:t>
      </w:r>
      <w:r w:rsidRPr="005A5C9F">
        <w:rPr>
          <w:rFonts w:cs="Open Sans"/>
        </w:rPr>
        <w:t xml:space="preserve"> years imprisonment, </w:t>
      </w:r>
      <w:r>
        <w:rPr>
          <w:rFonts w:cs="Open Sans"/>
        </w:rPr>
        <w:t>for</w:t>
      </w:r>
      <w:r w:rsidRPr="005A5C9F">
        <w:rPr>
          <w:rFonts w:cs="Open Sans"/>
        </w:rPr>
        <w:t xml:space="preserve"> carrying out </w:t>
      </w:r>
      <w:r>
        <w:rPr>
          <w:rFonts w:cs="Open Sans"/>
        </w:rPr>
        <w:t>such a procedure</w:t>
      </w:r>
      <w:r w:rsidRPr="005A5C9F">
        <w:rPr>
          <w:rFonts w:cs="Open Sans"/>
        </w:rPr>
        <w:t xml:space="preserve"> without the consent (</w:t>
      </w:r>
      <w:r>
        <w:rPr>
          <w:rFonts w:cs="Open Sans"/>
        </w:rPr>
        <w:t xml:space="preserve">that is, </w:t>
      </w:r>
      <w:r w:rsidRPr="005A5C9F">
        <w:rPr>
          <w:rFonts w:cs="Open Sans"/>
        </w:rPr>
        <w:t xml:space="preserve">authorisation) of the </w:t>
      </w:r>
      <w:r>
        <w:rPr>
          <w:rFonts w:cs="Open Sans"/>
        </w:rPr>
        <w:t>NSW Civil and Administrative T</w:t>
      </w:r>
      <w:r w:rsidRPr="005A5C9F">
        <w:rPr>
          <w:rFonts w:cs="Open Sans"/>
        </w:rPr>
        <w:t>ribunal.</w:t>
      </w:r>
      <w:r w:rsidRPr="0117CC5D">
        <w:rPr>
          <w:rStyle w:val="EndnoteReference"/>
          <w:rFonts w:cs="Open Sans"/>
        </w:rPr>
        <w:endnoteReference w:id="677"/>
      </w:r>
    </w:p>
    <w:p w:rsidR="00452E54" w:rsidP="00452E54" w:rsidRDefault="00452E54" w14:paraId="45934D8E" w14:textId="77777777">
      <w:pPr>
        <w:rPr>
          <w:rFonts w:cs="Open Sans"/>
        </w:rPr>
      </w:pPr>
      <w:r>
        <w:rPr>
          <w:rFonts w:cs="Open Sans"/>
        </w:rPr>
        <w:t xml:space="preserve">The Commission does not recommend any other criminal offences, </w:t>
      </w:r>
      <w:r w:rsidRPr="44AA74F8">
        <w:rPr>
          <w:rFonts w:cs="Open Sans"/>
        </w:rPr>
        <w:t>like</w:t>
      </w:r>
      <w:r>
        <w:rPr>
          <w:rFonts w:cs="Open Sans"/>
        </w:rPr>
        <w:t xml:space="preserve"> those, for example, which</w:t>
      </w:r>
      <w:r w:rsidRPr="003B5101" w:rsidDel="00B23FE1">
        <w:rPr>
          <w:rFonts w:cs="Open Sans"/>
        </w:rPr>
        <w:t xml:space="preserve"> </w:t>
      </w:r>
      <w:r w:rsidRPr="003B5101">
        <w:rPr>
          <w:rFonts w:cs="Open Sans"/>
        </w:rPr>
        <w:t>apply to female genital mutilation under state and territory legislation</w:t>
      </w:r>
      <w:r>
        <w:rPr>
          <w:rFonts w:cs="Open Sans"/>
        </w:rPr>
        <w:t>.</w:t>
      </w:r>
      <w:r w:rsidRPr="0117CC5D">
        <w:rPr>
          <w:rStyle w:val="EndnoteReference"/>
          <w:rFonts w:cs="Open Sans"/>
        </w:rPr>
        <w:endnoteReference w:id="678"/>
      </w:r>
      <w:r>
        <w:rPr>
          <w:rFonts w:cs="Open Sans"/>
        </w:rPr>
        <w:t xml:space="preserve"> </w:t>
      </w:r>
      <w:r w:rsidRPr="003B5101">
        <w:rPr>
          <w:rFonts w:cs="Open Sans"/>
        </w:rPr>
        <w:t>Unlike in the case of female genital mutilation</w:t>
      </w:r>
      <w:r w:rsidRPr="003B5101" w:rsidDel="00603FDF">
        <w:rPr>
          <w:rFonts w:cs="Open Sans"/>
        </w:rPr>
        <w:t xml:space="preserve">, it is unlikely that the </w:t>
      </w:r>
      <w:r w:rsidRPr="003B5101">
        <w:rPr>
          <w:rFonts w:cs="Open Sans"/>
        </w:rPr>
        <w:t xml:space="preserve">offence would be committed by </w:t>
      </w:r>
      <w:r w:rsidRPr="003B5101" w:rsidDel="00603FDF">
        <w:rPr>
          <w:rFonts w:cs="Open Sans"/>
        </w:rPr>
        <w:t>anyone other than a health practitioner who</w:t>
      </w:r>
      <w:r w:rsidRPr="003B5101">
        <w:rPr>
          <w:rFonts w:cs="Open Sans"/>
        </w:rPr>
        <w:t xml:space="preserve">, in addition to the </w:t>
      </w:r>
      <w:r>
        <w:rPr>
          <w:rFonts w:cs="Open Sans"/>
        </w:rPr>
        <w:t xml:space="preserve">offence recommended by the Commission, would also risk professional </w:t>
      </w:r>
      <w:r w:rsidRPr="003B5101">
        <w:rPr>
          <w:rFonts w:cs="Open Sans"/>
        </w:rPr>
        <w:t xml:space="preserve">disciplinary </w:t>
      </w:r>
      <w:r w:rsidRPr="2AC416A1">
        <w:rPr>
          <w:rFonts w:cs="Open Sans"/>
        </w:rPr>
        <w:t>action and exposure to civil liability.</w:t>
      </w:r>
      <w:r w:rsidRPr="44AA74F8">
        <w:rPr>
          <w:rFonts w:cs="Open Sans"/>
        </w:rPr>
        <w:t xml:space="preserve"> It would also be difficult to define the exact scope of the interventions that would be subject to criminal sanctions.</w:t>
      </w:r>
    </w:p>
    <w:p w:rsidRPr="0014100A" w:rsidR="00452E54" w:rsidDel="002D7F65" w:rsidP="00452E54" w:rsidRDefault="00452E54" w14:paraId="3F131302" w14:textId="77777777">
      <w:pPr>
        <w:rPr>
          <w:rFonts w:cs="Open Sans"/>
        </w:rPr>
      </w:pPr>
      <w:r w:rsidRPr="00DD69C6">
        <w:rPr>
          <w:rFonts w:cs="Open Sans"/>
        </w:rPr>
        <w:t xml:space="preserve">The </w:t>
      </w:r>
      <w:r>
        <w:rPr>
          <w:rFonts w:cs="Open Sans"/>
        </w:rPr>
        <w:t>r</w:t>
      </w:r>
      <w:r w:rsidRPr="00DD69C6">
        <w:rPr>
          <w:rFonts w:cs="Open Sans"/>
        </w:rPr>
        <w:t xml:space="preserve">eforms </w:t>
      </w:r>
      <w:r>
        <w:rPr>
          <w:rFonts w:cs="Open Sans"/>
        </w:rPr>
        <w:t xml:space="preserve">recommended by the Commission </w:t>
      </w:r>
      <w:r w:rsidRPr="00DD69C6">
        <w:rPr>
          <w:rFonts w:cs="Open Sans"/>
        </w:rPr>
        <w:t xml:space="preserve">would also have implications </w:t>
      </w:r>
      <w:r>
        <w:rPr>
          <w:rFonts w:cs="Open Sans"/>
        </w:rPr>
        <w:t>in terms of</w:t>
      </w:r>
      <w:r w:rsidRPr="00DD69C6">
        <w:rPr>
          <w:rFonts w:cs="Open Sans"/>
        </w:rPr>
        <w:t xml:space="preserve"> disciplinary action against health professionals</w:t>
      </w:r>
      <w:r>
        <w:rPr>
          <w:rFonts w:cs="Open Sans"/>
        </w:rPr>
        <w:t xml:space="preserve">. As discussed in Chapter 6, the recommended National Guidelines could become </w:t>
      </w:r>
      <w:r w:rsidRPr="0014100A">
        <w:rPr>
          <w:rFonts w:cs="Open Sans"/>
        </w:rPr>
        <w:t>an important reference point when assessing minimum standards of care in the context of complaints made about professional standards.</w:t>
      </w:r>
      <w:r w:rsidRPr="0117CC5D">
        <w:rPr>
          <w:rStyle w:val="EndnoteReference"/>
          <w:rFonts w:cs="Open Sans"/>
        </w:rPr>
        <w:endnoteReference w:id="679"/>
      </w:r>
      <w:r w:rsidRPr="0014100A">
        <w:rPr>
          <w:rFonts w:cs="Open Sans"/>
        </w:rPr>
        <w:t xml:space="preserve"> Breach of clinical guidelines may lead to </w:t>
      </w:r>
      <w:r w:rsidRPr="0014100A">
        <w:rPr>
          <w:rFonts w:cs="Open Sans"/>
        </w:rPr>
        <w:lastRenderedPageBreak/>
        <w:t xml:space="preserve">disciplinary action by professional regulatory entities, such as the Australian Health Practitioner Regulatory Authority. </w:t>
      </w:r>
    </w:p>
    <w:p w:rsidR="00452E54" w:rsidP="00452E54" w:rsidRDefault="00452E54" w14:paraId="59CD0612" w14:textId="77777777">
      <w:pPr>
        <w:rPr>
          <w:rFonts w:cs="Open Sans"/>
        </w:rPr>
      </w:pPr>
      <w:r w:rsidRPr="2AC416A1">
        <w:rPr>
          <w:rFonts w:cs="Open Sans"/>
        </w:rPr>
        <w:t xml:space="preserve">The </w:t>
      </w:r>
      <w:r>
        <w:rPr>
          <w:rFonts w:cs="Open Sans"/>
        </w:rPr>
        <w:t xml:space="preserve">recommended </w:t>
      </w:r>
      <w:r w:rsidRPr="2AC416A1">
        <w:rPr>
          <w:rFonts w:cs="Open Sans"/>
        </w:rPr>
        <w:t>reforms may also have implications in terms of the civil liability of health practitioners who carry out medical interventions modifying sex characteristics</w:t>
      </w:r>
      <w:r>
        <w:rPr>
          <w:rFonts w:cs="Open Sans"/>
        </w:rPr>
        <w:t xml:space="preserve"> without personal consent</w:t>
      </w:r>
      <w:r w:rsidRPr="2AC416A1">
        <w:rPr>
          <w:rFonts w:cs="Open Sans"/>
        </w:rPr>
        <w:t xml:space="preserve">. For example, </w:t>
      </w:r>
      <w:r>
        <w:rPr>
          <w:rFonts w:cs="Open Sans"/>
        </w:rPr>
        <w:t>if</w:t>
      </w:r>
      <w:r w:rsidRPr="2AC416A1">
        <w:rPr>
          <w:rFonts w:cs="Open Sans"/>
        </w:rPr>
        <w:t xml:space="preserve"> carrying out a medical intervention without authorisation is a criminal offence, this conduct may also constitute a wrongful act or omission giving rise to civil liability.</w:t>
      </w:r>
    </w:p>
    <w:p w:rsidR="00A14DA2" w:rsidP="00452E54" w:rsidRDefault="00452E54" w14:paraId="296ED248" w14:textId="2C703494">
      <w:pPr>
        <w:rPr>
          <w:rFonts w:cs="Open Sans"/>
        </w:rPr>
      </w:pPr>
      <w:r>
        <w:rPr>
          <w:rFonts w:cs="Open Sans"/>
        </w:rPr>
        <w:t>On the other hand, c</w:t>
      </w:r>
      <w:r w:rsidRPr="0014100A">
        <w:rPr>
          <w:rFonts w:cs="Open Sans"/>
        </w:rPr>
        <w:t xml:space="preserve">ompliance with </w:t>
      </w:r>
      <w:r>
        <w:rPr>
          <w:rFonts w:cs="Open Sans"/>
        </w:rPr>
        <w:t>the National G</w:t>
      </w:r>
      <w:r w:rsidRPr="0014100A">
        <w:rPr>
          <w:rFonts w:cs="Open Sans"/>
        </w:rPr>
        <w:t xml:space="preserve">uidelines may help protect health practitioners from civil liability. For example, under the </w:t>
      </w:r>
      <w:r w:rsidRPr="2AC416A1">
        <w:rPr>
          <w:rFonts w:cs="Open Sans"/>
          <w:i/>
          <w:iCs/>
        </w:rPr>
        <w:t>Civil Liability Act 2002</w:t>
      </w:r>
      <w:r w:rsidRPr="0014100A">
        <w:rPr>
          <w:rFonts w:cs="Open Sans"/>
        </w:rPr>
        <w:t xml:space="preserve"> (NSW) a professional does not incur liability in negligence if they act in a manner that is ‘widely accepted in Australia by peer professional opinion as competent professional practice’,</w:t>
      </w:r>
      <w:r w:rsidRPr="0117CC5D">
        <w:rPr>
          <w:rStyle w:val="EndnoteReference"/>
          <w:rFonts w:cs="Open Sans"/>
        </w:rPr>
        <w:endnoteReference w:id="680"/>
      </w:r>
      <w:r w:rsidRPr="00F63691">
        <w:rPr>
          <w:rFonts w:cs="Open Sans"/>
          <w:sz w:val="20"/>
          <w:szCs w:val="20"/>
        </w:rPr>
        <w:t xml:space="preserve"> </w:t>
      </w:r>
      <w:r w:rsidRPr="0014100A">
        <w:rPr>
          <w:rFonts w:cs="Open Sans"/>
        </w:rPr>
        <w:t>which can be reflected in clinical guidelines.</w:t>
      </w:r>
      <w:bookmarkStart w:name="_Toc71807947" w:id="529"/>
      <w:bookmarkStart w:name="_Toc71807984" w:id="530"/>
      <w:bookmarkStart w:name="_Toc71808034" w:id="531"/>
      <w:bookmarkStart w:name="_Toc71808086" w:id="532"/>
      <w:bookmarkStart w:name="_Toc71808138" w:id="533"/>
      <w:bookmarkStart w:name="_Toc71807948" w:id="534"/>
      <w:bookmarkStart w:name="_Toc71807985" w:id="535"/>
      <w:bookmarkStart w:name="_Toc71808035" w:id="536"/>
      <w:bookmarkStart w:name="_Toc71808087" w:id="537"/>
      <w:bookmarkStart w:name="_Toc71808139" w:id="538"/>
      <w:bookmarkStart w:name="_Toc71807949" w:id="539"/>
      <w:bookmarkStart w:name="_Toc71807986" w:id="540"/>
      <w:bookmarkStart w:name="_Toc71808036" w:id="541"/>
      <w:bookmarkStart w:name="_Toc71808088" w:id="542"/>
      <w:bookmarkStart w:name="_Toc71808140" w:id="543"/>
      <w:bookmarkStart w:name="_Toc71807950" w:id="544"/>
      <w:bookmarkStart w:name="_Toc71807987" w:id="545"/>
      <w:bookmarkStart w:name="_Toc71808037" w:id="546"/>
      <w:bookmarkStart w:name="_Toc71808089" w:id="547"/>
      <w:bookmarkStart w:name="_Toc71808141" w:id="548"/>
      <w:bookmarkStart w:name="_Toc71807951" w:id="549"/>
      <w:bookmarkStart w:name="_Toc71807988" w:id="550"/>
      <w:bookmarkStart w:name="_Toc71808038" w:id="551"/>
      <w:bookmarkStart w:name="_Toc71808090" w:id="552"/>
      <w:bookmarkStart w:name="_Toc71808142" w:id="553"/>
      <w:bookmarkStart w:name="_Toc71807952" w:id="554"/>
      <w:bookmarkStart w:name="_Toc71807989" w:id="555"/>
      <w:bookmarkStart w:name="_Toc71808039" w:id="556"/>
      <w:bookmarkStart w:name="_Toc71808091" w:id="557"/>
      <w:bookmarkStart w:name="_Toc71808143" w:id="558"/>
      <w:bookmarkStart w:name="_Toc71807953" w:id="559"/>
      <w:bookmarkStart w:name="_Toc71807990" w:id="560"/>
      <w:bookmarkStart w:name="_Toc71808040" w:id="561"/>
      <w:bookmarkStart w:name="_Toc71808092" w:id="562"/>
      <w:bookmarkStart w:name="_Toc71808144" w:id="563"/>
      <w:bookmarkStart w:name="_Toc71807954" w:id="564"/>
      <w:bookmarkStart w:name="_Toc71807991" w:id="565"/>
      <w:bookmarkStart w:name="_Toc71808041" w:id="566"/>
      <w:bookmarkStart w:name="_Toc71808093" w:id="567"/>
      <w:bookmarkStart w:name="_Toc71808145" w:id="568"/>
      <w:bookmarkStart w:name="_Toc71807955" w:id="569"/>
      <w:bookmarkStart w:name="_Toc71807992" w:id="570"/>
      <w:bookmarkStart w:name="_Toc71808042" w:id="571"/>
      <w:bookmarkStart w:name="_Toc71808094" w:id="572"/>
      <w:bookmarkStart w:name="_Toc71808146" w:id="573"/>
      <w:bookmarkStart w:name="_Toc71807956" w:id="574"/>
      <w:bookmarkStart w:name="_Toc71807993" w:id="575"/>
      <w:bookmarkStart w:name="_Toc71808043" w:id="576"/>
      <w:bookmarkStart w:name="_Toc71808095" w:id="577"/>
      <w:bookmarkStart w:name="_Toc71808147" w:id="578"/>
      <w:bookmarkStart w:name="_Toc71807957" w:id="579"/>
      <w:bookmarkStart w:name="_Toc71807994" w:id="580"/>
      <w:bookmarkStart w:name="_Toc71808044" w:id="581"/>
      <w:bookmarkStart w:name="_Toc71808096" w:id="582"/>
      <w:bookmarkStart w:name="_Toc71808148" w:id="583"/>
      <w:bookmarkStart w:name="_Toc71807958" w:id="584"/>
      <w:bookmarkStart w:name="_Toc71807995" w:id="585"/>
      <w:bookmarkStart w:name="_Toc71808045" w:id="586"/>
      <w:bookmarkStart w:name="_Toc71808097" w:id="587"/>
      <w:bookmarkStart w:name="_Toc71808149" w:id="588"/>
      <w:bookmarkStart w:name="_Toc71807959" w:id="589"/>
      <w:bookmarkStart w:name="_Toc71807996" w:id="590"/>
      <w:bookmarkStart w:name="_Toc71808046" w:id="591"/>
      <w:bookmarkStart w:name="_Toc71808098" w:id="592"/>
      <w:bookmarkStart w:name="_Toc71808150" w:id="593"/>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rsidR="00A14DA2" w:rsidRDefault="00A14DA2" w14:paraId="679DCBD4" w14:textId="77777777">
      <w:pPr>
        <w:spacing w:before="0" w:after="0"/>
        <w:rPr>
          <w:rFonts w:cs="Open Sans"/>
        </w:rPr>
      </w:pPr>
      <w:r>
        <w:rPr>
          <w:rFonts w:cs="Open Sans"/>
        </w:rPr>
        <w:br w:type="page"/>
      </w:r>
    </w:p>
    <w:p w:rsidR="00A14DA2" w:rsidRDefault="00A14DA2" w14:paraId="00A09B3D" w14:textId="02A9369E">
      <w:pPr>
        <w:spacing w:before="0" w:after="0"/>
        <w:rPr>
          <w:rFonts w:cs="Open Sans"/>
        </w:rPr>
      </w:pPr>
      <w:r>
        <w:rPr>
          <w:rFonts w:cs="Open Sans"/>
        </w:rPr>
        <w:lastRenderedPageBreak/>
        <w:br w:type="page"/>
      </w:r>
    </w:p>
    <w:p w:rsidR="00452E54" w:rsidP="00452E54" w:rsidRDefault="00452E54" w14:paraId="30A0EE77" w14:textId="77777777">
      <w:pPr>
        <w:rPr>
          <w:rFonts w:cs="Open Sans"/>
        </w:rPr>
      </w:pPr>
    </w:p>
    <w:p w:rsidR="00452E54" w:rsidP="00452E54" w:rsidRDefault="00452E54" w14:paraId="1B85E3A8" w14:textId="77777777">
      <w:pPr>
        <w:pStyle w:val="AHRCHeading1"/>
      </w:pPr>
      <w:bookmarkStart w:name="_Toc80614227" w:id="594"/>
      <w:bookmarkStart w:name="_Toc85541491" w:id="595"/>
      <w:r>
        <w:t>Support, health records and data collection</w:t>
      </w:r>
      <w:bookmarkEnd w:id="594"/>
      <w:bookmarkEnd w:id="595"/>
    </w:p>
    <w:p w:rsidRPr="00736C31" w:rsidR="00452E54" w:rsidP="00452E54" w:rsidRDefault="18BF7503" w14:paraId="7A7B7327" w14:textId="4C7855EA">
      <w:r>
        <w:t xml:space="preserve">The bulk of this report has focused on decision making that directly relates to medical interventions in respect of people born with variations in sex characteristics. This chapter considers three </w:t>
      </w:r>
      <w:r w:rsidR="3F87000A">
        <w:t xml:space="preserve">other </w:t>
      </w:r>
      <w:r>
        <w:t xml:space="preserve">related issues. </w:t>
      </w:r>
    </w:p>
    <w:p w:rsidRPr="00736C31" w:rsidR="00452E54" w:rsidP="00452E54" w:rsidRDefault="00452E54" w14:paraId="6CFD982D" w14:textId="77777777">
      <w:r>
        <w:t xml:space="preserve">The first issue is the need for </w:t>
      </w:r>
      <w:r w:rsidRPr="00736C31">
        <w:t xml:space="preserve">adequate support for individuals affected by medical interventions. </w:t>
      </w:r>
      <w:r>
        <w:t>Several stakeholders raised</w:t>
      </w:r>
      <w:r w:rsidRPr="00736C31">
        <w:t xml:space="preserve"> concerns about a lack of information about the lived experience of variations </w:t>
      </w:r>
      <w:r>
        <w:t xml:space="preserve">in sex characteristics </w:t>
      </w:r>
      <w:r w:rsidRPr="00736C31">
        <w:t xml:space="preserve">and alternatives to invasive, irreversible medical </w:t>
      </w:r>
      <w:r w:rsidRPr="00D5270D">
        <w:t>interventions on children,</w:t>
      </w:r>
      <w:r w:rsidRPr="00736C31">
        <w:t xml:space="preserve"> including non-intervention. </w:t>
      </w:r>
      <w:r>
        <w:t>They focused on a</w:t>
      </w:r>
      <w:r w:rsidRPr="00736C31">
        <w:t xml:space="preserve"> need for better access to peer support and professional psychological and psychiatric services.</w:t>
      </w:r>
    </w:p>
    <w:p w:rsidRPr="00736C31" w:rsidR="00452E54" w:rsidP="00452E54" w:rsidRDefault="00452E54" w14:paraId="57C3DDAC" w14:textId="77777777">
      <w:r>
        <w:t>Secondly, this chapter considers t</w:t>
      </w:r>
      <w:r w:rsidRPr="00736C31">
        <w:t xml:space="preserve">he rights of </w:t>
      </w:r>
      <w:r>
        <w:t xml:space="preserve">affected </w:t>
      </w:r>
      <w:r w:rsidRPr="00736C31">
        <w:t xml:space="preserve">people to access and control their health records. </w:t>
      </w:r>
      <w:r>
        <w:t xml:space="preserve">Concerns were raised with the Commission about </w:t>
      </w:r>
      <w:r w:rsidRPr="00736C31">
        <w:t>records hav</w:t>
      </w:r>
      <w:r>
        <w:t>ing</w:t>
      </w:r>
      <w:r w:rsidRPr="00736C31">
        <w:t xml:space="preserve"> been destroyed, failure to appropriately share records between treating health professionals</w:t>
      </w:r>
      <w:r>
        <w:t>,</w:t>
      </w:r>
      <w:r w:rsidRPr="00736C31">
        <w:t xml:space="preserve"> and inadequate record security. </w:t>
      </w:r>
    </w:p>
    <w:p w:rsidRPr="00736C31" w:rsidR="00452E54" w:rsidP="00452E54" w:rsidRDefault="00452E54" w14:paraId="101BFBE9" w14:textId="77777777">
      <w:r>
        <w:t>Thirdly, the Commission considers the</w:t>
      </w:r>
      <w:r w:rsidRPr="00736C31">
        <w:t xml:space="preserve"> need for long-term, longitudinal data on past and current practices to better understand the health and psychosocial effects of different interventions.</w:t>
      </w:r>
    </w:p>
    <w:p w:rsidR="00452E54" w:rsidP="00452E54" w:rsidRDefault="00452E54" w14:paraId="1C9BC6C1" w14:textId="77777777">
      <w:pPr>
        <w:pStyle w:val="AHRCHeading2"/>
      </w:pPr>
      <w:bookmarkStart w:name="_Toc80614228" w:id="596"/>
      <w:bookmarkStart w:name="_Toc85541492" w:id="597"/>
      <w:r w:rsidRPr="005129F3">
        <w:t>S</w:t>
      </w:r>
      <w:r>
        <w:t>upport for affected individuals</w:t>
      </w:r>
      <w:bookmarkEnd w:id="596"/>
      <w:bookmarkEnd w:id="597"/>
      <w:r w:rsidRPr="005129F3">
        <w:t xml:space="preserve"> </w:t>
      </w:r>
      <w:r>
        <w:t xml:space="preserve"> </w:t>
      </w:r>
    </w:p>
    <w:p w:rsidR="00452E54" w:rsidP="00452E54" w:rsidRDefault="18BF7503" w14:paraId="1F249AEE" w14:textId="00266CE1">
      <w:r>
        <w:t>The provision of adequate support for individuals born with variations in sex characteristics</w:t>
      </w:r>
      <w:r w:rsidR="5DD65855">
        <w:t xml:space="preserve"> </w:t>
      </w:r>
      <w:r>
        <w:t xml:space="preserve">is important </w:t>
      </w:r>
      <w:r w:rsidR="43A520E1">
        <w:t>for</w:t>
      </w:r>
      <w:r>
        <w:t xml:space="preserve"> the realisation of their human rights. This support should include provision of relevant information about health and other related issues, as well as professional psychological and peer support. </w:t>
      </w:r>
    </w:p>
    <w:p w:rsidR="00452E54" w:rsidP="00452E54" w:rsidRDefault="6D7F96A0" w14:paraId="5A585482" w14:textId="4BE5A28B">
      <w:r>
        <w:t>Adequate s</w:t>
      </w:r>
      <w:r w:rsidR="18BF7503">
        <w:t xml:space="preserve">upport </w:t>
      </w:r>
      <w:r w:rsidR="6EB44DD2">
        <w:t xml:space="preserve">for families of children born with variations in sex characteristics </w:t>
      </w:r>
      <w:r w:rsidR="0AE29FF2">
        <w:t xml:space="preserve">is also important, in particular </w:t>
      </w:r>
      <w:r w:rsidR="18BF7503">
        <w:t>in the period following birth, when families may be facing an unknown picture and are reliant on guidance from experts</w:t>
      </w:r>
      <w:r w:rsidR="1E836305">
        <w:t>.</w:t>
      </w:r>
    </w:p>
    <w:p w:rsidRPr="000D3B61" w:rsidR="00452E54" w:rsidP="00452E54" w:rsidRDefault="18BF7503" w14:paraId="09AED3F9" w14:textId="384D2CA6">
      <w:r>
        <w:lastRenderedPageBreak/>
        <w:t xml:space="preserve">For children, support can </w:t>
      </w:r>
      <w:r w:rsidRPr="00B705A1">
        <w:t xml:space="preserve">enable their fullest engagement in </w:t>
      </w:r>
      <w:r>
        <w:t>health-related</w:t>
      </w:r>
      <w:r w:rsidRPr="00B705A1">
        <w:t xml:space="preserve"> decision</w:t>
      </w:r>
      <w:r>
        <w:t xml:space="preserve"> </w:t>
      </w:r>
      <w:r w:rsidRPr="00B705A1">
        <w:t>making as they mature</w:t>
      </w:r>
      <w:r>
        <w:t>. This helps children to exercise autonomy, in accordance with a</w:t>
      </w:r>
      <w:r w:rsidRPr="00B705A1">
        <w:t xml:space="preserve">rticle </w:t>
      </w:r>
      <w:r w:rsidR="00FC7C82">
        <w:t>12</w:t>
      </w:r>
      <w:r w:rsidR="00CE614F">
        <w:t xml:space="preserve"> </w:t>
      </w:r>
      <w:r w:rsidRPr="00B705A1">
        <w:t xml:space="preserve">of the </w:t>
      </w:r>
      <w:r>
        <w:t>CRC,</w:t>
      </w:r>
      <w:r w:rsidRPr="009120C7" w:rsidR="00452E54">
        <w:rPr>
          <w:sz w:val="20"/>
          <w:szCs w:val="20"/>
          <w:vertAlign w:val="superscript"/>
        </w:rPr>
        <w:endnoteReference w:id="681"/>
      </w:r>
      <w:r>
        <w:t xml:space="preserve"> </w:t>
      </w:r>
      <w:r w:rsidRPr="00D5270D">
        <w:t>and as expressed in the children’s agency principle.</w:t>
      </w:r>
      <w:r w:rsidR="007E00B4">
        <w:t xml:space="preserve"> </w:t>
      </w:r>
      <w:r w:rsidR="00C418E8">
        <w:t>Children are guaranteed access to information under article 13 on freedom of expression, and article 17 on information and media.</w:t>
      </w:r>
      <w:r w:rsidR="00DE165A">
        <w:t xml:space="preserve"> Information provision needs to be appropriate for children, adults and parents/families.</w:t>
      </w:r>
    </w:p>
    <w:p w:rsidR="00452E54" w:rsidP="005A6BBF" w:rsidRDefault="00452E54" w14:paraId="1306BBA5" w14:textId="77777777">
      <w:pPr>
        <w:pStyle w:val="Heading3"/>
        <w:numPr>
          <w:ilvl w:val="2"/>
          <w:numId w:val="81"/>
        </w:numPr>
        <w:tabs>
          <w:tab w:val="clear" w:pos="8222"/>
        </w:tabs>
        <w:ind w:left="851"/>
      </w:pPr>
      <w:bookmarkStart w:name="_Toc80614229" w:id="598"/>
      <w:bookmarkStart w:name="_Toc85541493" w:id="599"/>
      <w:r>
        <w:t>Provision of information and education</w:t>
      </w:r>
      <w:bookmarkEnd w:id="598"/>
      <w:bookmarkEnd w:id="599"/>
    </w:p>
    <w:p w:rsidR="00452E54" w:rsidP="00452E54" w:rsidRDefault="18BF7503" w14:paraId="045967A9" w14:textId="77777777">
      <w:r>
        <w:t>Many people born with variations in sex characteristics described their dissatisfaction with the information provided by health professionals and others in relation to their variation in sex characteristics.</w:t>
      </w:r>
      <w:r w:rsidR="00452E54">
        <w:rPr>
          <w:rStyle w:val="EndnoteReference"/>
        </w:rPr>
        <w:endnoteReference w:id="682"/>
      </w:r>
      <w:r>
        <w:t xml:space="preserve"> The provision of information as it relates specifically to informed consent is addressed in detail in </w:t>
      </w:r>
      <w:r w:rsidRPr="0071394C">
        <w:t>Chapter 4</w:t>
      </w:r>
      <w:r>
        <w:t>. More general concerns about information provision were raised by people with lived experience. These concerns focused on a lack of information about experience of variations and alternatives to invasive, irreversible interventions, including the alternative of non-intervention.</w:t>
      </w:r>
    </w:p>
    <w:p w:rsidRPr="005129F3" w:rsidR="00452E54" w:rsidP="00452E54" w:rsidRDefault="18BF7503" w14:paraId="74EA7324" w14:textId="77777777">
      <w:r>
        <w:t>In this context, stakeholders referred to article 18(2) of the CRC:</w:t>
      </w:r>
    </w:p>
    <w:p w:rsidR="00452E54" w:rsidP="00452E54" w:rsidRDefault="00452E54" w14:paraId="6150277C" w14:textId="2556F232">
      <w:pPr>
        <w:ind w:left="720"/>
        <w:rPr>
          <w:sz w:val="22"/>
          <w:szCs w:val="22"/>
        </w:rPr>
      </w:pPr>
      <w:r w:rsidRPr="00C65A03">
        <w:rPr>
          <w:sz w:val="22"/>
          <w:szCs w:val="22"/>
        </w:rPr>
        <w:t>For the purpose of guaranteeing and promoting the rights set forth in the present Convention, States Parties shall render appropriate assistance to parents and legal guardians in the performance of their child-rearing responsibilities and shall ensure the development of institutions, facilities and services for the care of children.</w:t>
      </w:r>
      <w:r w:rsidRPr="0117CC5D">
        <w:rPr>
          <w:rStyle w:val="EndnoteReference"/>
        </w:rPr>
        <w:endnoteReference w:id="683"/>
      </w:r>
    </w:p>
    <w:p w:rsidRPr="000853A1" w:rsidR="00C418E8" w:rsidP="000853A1" w:rsidRDefault="00C418E8" w14:paraId="139635F1" w14:textId="592BE7D4">
      <w:r w:rsidRPr="000853A1">
        <w:t xml:space="preserve">The Commission notes that article 18(2) is about information for parents and legal guardians, not children.  </w:t>
      </w:r>
    </w:p>
    <w:p w:rsidR="00452E54" w:rsidP="005A6BBF" w:rsidRDefault="0ED3DC27" w14:paraId="5B07A02E" w14:textId="28913092">
      <w:pPr>
        <w:pStyle w:val="Heading4"/>
        <w:numPr>
          <w:ilvl w:val="3"/>
          <w:numId w:val="81"/>
        </w:numPr>
        <w:ind w:left="851"/>
      </w:pPr>
      <w:r>
        <w:t>Need for i</w:t>
      </w:r>
      <w:r w:rsidR="18BF7503">
        <w:t>nformation for individuals and their famil</w:t>
      </w:r>
      <w:r w:rsidR="30AA5C97">
        <w:t>ies</w:t>
      </w:r>
      <w:r w:rsidR="18BF7503">
        <w:t xml:space="preserve"> </w:t>
      </w:r>
    </w:p>
    <w:p w:rsidR="00452E54" w:rsidP="00452E54" w:rsidRDefault="00452E54" w14:paraId="4E98E046" w14:textId="697CDF53">
      <w:r>
        <w:t xml:space="preserve">Stakeholders expressed diverse views on whether adequate information has been provided to individuals, and where appropriate, their families. </w:t>
      </w:r>
    </w:p>
    <w:p w:rsidR="00452E54" w:rsidP="00452E54" w:rsidRDefault="18BF7503" w14:paraId="59E0B5EB" w14:textId="1941546E">
      <w:r>
        <w:t>One clinical stakeholder stated that contemporary practice involves</w:t>
      </w:r>
    </w:p>
    <w:p w:rsidR="00452E54" w:rsidP="00452E54" w:rsidRDefault="00452E54" w14:paraId="1CAFE612" w14:textId="77777777">
      <w:pPr>
        <w:ind w:left="720"/>
      </w:pPr>
      <w:r w:rsidRPr="005B1E0F">
        <w:rPr>
          <w:sz w:val="22"/>
          <w:szCs w:val="22"/>
        </w:rPr>
        <w:t xml:space="preserve">explaining the condition, its consequences and likely impacts, treatment or management options including non-intervention, and the potential benefits and risks associated with each option, in cases where the affected person is in a </w:t>
      </w:r>
      <w:r w:rsidRPr="005B1E0F">
        <w:rPr>
          <w:sz w:val="22"/>
          <w:szCs w:val="22"/>
        </w:rPr>
        <w:lastRenderedPageBreak/>
        <w:t>position to provide or deny consent. This situation is no different from any other area of medical practice</w:t>
      </w:r>
      <w:r w:rsidRPr="009D26A8">
        <w:t>.</w:t>
      </w:r>
      <w:r>
        <w:rPr>
          <w:rStyle w:val="EndnoteReference"/>
        </w:rPr>
        <w:endnoteReference w:id="684"/>
      </w:r>
    </w:p>
    <w:p w:rsidR="00452E54" w:rsidP="00452E54" w:rsidRDefault="00452E54" w14:paraId="2319F105" w14:textId="1CDD304C">
      <w:r>
        <w:t>Some stakeholders from peer and parent advocacy and support organisations, and some health service providers, argued that the provision of information has been inadequate. One parent advocacy and support organisation stated that there are</w:t>
      </w:r>
      <w:r w:rsidRPr="0066628E">
        <w:t xml:space="preserve"> major shortfalls in available </w:t>
      </w:r>
      <w:r>
        <w:t xml:space="preserve">information </w:t>
      </w:r>
      <w:r w:rsidRPr="0066628E">
        <w:t>resources</w:t>
      </w:r>
      <w:r>
        <w:t>. For their</w:t>
      </w:r>
      <w:r w:rsidRPr="006B7C59">
        <w:t xml:space="preserve"> adult members</w:t>
      </w:r>
      <w:r>
        <w:t>,</w:t>
      </w:r>
      <w:r w:rsidRPr="006B7C59">
        <w:t xml:space="preserve"> who have had little or no support</w:t>
      </w:r>
      <w:r>
        <w:t>,</w:t>
      </w:r>
      <w:r w:rsidRPr="006B7C59">
        <w:t xml:space="preserve"> this lack of knowledge and </w:t>
      </w:r>
      <w:r>
        <w:t>information</w:t>
      </w:r>
      <w:r w:rsidRPr="006B7C59">
        <w:t xml:space="preserve"> can have major negative </w:t>
      </w:r>
      <w:r>
        <w:t xml:space="preserve">impacts on </w:t>
      </w:r>
      <w:r w:rsidRPr="006B7C59">
        <w:t>health and mental wellbeing</w:t>
      </w:r>
      <w:r>
        <w:t>.</w:t>
      </w:r>
      <w:r>
        <w:rPr>
          <w:rStyle w:val="EndnoteReference"/>
        </w:rPr>
        <w:endnoteReference w:id="685"/>
      </w:r>
      <w:r w:rsidRPr="006B7C59">
        <w:t xml:space="preserve"> </w:t>
      </w:r>
    </w:p>
    <w:p w:rsidR="00452E54" w:rsidP="00452E54" w:rsidRDefault="00452E54" w14:paraId="3540144D" w14:textId="77777777">
      <w:r>
        <w:t>One peer advocacy and support organisation stated that information provision remains insufficient.</w:t>
      </w:r>
      <w:r>
        <w:rPr>
          <w:rStyle w:val="EndnoteReference"/>
        </w:rPr>
        <w:endnoteReference w:id="686"/>
      </w:r>
      <w:r>
        <w:t xml:space="preserve"> Individuals with lived experience of variations in sex characteristics observed that information provision varies considerably, dependent on location, and </w:t>
      </w:r>
      <w:r w:rsidRPr="00C36DA7">
        <w:t>many people do</w:t>
      </w:r>
      <w:r>
        <w:t xml:space="preserve"> not</w:t>
      </w:r>
      <w:r w:rsidRPr="00C36DA7">
        <w:t xml:space="preserve"> have </w:t>
      </w:r>
      <w:r>
        <w:t xml:space="preserve">a </w:t>
      </w:r>
      <w:r w:rsidRPr="00C36DA7">
        <w:t xml:space="preserve">choice </w:t>
      </w:r>
      <w:r>
        <w:t>of</w:t>
      </w:r>
      <w:r w:rsidRPr="00C36DA7">
        <w:t xml:space="preserve"> information</w:t>
      </w:r>
      <w:r>
        <w:t xml:space="preserve"> sources.</w:t>
      </w:r>
      <w:r>
        <w:rPr>
          <w:rStyle w:val="EndnoteReference"/>
        </w:rPr>
        <w:endnoteReference w:id="687"/>
      </w:r>
      <w:r>
        <w:t xml:space="preserve"> </w:t>
      </w:r>
    </w:p>
    <w:p w:rsidR="00452E54" w:rsidP="00452E54" w:rsidRDefault="00452E54" w14:paraId="76578C63" w14:textId="77777777">
      <w:r>
        <w:t>Some stakeholders identified the</w:t>
      </w:r>
      <w:r w:rsidRPr="005129F3">
        <w:t xml:space="preserve"> nee</w:t>
      </w:r>
      <w:r>
        <w:t>d</w:t>
      </w:r>
      <w:r w:rsidRPr="005129F3">
        <w:t xml:space="preserve"> to promote understanding and awareness among health care professionals</w:t>
      </w:r>
      <w:r>
        <w:t xml:space="preserve">, educators, teachers and </w:t>
      </w:r>
      <w:r w:rsidRPr="005129F3">
        <w:t>across the broader community</w:t>
      </w:r>
      <w:r w:rsidRPr="0071394C">
        <w:rPr>
          <w:sz w:val="20"/>
          <w:szCs w:val="20"/>
        </w:rPr>
        <w:t>.</w:t>
      </w:r>
      <w:r w:rsidRPr="0071394C">
        <w:rPr>
          <w:sz w:val="20"/>
          <w:szCs w:val="20"/>
          <w:vertAlign w:val="superscript"/>
        </w:rPr>
        <w:endnoteReference w:id="688"/>
      </w:r>
      <w:r w:rsidRPr="0071394C">
        <w:rPr>
          <w:sz w:val="20"/>
          <w:szCs w:val="20"/>
        </w:rPr>
        <w:t xml:space="preserve"> </w:t>
      </w:r>
      <w:r w:rsidRPr="005129F3">
        <w:t xml:space="preserve"> </w:t>
      </w:r>
    </w:p>
    <w:p w:rsidR="00452E54" w:rsidP="00452E54" w:rsidRDefault="18BF7503" w14:paraId="17B19792" w14:textId="7AF3A768">
      <w:r>
        <w:t>One peer-support and advocacy organisation stated that there is need for</w:t>
      </w:r>
    </w:p>
    <w:p w:rsidRPr="0076624A" w:rsidR="00452E54" w:rsidP="00452E54" w:rsidRDefault="00452E54" w14:paraId="13107B35" w14:textId="77777777">
      <w:pPr>
        <w:ind w:left="720"/>
        <w:rPr>
          <w:sz w:val="22"/>
          <w:szCs w:val="22"/>
        </w:rPr>
      </w:pPr>
      <w:r w:rsidRPr="0076624A">
        <w:rPr>
          <w:sz w:val="22"/>
          <w:szCs w:val="22"/>
        </w:rPr>
        <w:t>a</w:t>
      </w:r>
      <w:r w:rsidRPr="000C0815">
        <w:rPr>
          <w:sz w:val="22"/>
          <w:szCs w:val="22"/>
        </w:rPr>
        <w:t>dequate training and education about</w:t>
      </w:r>
      <w:r w:rsidRPr="0076624A">
        <w:rPr>
          <w:sz w:val="22"/>
          <w:szCs w:val="22"/>
        </w:rPr>
        <w:t xml:space="preserve"> </w:t>
      </w:r>
      <w:r w:rsidRPr="000C0815">
        <w:rPr>
          <w:sz w:val="22"/>
          <w:szCs w:val="22"/>
        </w:rPr>
        <w:t>the diversity of bodies contained under the intersex umbrella, including the specific</w:t>
      </w:r>
      <w:r w:rsidRPr="0076624A">
        <w:rPr>
          <w:sz w:val="22"/>
          <w:szCs w:val="22"/>
        </w:rPr>
        <w:t xml:space="preserve"> </w:t>
      </w:r>
      <w:r w:rsidRPr="000C0815">
        <w:rPr>
          <w:sz w:val="22"/>
          <w:szCs w:val="22"/>
        </w:rPr>
        <w:t>concerns for some of the more common variations, and the human rights issues that</w:t>
      </w:r>
      <w:r w:rsidRPr="0076624A">
        <w:rPr>
          <w:sz w:val="22"/>
          <w:szCs w:val="22"/>
        </w:rPr>
        <w:t xml:space="preserve"> </w:t>
      </w:r>
      <w:r w:rsidRPr="000C0815">
        <w:rPr>
          <w:sz w:val="22"/>
          <w:szCs w:val="22"/>
        </w:rPr>
        <w:t>face our community should be included in all new medical, health, psychological,</w:t>
      </w:r>
      <w:r w:rsidRPr="0076624A">
        <w:rPr>
          <w:sz w:val="22"/>
          <w:szCs w:val="22"/>
        </w:rPr>
        <w:t xml:space="preserve"> </w:t>
      </w:r>
      <w:r w:rsidRPr="000C0815">
        <w:rPr>
          <w:sz w:val="22"/>
          <w:szCs w:val="22"/>
        </w:rPr>
        <w:t>sociological, social work, and community services related studies and ongoing</w:t>
      </w:r>
      <w:r w:rsidRPr="0076624A">
        <w:rPr>
          <w:sz w:val="22"/>
          <w:szCs w:val="22"/>
        </w:rPr>
        <w:t xml:space="preserve"> </w:t>
      </w:r>
      <w:r w:rsidRPr="000C0815">
        <w:rPr>
          <w:sz w:val="22"/>
          <w:szCs w:val="22"/>
        </w:rPr>
        <w:t>professional development opportunities for practicing professionals should be</w:t>
      </w:r>
      <w:r w:rsidRPr="0076624A">
        <w:rPr>
          <w:sz w:val="22"/>
          <w:szCs w:val="22"/>
        </w:rPr>
        <w:t xml:space="preserve"> </w:t>
      </w:r>
      <w:r w:rsidRPr="000C0815">
        <w:rPr>
          <w:sz w:val="22"/>
          <w:szCs w:val="22"/>
        </w:rPr>
        <w:t>available so that referral pathways to affirmative peer support and information is</w:t>
      </w:r>
      <w:r w:rsidRPr="0076624A">
        <w:rPr>
          <w:sz w:val="22"/>
          <w:szCs w:val="22"/>
        </w:rPr>
        <w:t xml:space="preserve"> </w:t>
      </w:r>
      <w:r w:rsidRPr="000C0815">
        <w:rPr>
          <w:sz w:val="22"/>
          <w:szCs w:val="22"/>
        </w:rPr>
        <w:t>available. Additionally, sex education delivered in schools must provide at least the</w:t>
      </w:r>
      <w:r w:rsidRPr="0076624A">
        <w:rPr>
          <w:sz w:val="22"/>
          <w:szCs w:val="22"/>
        </w:rPr>
        <w:t xml:space="preserve"> </w:t>
      </w:r>
      <w:r w:rsidRPr="000C0815">
        <w:rPr>
          <w:sz w:val="22"/>
          <w:szCs w:val="22"/>
        </w:rPr>
        <w:t>most basic description of intersex so that individuals are not erased in this context and</w:t>
      </w:r>
      <w:r w:rsidRPr="0076624A">
        <w:rPr>
          <w:sz w:val="22"/>
          <w:szCs w:val="22"/>
        </w:rPr>
        <w:t xml:space="preserve"> </w:t>
      </w:r>
      <w:r w:rsidRPr="000C0815">
        <w:rPr>
          <w:sz w:val="22"/>
          <w:szCs w:val="22"/>
        </w:rPr>
        <w:t>discussion around intersex issues is open, non</w:t>
      </w:r>
      <w:r w:rsidRPr="0076624A">
        <w:rPr>
          <w:sz w:val="22"/>
          <w:szCs w:val="22"/>
        </w:rPr>
        <w:t>-</w:t>
      </w:r>
      <w:r w:rsidRPr="000C0815">
        <w:rPr>
          <w:sz w:val="22"/>
          <w:szCs w:val="22"/>
        </w:rPr>
        <w:t>pathologising, and supported. Peer-led</w:t>
      </w:r>
      <w:r w:rsidRPr="0076624A">
        <w:rPr>
          <w:sz w:val="22"/>
          <w:szCs w:val="22"/>
        </w:rPr>
        <w:t xml:space="preserve"> </w:t>
      </w:r>
      <w:r w:rsidRPr="000C0815">
        <w:rPr>
          <w:sz w:val="22"/>
          <w:szCs w:val="22"/>
        </w:rPr>
        <w:t>intersex organisations should be consulted in the drafting of any such educational</w:t>
      </w:r>
      <w:r w:rsidRPr="0076624A">
        <w:rPr>
          <w:sz w:val="22"/>
          <w:szCs w:val="22"/>
        </w:rPr>
        <w:t xml:space="preserve"> </w:t>
      </w:r>
      <w:r w:rsidRPr="000C0815">
        <w:rPr>
          <w:sz w:val="22"/>
          <w:szCs w:val="22"/>
        </w:rPr>
        <w:t>material. Individuals with lived-experience who are open and willing to speak about</w:t>
      </w:r>
      <w:r w:rsidRPr="0076624A">
        <w:rPr>
          <w:sz w:val="22"/>
          <w:szCs w:val="22"/>
        </w:rPr>
        <w:t xml:space="preserve"> </w:t>
      </w:r>
      <w:r w:rsidRPr="000C0815">
        <w:rPr>
          <w:sz w:val="22"/>
          <w:szCs w:val="22"/>
        </w:rPr>
        <w:t>their experiences have often spent many years in reflection and resilience and</w:t>
      </w:r>
      <w:r w:rsidRPr="0076624A">
        <w:rPr>
          <w:sz w:val="22"/>
          <w:szCs w:val="22"/>
        </w:rPr>
        <w:t xml:space="preserve"> therefore must be considered experts in intersex issues.</w:t>
      </w:r>
      <w:r w:rsidRPr="0117CC5D">
        <w:rPr>
          <w:rStyle w:val="EndnoteReference"/>
        </w:rPr>
        <w:endnoteReference w:id="689"/>
      </w:r>
    </w:p>
    <w:p w:rsidR="00452E54" w:rsidP="00452E54" w:rsidRDefault="00452E54" w14:paraId="7A535872" w14:textId="77777777">
      <w:r>
        <w:lastRenderedPageBreak/>
        <w:t xml:space="preserve">A Gender Agenda suggested </w:t>
      </w:r>
      <w:r w:rsidRPr="005129F3">
        <w:t>that</w:t>
      </w:r>
      <w:r>
        <w:t>,</w:t>
      </w:r>
      <w:r w:rsidRPr="005129F3">
        <w:t xml:space="preserve"> in addition to information and advice, parents</w:t>
      </w:r>
      <w:r>
        <w:t xml:space="preserve"> and </w:t>
      </w:r>
      <w:r w:rsidRPr="005129F3">
        <w:t>carers should be given patients’ rights ‘toolkits’</w:t>
      </w:r>
      <w:r>
        <w:t xml:space="preserve"> to </w:t>
      </w:r>
      <w:r w:rsidRPr="00500CA7">
        <w:t xml:space="preserve">support people </w:t>
      </w:r>
      <w:r>
        <w:t>to</w:t>
      </w:r>
      <w:r w:rsidRPr="00500CA7">
        <w:t xml:space="preserve"> navigate healthcare services.</w:t>
      </w:r>
      <w:r w:rsidRPr="00CF2E77">
        <w:rPr>
          <w:sz w:val="20"/>
          <w:szCs w:val="20"/>
          <w:vertAlign w:val="superscript"/>
        </w:rPr>
        <w:endnoteReference w:id="690"/>
      </w:r>
    </w:p>
    <w:p w:rsidR="00452E54" w:rsidP="000257AA" w:rsidRDefault="18BF7503" w14:paraId="6A751675" w14:textId="7A50BC93">
      <w:r>
        <w:t xml:space="preserve">In July 2021, Intersex Human Rights Australia worked with the </w:t>
      </w:r>
      <w:r w:rsidRPr="00D75F68">
        <w:t xml:space="preserve">Victorian </w:t>
      </w:r>
      <w:r>
        <w:t>G</w:t>
      </w:r>
      <w:r w:rsidRPr="00D75F68">
        <w:t>overnment</w:t>
      </w:r>
      <w:r>
        <w:t xml:space="preserve"> by auditing </w:t>
      </w:r>
      <w:r w:rsidRPr="00D75F68">
        <w:t xml:space="preserve">community and related resources on </w:t>
      </w:r>
      <w:r>
        <w:t>people with variations in sex characteristics</w:t>
      </w:r>
      <w:r w:rsidDel="0036347E">
        <w:t>.</w:t>
      </w:r>
      <w:r w:rsidR="00452E54">
        <w:rPr>
          <w:rStyle w:val="EndnoteReference"/>
        </w:rPr>
        <w:endnoteReference w:id="691"/>
      </w:r>
      <w:r w:rsidDel="0036347E">
        <w:t xml:space="preserve"> </w:t>
      </w:r>
      <w:r w:rsidR="000257AA">
        <w:t>The review identifie</w:t>
      </w:r>
      <w:r w:rsidR="008161B5">
        <w:t>d</w:t>
      </w:r>
      <w:r w:rsidR="000257AA">
        <w:t xml:space="preserve"> mixed messaging by health and community organisations, in relation to both medical practices affecting people with intersex variations, and the characteristics of the population.</w:t>
      </w:r>
    </w:p>
    <w:p w:rsidRPr="002F1C26" w:rsidR="00452E54" w:rsidP="005A6BBF" w:rsidRDefault="10431F61" w14:paraId="28EB68E3" w14:textId="6501215C">
      <w:pPr>
        <w:pStyle w:val="Heading4"/>
        <w:numPr>
          <w:ilvl w:val="3"/>
          <w:numId w:val="81"/>
        </w:numPr>
        <w:ind w:left="851"/>
      </w:pPr>
      <w:r>
        <w:t>Need for balanced</w:t>
      </w:r>
      <w:r w:rsidR="18BF7503">
        <w:t xml:space="preserve"> information</w:t>
      </w:r>
    </w:p>
    <w:p w:rsidR="00452E54" w:rsidP="00452E54" w:rsidRDefault="00452E54" w14:paraId="6A2392E5" w14:textId="77777777">
      <w:r>
        <w:t>Stakeholders</w:t>
      </w:r>
      <w:r w:rsidRPr="005129F3">
        <w:t xml:space="preserve"> disagree</w:t>
      </w:r>
      <w:r>
        <w:t>d</w:t>
      </w:r>
      <w:r w:rsidRPr="005129F3">
        <w:t xml:space="preserve"> about the adequacy and transparency of information</w:t>
      </w:r>
      <w:r>
        <w:t xml:space="preserve"> coming from specific sources.</w:t>
      </w:r>
      <w:r w:rsidRPr="005129F3">
        <w:t xml:space="preserve"> </w:t>
      </w:r>
      <w:r>
        <w:t>For example, one clinical</w:t>
      </w:r>
      <w:r w:rsidRPr="005129F3">
        <w:t xml:space="preserve"> </w:t>
      </w:r>
      <w:r>
        <w:t>stakeholder</w:t>
      </w:r>
      <w:r w:rsidRPr="005129F3">
        <w:t xml:space="preserve"> </w:t>
      </w:r>
      <w:r>
        <w:t>had</w:t>
      </w:r>
      <w:r w:rsidRPr="005129F3">
        <w:t xml:space="preserve"> </w:t>
      </w:r>
      <w:r>
        <w:t>concerns</w:t>
      </w:r>
      <w:r w:rsidRPr="005129F3">
        <w:t xml:space="preserve"> </w:t>
      </w:r>
      <w:r>
        <w:t>about</w:t>
      </w:r>
      <w:r w:rsidRPr="005129F3">
        <w:t xml:space="preserve"> support groups and peer workers not giv</w:t>
      </w:r>
      <w:r>
        <w:t>ing</w:t>
      </w:r>
      <w:r w:rsidRPr="005129F3">
        <w:t xml:space="preserve"> balanced information and </w:t>
      </w:r>
      <w:r>
        <w:t>being</w:t>
      </w:r>
      <w:r w:rsidRPr="005129F3">
        <w:t xml:space="preserve"> unduly negative about </w:t>
      </w:r>
      <w:r>
        <w:t xml:space="preserve">medical </w:t>
      </w:r>
      <w:r w:rsidRPr="005129F3">
        <w:t xml:space="preserve">intervention, </w:t>
      </w:r>
      <w:r>
        <w:t>including in</w:t>
      </w:r>
      <w:r w:rsidRPr="005129F3">
        <w:t xml:space="preserve"> assum</w:t>
      </w:r>
      <w:r>
        <w:t>ing</w:t>
      </w:r>
      <w:r w:rsidRPr="005129F3">
        <w:t xml:space="preserve"> that medical or clinical information is inherently biased.</w:t>
      </w:r>
      <w:r w:rsidRPr="00CF2E77">
        <w:rPr>
          <w:sz w:val="20"/>
          <w:szCs w:val="20"/>
          <w:vertAlign w:val="superscript"/>
        </w:rPr>
        <w:endnoteReference w:id="692"/>
      </w:r>
      <w:r w:rsidRPr="005129F3">
        <w:t xml:space="preserve">   </w:t>
      </w:r>
    </w:p>
    <w:p w:rsidRPr="005129F3" w:rsidR="00452E54" w:rsidP="00452E54" w:rsidRDefault="00452E54" w14:paraId="71C75180" w14:textId="77777777">
      <w:r>
        <w:t xml:space="preserve">In contrast, people born with variations in sex characteristics </w:t>
      </w:r>
      <w:r w:rsidRPr="005129F3">
        <w:t xml:space="preserve">noted the pitfalls of assuming that medical practices of intervention were value-neutral and objective. </w:t>
      </w:r>
      <w:r>
        <w:t>Stakeholders</w:t>
      </w:r>
      <w:r w:rsidRPr="005129F3">
        <w:t xml:space="preserve"> suggested that </w:t>
      </w:r>
      <w:r>
        <w:t xml:space="preserve">medical </w:t>
      </w:r>
      <w:r w:rsidRPr="005129F3">
        <w:t xml:space="preserve">practices </w:t>
      </w:r>
      <w:r>
        <w:t xml:space="preserve">in respect of variations in sex characteristics problematises being intersex due to </w:t>
      </w:r>
      <w:r w:rsidRPr="005129F3">
        <w:t>societal and cultural expectations about the alignment between bodies and stereotypical gender roles.</w:t>
      </w:r>
      <w:r w:rsidRPr="006A0D4B">
        <w:rPr>
          <w:sz w:val="20"/>
          <w:szCs w:val="20"/>
          <w:vertAlign w:val="superscript"/>
        </w:rPr>
        <w:endnoteReference w:id="693"/>
      </w:r>
      <w:r w:rsidRPr="00954D15">
        <w:t xml:space="preserve"> </w:t>
      </w:r>
      <w:r>
        <w:t>One clinical stakeholder</w:t>
      </w:r>
      <w:r w:rsidRPr="005129F3">
        <w:t xml:space="preserve"> referred </w:t>
      </w:r>
      <w:r>
        <w:t>to a study by</w:t>
      </w:r>
      <w:r w:rsidRPr="005129F3">
        <w:t xml:space="preserve"> </w:t>
      </w:r>
      <w:r w:rsidRPr="002909D3">
        <w:t xml:space="preserve">Jones </w:t>
      </w:r>
      <w:r w:rsidRPr="002909D3">
        <w:rPr>
          <w:iCs/>
        </w:rPr>
        <w:t>et al</w:t>
      </w:r>
      <w:r w:rsidRPr="002909D3">
        <w:t xml:space="preserve"> (2016),</w:t>
      </w:r>
      <w:r w:rsidRPr="005129F3">
        <w:t xml:space="preserve"> which recounted numerous experiences of inadequate disclosure</w:t>
      </w:r>
      <w:r>
        <w:t>.</w:t>
      </w:r>
      <w:r>
        <w:rPr>
          <w:rStyle w:val="EndnoteReference"/>
        </w:rPr>
        <w:endnoteReference w:id="694"/>
      </w:r>
    </w:p>
    <w:p w:rsidR="00452E54" w:rsidP="005A6BBF" w:rsidRDefault="00452E54" w14:paraId="068E9470" w14:textId="77777777">
      <w:pPr>
        <w:pStyle w:val="Heading4"/>
        <w:numPr>
          <w:ilvl w:val="3"/>
          <w:numId w:val="81"/>
        </w:numPr>
        <w:ind w:left="851"/>
      </w:pPr>
      <w:r>
        <w:t>Clinical education</w:t>
      </w:r>
    </w:p>
    <w:p w:rsidR="00452E54" w:rsidP="00452E54" w:rsidRDefault="18BF7503" w14:paraId="26E146C2" w14:textId="706A3AE9">
      <w:r>
        <w:t>Some stakeholders stressed the</w:t>
      </w:r>
      <w:r w:rsidRPr="005129F3">
        <w:t xml:space="preserve"> importance of ongoing education and training for professionals serving people born with variations in sex characteristics, including peer</w:t>
      </w:r>
      <w:r>
        <w:t>-</w:t>
      </w:r>
      <w:r w:rsidRPr="005129F3">
        <w:t>led training.</w:t>
      </w:r>
      <w:r w:rsidRPr="002850C9" w:rsidR="00452E54">
        <w:rPr>
          <w:sz w:val="20"/>
          <w:szCs w:val="20"/>
          <w:vertAlign w:val="superscript"/>
        </w:rPr>
        <w:endnoteReference w:id="695"/>
      </w:r>
      <w:r w:rsidRPr="005129F3">
        <w:t xml:space="preserve"> </w:t>
      </w:r>
      <w:r>
        <w:t>A peer support and advocacy organisation called for</w:t>
      </w:r>
    </w:p>
    <w:p w:rsidR="00452E54" w:rsidP="00452E54" w:rsidRDefault="18BF7503" w14:paraId="2B64518D" w14:textId="77777777">
      <w:pPr>
        <w:ind w:left="720"/>
        <w:rPr>
          <w:sz w:val="22"/>
          <w:szCs w:val="22"/>
        </w:rPr>
      </w:pPr>
      <w:r w:rsidRPr="00D75D74">
        <w:rPr>
          <w:sz w:val="22"/>
          <w:szCs w:val="22"/>
        </w:rPr>
        <w:t>Adequate training and education about</w:t>
      </w:r>
      <w:r>
        <w:rPr>
          <w:sz w:val="22"/>
          <w:szCs w:val="22"/>
        </w:rPr>
        <w:t xml:space="preserve"> </w:t>
      </w:r>
      <w:r w:rsidRPr="00D75D74">
        <w:rPr>
          <w:sz w:val="22"/>
          <w:szCs w:val="22"/>
        </w:rPr>
        <w:t>the diversity of bodies contained under the intersex umbrella, including the specific</w:t>
      </w:r>
      <w:r>
        <w:rPr>
          <w:sz w:val="22"/>
          <w:szCs w:val="22"/>
        </w:rPr>
        <w:t xml:space="preserve"> </w:t>
      </w:r>
      <w:r w:rsidRPr="00D75D74">
        <w:rPr>
          <w:sz w:val="22"/>
          <w:szCs w:val="22"/>
        </w:rPr>
        <w:t>concerns for some of the more common variations, and the human rights issues that</w:t>
      </w:r>
      <w:r>
        <w:rPr>
          <w:sz w:val="22"/>
          <w:szCs w:val="22"/>
        </w:rPr>
        <w:t xml:space="preserve"> </w:t>
      </w:r>
      <w:r w:rsidRPr="00D75D74">
        <w:rPr>
          <w:sz w:val="22"/>
          <w:szCs w:val="22"/>
        </w:rPr>
        <w:t>face our community should be included in all new medical, health, psychological,</w:t>
      </w:r>
      <w:r>
        <w:rPr>
          <w:sz w:val="22"/>
          <w:szCs w:val="22"/>
        </w:rPr>
        <w:t xml:space="preserve"> </w:t>
      </w:r>
      <w:r w:rsidRPr="00D75D74">
        <w:rPr>
          <w:sz w:val="22"/>
          <w:szCs w:val="22"/>
        </w:rPr>
        <w:t xml:space="preserve">sociological, social work, </w:t>
      </w:r>
      <w:r w:rsidRPr="00D75D74">
        <w:rPr>
          <w:sz w:val="22"/>
          <w:szCs w:val="22"/>
        </w:rPr>
        <w:lastRenderedPageBreak/>
        <w:t>and community services related studies and ongoing</w:t>
      </w:r>
      <w:r>
        <w:rPr>
          <w:sz w:val="22"/>
          <w:szCs w:val="22"/>
        </w:rPr>
        <w:t xml:space="preserve"> </w:t>
      </w:r>
      <w:r w:rsidRPr="00D75D74">
        <w:rPr>
          <w:sz w:val="22"/>
          <w:szCs w:val="22"/>
        </w:rPr>
        <w:t>professional development opportunities for practicing professionals</w:t>
      </w:r>
      <w:r>
        <w:rPr>
          <w:sz w:val="22"/>
          <w:szCs w:val="22"/>
        </w:rPr>
        <w:t>.</w:t>
      </w:r>
      <w:r w:rsidRPr="0117CC5D" w:rsidR="00452E54">
        <w:rPr>
          <w:rStyle w:val="EndnoteReference"/>
        </w:rPr>
        <w:endnoteReference w:id="696"/>
      </w:r>
    </w:p>
    <w:p w:rsidR="00452E54" w:rsidP="00452E54" w:rsidRDefault="00452E54" w14:paraId="4299563B" w14:textId="77777777">
      <w:r>
        <w:t xml:space="preserve">A </w:t>
      </w:r>
      <w:r w:rsidRPr="00FF6EEE">
        <w:rPr>
          <w:rFonts w:cs="Open Sans"/>
        </w:rPr>
        <w:t>hospital multi-disciplinary team</w:t>
      </w:r>
      <w:r w:rsidDel="007B4553">
        <w:t xml:space="preserve"> </w:t>
      </w:r>
      <w:r>
        <w:t>observed that medical education now includes content on ethics and human rights frameworks, although content varies between institutions and courses.</w:t>
      </w:r>
      <w:r w:rsidRPr="002850C9">
        <w:rPr>
          <w:sz w:val="20"/>
          <w:szCs w:val="20"/>
          <w:vertAlign w:val="superscript"/>
        </w:rPr>
        <w:endnoteReference w:id="697"/>
      </w:r>
      <w:r w:rsidRPr="002850C9">
        <w:rPr>
          <w:sz w:val="20"/>
          <w:szCs w:val="20"/>
          <w:vertAlign w:val="superscript"/>
        </w:rPr>
        <w:t xml:space="preserve"> </w:t>
      </w:r>
      <w:r>
        <w:t xml:space="preserve"> The </w:t>
      </w:r>
      <w:r w:rsidRPr="005129F3">
        <w:t xml:space="preserve">Jones </w:t>
      </w:r>
      <w:r w:rsidRPr="00547F35">
        <w:rPr>
          <w:iCs/>
        </w:rPr>
        <w:t>et al</w:t>
      </w:r>
      <w:r w:rsidRPr="005129F3">
        <w:t xml:space="preserve"> (2016)</w:t>
      </w:r>
      <w:r>
        <w:t xml:space="preserve"> study identified a range of priority measures to </w:t>
      </w:r>
      <w:r w:rsidRPr="00A96DC2">
        <w:t>achieve improved health for people born with variations in characteristics</w:t>
      </w:r>
      <w:r>
        <w:t xml:space="preserve">; </w:t>
      </w:r>
      <w:r w:rsidRPr="00A96DC2">
        <w:t xml:space="preserve">34 of the 137 responses identified </w:t>
      </w:r>
      <w:r>
        <w:t xml:space="preserve">as a priority </w:t>
      </w:r>
      <w:r w:rsidRPr="00A96DC2">
        <w:t xml:space="preserve">providing education </w:t>
      </w:r>
      <w:r>
        <w:t>and training t</w:t>
      </w:r>
      <w:r w:rsidRPr="00A96DC2">
        <w:t>o staff on intersex variations.</w:t>
      </w:r>
      <w:r w:rsidRPr="00A96DC2">
        <w:rPr>
          <w:rStyle w:val="EndnoteReference"/>
        </w:rPr>
        <w:endnoteReference w:id="698"/>
      </w:r>
      <w:r w:rsidRPr="00A96DC2" w:rsidDel="0002402E">
        <w:rPr>
          <w:rStyle w:val="EndnoteReference"/>
        </w:rPr>
        <w:t xml:space="preserve"> </w:t>
      </w:r>
    </w:p>
    <w:p w:rsidRPr="007C6BD0" w:rsidR="00452E54" w:rsidP="005A6BBF" w:rsidRDefault="00D63E85" w14:paraId="0F8DDE44" w14:textId="44B4365A">
      <w:pPr>
        <w:pStyle w:val="Heading4"/>
        <w:numPr>
          <w:ilvl w:val="3"/>
          <w:numId w:val="81"/>
        </w:numPr>
        <w:ind w:left="851"/>
      </w:pPr>
      <w:r>
        <w:t>Better information provision</w:t>
      </w:r>
    </w:p>
    <w:p w:rsidR="00452E54" w:rsidP="00452E54" w:rsidRDefault="18BF7503" w14:paraId="50949F75" w14:textId="2F0CA031">
      <w:r>
        <w:t>Clinicians and other health service providers should ensure that people with variations in sex characteristics and</w:t>
      </w:r>
      <w:r w:rsidR="278E224A">
        <w:t>,</w:t>
      </w:r>
      <w:r>
        <w:t xml:space="preserve"> </w:t>
      </w:r>
      <w:r w:rsidR="11FC5ECC">
        <w:t xml:space="preserve">where appropriate, </w:t>
      </w:r>
      <w:r>
        <w:t xml:space="preserve">their parents or guardians are provided with adequate information, at points of first contact and on an ongoing basis. </w:t>
      </w:r>
      <w:r w:rsidR="00021FFB">
        <w:rPr>
          <w:rFonts w:eastAsia="Times New Roman" w:cs="Open Sans"/>
        </w:rPr>
        <w:t>Given that most interventions occur when individuals are infants and young children, provision of</w:t>
      </w:r>
      <w:r w:rsidR="00A716AF">
        <w:rPr>
          <w:rFonts w:eastAsia="Times New Roman" w:cs="Open Sans"/>
        </w:rPr>
        <w:t xml:space="preserve"> adequate</w:t>
      </w:r>
      <w:r w:rsidR="00021FFB">
        <w:rPr>
          <w:rFonts w:eastAsia="Times New Roman" w:cs="Open Sans"/>
        </w:rPr>
        <w:t xml:space="preserve"> information to parents</w:t>
      </w:r>
      <w:r w:rsidR="00A716AF">
        <w:rPr>
          <w:rFonts w:eastAsia="Times New Roman" w:cs="Open Sans"/>
        </w:rPr>
        <w:t xml:space="preserve"> is paramount. </w:t>
      </w:r>
    </w:p>
    <w:p w:rsidR="00452E54" w:rsidP="00452E54" w:rsidRDefault="00452E54" w14:paraId="70B633A7" w14:textId="77777777">
      <w:r>
        <w:t xml:space="preserve">Information may be needed </w:t>
      </w:r>
      <w:r w:rsidRPr="008562BE">
        <w:t>from a range of sources</w:t>
      </w:r>
      <w:r>
        <w:t>, including from</w:t>
      </w:r>
      <w:r w:rsidRPr="008562BE">
        <w:t xml:space="preserve"> peer and parent support organisations</w:t>
      </w:r>
      <w:r>
        <w:t>;</w:t>
      </w:r>
      <w:r w:rsidRPr="008562BE">
        <w:t xml:space="preserve"> psychiatrists, </w:t>
      </w:r>
      <w:r w:rsidRPr="00D97D73">
        <w:rPr>
          <w:rStyle w:val="HeaderChar"/>
          <w:sz w:val="24"/>
        </w:rPr>
        <w:t>paediatric</w:t>
      </w:r>
      <w:r w:rsidRPr="00D97D73">
        <w:t>ians, e</w:t>
      </w:r>
      <w:r w:rsidRPr="008562BE">
        <w:t xml:space="preserve">ndocrinologists </w:t>
      </w:r>
      <w:r>
        <w:t xml:space="preserve">and other clinical specialists; and </w:t>
      </w:r>
      <w:r w:rsidRPr="008562BE">
        <w:t>psychologists and other allied health</w:t>
      </w:r>
      <w:r>
        <w:t xml:space="preserve"> professionals</w:t>
      </w:r>
      <w:r w:rsidRPr="008562BE">
        <w:t xml:space="preserve"> involved in care. </w:t>
      </w:r>
    </w:p>
    <w:p w:rsidR="00452E54" w:rsidP="3F40602D" w:rsidRDefault="18BF7503" w14:paraId="18E879F1" w14:textId="306327BD">
      <w:pPr>
        <w:rPr>
          <w:rStyle w:val="EndnoteReference"/>
        </w:rPr>
      </w:pPr>
      <w:r>
        <w:t>In particular, the Commission considers that referral to peer support organisations is important to ensure people with variations in sex characteristics, and their parents and guardians, obtain the information they need.</w:t>
      </w:r>
      <w:r w:rsidR="00452E54">
        <w:rPr>
          <w:rStyle w:val="EndnoteReference"/>
        </w:rPr>
        <w:endnoteReference w:id="699"/>
      </w:r>
      <w:r>
        <w:t xml:space="preserve"> </w:t>
      </w:r>
      <w:r w:rsidRPr="009409F6">
        <w:t xml:space="preserve">The value of peer support </w:t>
      </w:r>
      <w:r>
        <w:t xml:space="preserve">has been recognised in the </w:t>
      </w:r>
      <w:r w:rsidRPr="009409F6">
        <w:t xml:space="preserve">WHO </w:t>
      </w:r>
      <w:r>
        <w:t>Mental Health Action Plan</w:t>
      </w:r>
      <w:r w:rsidRPr="009409F6">
        <w:t xml:space="preserve"> 2013</w:t>
      </w:r>
      <w:r>
        <w:t>–</w:t>
      </w:r>
      <w:r w:rsidRPr="009409F6">
        <w:t>2020,</w:t>
      </w:r>
      <w:r w:rsidR="00452E54">
        <w:rPr>
          <w:rStyle w:val="EndnoteReference"/>
        </w:rPr>
        <w:endnoteReference w:id="700"/>
      </w:r>
      <w:r w:rsidRPr="009409F6">
        <w:t xml:space="preserve"> </w:t>
      </w:r>
      <w:r>
        <w:t>and</w:t>
      </w:r>
      <w:r w:rsidRPr="009409F6">
        <w:t xml:space="preserve"> </w:t>
      </w:r>
      <w:r>
        <w:t xml:space="preserve">the </w:t>
      </w:r>
      <w:r w:rsidRPr="009409F6">
        <w:t>2016 Consensus Statement</w:t>
      </w:r>
      <w:r>
        <w:t xml:space="preserve"> and Update.</w:t>
      </w:r>
      <w:r w:rsidR="00452E54">
        <w:rPr>
          <w:rStyle w:val="EndnoteReference"/>
        </w:rPr>
        <w:endnoteReference w:id="701"/>
      </w:r>
      <w:r w:rsidRPr="3F40602D" w:rsidR="6DAA34C6">
        <w:rPr>
          <w:rStyle w:val="EndnoteReference"/>
        </w:rPr>
        <w:t xml:space="preserve"> </w:t>
      </w:r>
    </w:p>
    <w:p w:rsidR="00452E54" w:rsidP="00452E54" w:rsidRDefault="00452E54" w14:paraId="299AD829" w14:textId="77777777">
      <w:r>
        <w:t xml:space="preserve">People with lived experience have called for improved training and education of healthcare professionals to enable them to better understand the diversity of variations in sex characteristics. </w:t>
      </w:r>
    </w:p>
    <w:p w:rsidR="00452E54" w:rsidP="00452E54" w:rsidRDefault="00A04E1D" w14:paraId="34636CEB" w14:textId="49C972C1">
      <w:r>
        <w:t xml:space="preserve">The need for better information provision is addressed in </w:t>
      </w:r>
      <w:r w:rsidR="00A927B7">
        <w:t>Recommendation 1</w:t>
      </w:r>
      <w:r w:rsidR="006F7FBD">
        <w:t>0</w:t>
      </w:r>
      <w:r w:rsidR="00BA3532">
        <w:t xml:space="preserve"> (at 9.</w:t>
      </w:r>
      <w:r w:rsidR="001C2C68">
        <w:t>1</w:t>
      </w:r>
      <w:r w:rsidR="005E6B11">
        <w:t>(c)</w:t>
      </w:r>
      <w:r w:rsidR="00CD3F94">
        <w:t xml:space="preserve"> of this r</w:t>
      </w:r>
      <w:r w:rsidR="002F4998">
        <w:t xml:space="preserve">eport). </w:t>
      </w:r>
      <w:r w:rsidR="00A927B7">
        <w:t xml:space="preserve"> </w:t>
      </w:r>
      <w:r w:rsidR="00452E54">
        <w:t xml:space="preserve">Issues surrounding the education and training of health </w:t>
      </w:r>
      <w:r w:rsidR="00452E54">
        <w:lastRenderedPageBreak/>
        <w:t xml:space="preserve">professionals who provide care to people with variations may be matters suitable for consideration by the </w:t>
      </w:r>
      <w:r w:rsidRPr="008325E7" w:rsidR="00452E54">
        <w:t xml:space="preserve">multidisciplinary expert </w:t>
      </w:r>
      <w:r w:rsidRPr="007743F4" w:rsidR="00452E54">
        <w:t>group (</w:t>
      </w:r>
      <w:r w:rsidR="00452E54">
        <w:t xml:space="preserve">See </w:t>
      </w:r>
      <w:r w:rsidRPr="00813ADD" w:rsidR="00452E54">
        <w:t>Recommendation 6(a)).</w:t>
      </w:r>
    </w:p>
    <w:p w:rsidRPr="00235158" w:rsidR="00452E54" w:rsidP="005A6BBF" w:rsidRDefault="00452E54" w14:paraId="65564CE9" w14:textId="6E380D84">
      <w:pPr>
        <w:pStyle w:val="Heading3"/>
        <w:numPr>
          <w:ilvl w:val="2"/>
          <w:numId w:val="81"/>
        </w:numPr>
        <w:ind w:left="851"/>
      </w:pPr>
      <w:bookmarkStart w:name="_Toc80614230" w:id="600"/>
      <w:bookmarkStart w:name="_Toc85541494" w:id="601"/>
      <w:r>
        <w:t xml:space="preserve">Provision of </w:t>
      </w:r>
      <w:bookmarkEnd w:id="600"/>
      <w:r w:rsidR="0B6135AF">
        <w:t xml:space="preserve">support </w:t>
      </w:r>
      <w:r w:rsidR="18BF7503">
        <w:t>services</w:t>
      </w:r>
      <w:bookmarkEnd w:id="601"/>
      <w:r>
        <w:t xml:space="preserve"> </w:t>
      </w:r>
    </w:p>
    <w:p w:rsidR="00452E54" w:rsidP="00452E54" w:rsidRDefault="00452E54" w14:paraId="3AD162CF" w14:textId="77777777">
      <w:r>
        <w:t>Stakeholders expressed concern that individuals born with variations in sex characteristics do not have adequate peer support or more formal psychological services available to them and called for better access to such services.</w:t>
      </w:r>
      <w:r>
        <w:rPr>
          <w:rStyle w:val="EndnoteReference"/>
        </w:rPr>
        <w:endnoteReference w:id="702"/>
      </w:r>
    </w:p>
    <w:p w:rsidRPr="00EF489D" w:rsidR="00EF489D" w:rsidP="006143AE" w:rsidRDefault="00EF489D" w14:paraId="659D5B3F" w14:textId="64BA1268">
      <w:pPr>
        <w:pBdr>
          <w:top w:val="single" w:color="auto" w:sz="4" w:space="1"/>
          <w:left w:val="single" w:color="auto" w:sz="4" w:space="4"/>
          <w:bottom w:val="single" w:color="auto" w:sz="4" w:space="1"/>
          <w:right w:val="single" w:color="auto" w:sz="4" w:space="4"/>
        </w:pBdr>
        <w:rPr>
          <w:b/>
          <w:bCs/>
        </w:rPr>
      </w:pPr>
      <w:r w:rsidRPr="00EF489D">
        <w:rPr>
          <w:b/>
          <w:bCs/>
        </w:rPr>
        <w:t xml:space="preserve">Peer support </w:t>
      </w:r>
    </w:p>
    <w:p w:rsidR="00A03F0F" w:rsidP="006143AE" w:rsidRDefault="00A03F0F" w14:paraId="07B1B5C0" w14:textId="6874D85D">
      <w:pPr>
        <w:pBdr>
          <w:top w:val="single" w:color="auto" w:sz="4" w:space="1"/>
          <w:left w:val="single" w:color="auto" w:sz="4" w:space="4"/>
          <w:bottom w:val="single" w:color="auto" w:sz="4" w:space="1"/>
          <w:right w:val="single" w:color="auto" w:sz="4" w:space="4"/>
        </w:pBdr>
      </w:pPr>
      <w:r>
        <w:t xml:space="preserve">Peer support is important for people born with variations in sex characteristics and their families to make informed decisions </w:t>
      </w:r>
      <w:r w:rsidR="0006398B">
        <w:t>about</w:t>
      </w:r>
      <w:r>
        <w:t xml:space="preserve"> their healthcare. It can help alleviate feelings of stigma and isolation and can expose individuals to further information, options and experiences. </w:t>
      </w:r>
    </w:p>
    <w:p w:rsidR="00BB7E53" w:rsidP="006143AE" w:rsidRDefault="00BB7E53" w14:paraId="4F2A5129" w14:textId="28B45025">
      <w:pPr>
        <w:pBdr>
          <w:top w:val="single" w:color="auto" w:sz="4" w:space="1"/>
          <w:left w:val="single" w:color="auto" w:sz="4" w:space="4"/>
          <w:bottom w:val="single" w:color="auto" w:sz="4" w:space="1"/>
          <w:right w:val="single" w:color="auto" w:sz="4" w:space="4"/>
        </w:pBdr>
      </w:pPr>
      <w:r>
        <w:t xml:space="preserve">Adolescents and other young people </w:t>
      </w:r>
      <w:r w:rsidR="009F38A1">
        <w:t xml:space="preserve">can </w:t>
      </w:r>
      <w:r>
        <w:t>especially respond to peer support, when they feel they can</w:t>
      </w:r>
      <w:r w:rsidR="009F38A1">
        <w:t>not</w:t>
      </w:r>
      <w:r>
        <w:t xml:space="preserve"> get support from </w:t>
      </w:r>
      <w:r w:rsidR="005C58BC">
        <w:t>parents/families</w:t>
      </w:r>
      <w:r>
        <w:t>, are exploring identity issues and want to belong to others their age</w:t>
      </w:r>
      <w:r w:rsidR="005C58BC">
        <w:t>.</w:t>
      </w:r>
    </w:p>
    <w:p w:rsidR="00A03F0F" w:rsidP="006143AE" w:rsidRDefault="00A03F0F" w14:paraId="47963F78" w14:textId="1B6D8A0A">
      <w:pPr>
        <w:pBdr>
          <w:top w:val="single" w:color="auto" w:sz="4" w:space="1"/>
          <w:left w:val="single" w:color="auto" w:sz="4" w:space="4"/>
          <w:bottom w:val="single" w:color="auto" w:sz="4" w:space="1"/>
          <w:right w:val="single" w:color="auto" w:sz="4" w:space="4"/>
        </w:pBdr>
      </w:pPr>
      <w:r>
        <w:t xml:space="preserve">In Australia, the Senate Committee report, the Consensus Statements, the Victorian </w:t>
      </w:r>
      <w:r w:rsidR="00065065">
        <w:t>D</w:t>
      </w:r>
      <w:r>
        <w:t>ecision-</w:t>
      </w:r>
      <w:r w:rsidR="00065065">
        <w:t>M</w:t>
      </w:r>
      <w:r>
        <w:t xml:space="preserve">aking </w:t>
      </w:r>
      <w:r w:rsidR="00065065">
        <w:t>P</w:t>
      </w:r>
      <w:r>
        <w:t xml:space="preserve">rinciples and the Darlington Statement all recognise the importance of peer support for people born with variations in sex characteristics and their families and carers.  </w:t>
      </w:r>
    </w:p>
    <w:p w:rsidRPr="00315706" w:rsidR="00A03F0F" w:rsidP="006143AE" w:rsidRDefault="00A03F0F" w14:paraId="0D91CEB4" w14:textId="7D527906">
      <w:pPr>
        <w:pBdr>
          <w:top w:val="single" w:color="auto" w:sz="4" w:space="1"/>
          <w:left w:val="single" w:color="auto" w:sz="4" w:space="4"/>
          <w:bottom w:val="single" w:color="auto" w:sz="4" w:space="1"/>
          <w:right w:val="single" w:color="auto" w:sz="4" w:space="4"/>
        </w:pBdr>
      </w:pPr>
      <w:r>
        <w:t>While the importance of peer support is clinically recognised, in practice referrals to support groups are inconsistent.  Further, capacity and resource constraints for peer support groups and organisations in Australia remain poorly funded, with most support groups run in a voluntary capacity or with limited and short-term funding, restricting the ability of these groups to provide the support that is required</w:t>
      </w:r>
    </w:p>
    <w:p w:rsidR="00452E54" w:rsidP="005A6BBF" w:rsidRDefault="00452E54" w14:paraId="0DC862B7" w14:textId="77777777">
      <w:pPr>
        <w:pStyle w:val="Heading4"/>
        <w:numPr>
          <w:ilvl w:val="3"/>
          <w:numId w:val="81"/>
        </w:numPr>
        <w:ind w:left="851"/>
      </w:pPr>
      <w:r>
        <w:t xml:space="preserve">Peer support services </w:t>
      </w:r>
    </w:p>
    <w:p w:rsidR="00452E54" w:rsidP="00452E54" w:rsidRDefault="00452E54" w14:paraId="5B7FACD8" w14:textId="77777777">
      <w:r>
        <w:t>Stakeholders generally agreed</w:t>
      </w:r>
      <w:r w:rsidRPr="005129F3">
        <w:t xml:space="preserve"> that properly funded and resourced peer </w:t>
      </w:r>
      <w:r>
        <w:t xml:space="preserve">support </w:t>
      </w:r>
      <w:r w:rsidRPr="005129F3">
        <w:t>workers</w:t>
      </w:r>
      <w:r w:rsidRPr="002A106B">
        <w:t xml:space="preserve"> </w:t>
      </w:r>
      <w:r w:rsidRPr="005129F3">
        <w:t>would be of great help in supporting individuals</w:t>
      </w:r>
      <w:r>
        <w:t>, their</w:t>
      </w:r>
      <w:r w:rsidRPr="005129F3">
        <w:t xml:space="preserve"> families</w:t>
      </w:r>
      <w:r>
        <w:t xml:space="preserve"> and </w:t>
      </w:r>
      <w:r w:rsidRPr="005129F3">
        <w:t>carers.</w:t>
      </w:r>
      <w:r w:rsidRPr="00BA05E4">
        <w:rPr>
          <w:sz w:val="20"/>
          <w:szCs w:val="20"/>
          <w:vertAlign w:val="superscript"/>
        </w:rPr>
        <w:endnoteReference w:id="703"/>
      </w:r>
      <w:r w:rsidRPr="005129F3">
        <w:t xml:space="preserve"> </w:t>
      </w:r>
    </w:p>
    <w:p w:rsidR="00452E54" w:rsidP="00452E54" w:rsidRDefault="00452E54" w14:paraId="4C16B44F" w14:textId="77777777">
      <w:r>
        <w:lastRenderedPageBreak/>
        <w:t>Some</w:t>
      </w:r>
      <w:r w:rsidDel="004B06F5">
        <w:t xml:space="preserve"> </w:t>
      </w:r>
      <w:r>
        <w:t>called for clinicians to ensure referral of individuals, and where relevant their families, to peer support organisations.</w:t>
      </w:r>
      <w:r>
        <w:rPr>
          <w:rStyle w:val="EndnoteReference"/>
        </w:rPr>
        <w:endnoteReference w:id="704"/>
      </w:r>
      <w:r>
        <w:t xml:space="preserve"> A human rights organisation</w:t>
      </w:r>
      <w:r w:rsidRPr="00536B13">
        <w:t xml:space="preserve"> argued that it should be mandatory for parents</w:t>
      </w:r>
      <w:r>
        <w:t xml:space="preserve"> and </w:t>
      </w:r>
      <w:r w:rsidRPr="00536B13">
        <w:t>carers of infants and children to be referred to peer support groups.</w:t>
      </w:r>
      <w:r w:rsidRPr="00BA05E4">
        <w:rPr>
          <w:sz w:val="22"/>
          <w:szCs w:val="22"/>
          <w:vertAlign w:val="superscript"/>
        </w:rPr>
        <w:endnoteReference w:id="705"/>
      </w:r>
      <w:r w:rsidRPr="00536B13">
        <w:t xml:space="preserve"> </w:t>
      </w:r>
    </w:p>
    <w:p w:rsidR="00452E54" w:rsidP="00452E54" w:rsidRDefault="00452E54" w14:paraId="1E100C60" w14:textId="77777777">
      <w:r>
        <w:t>P</w:t>
      </w:r>
      <w:r w:rsidRPr="005129F3">
        <w:t>roperly</w:t>
      </w:r>
      <w:r>
        <w:t xml:space="preserve"> </w:t>
      </w:r>
      <w:r w:rsidRPr="005129F3">
        <w:t xml:space="preserve">resourced peer support is </w:t>
      </w:r>
      <w:r>
        <w:t xml:space="preserve">considered </w:t>
      </w:r>
      <w:r w:rsidRPr="005129F3">
        <w:t>integral to a human-rights based approach.</w:t>
      </w:r>
      <w:r>
        <w:rPr>
          <w:rStyle w:val="EndnoteReference"/>
        </w:rPr>
        <w:endnoteReference w:id="706"/>
      </w:r>
      <w:r w:rsidRPr="005129F3">
        <w:t xml:space="preserve"> </w:t>
      </w:r>
      <w:r>
        <w:t>The</w:t>
      </w:r>
      <w:r w:rsidRPr="00536B13">
        <w:t xml:space="preserve"> Jones </w:t>
      </w:r>
      <w:r w:rsidRPr="00547F35">
        <w:rPr>
          <w:iCs/>
        </w:rPr>
        <w:t>et al</w:t>
      </w:r>
      <w:r w:rsidRPr="00536B13">
        <w:t xml:space="preserve"> (2016) study</w:t>
      </w:r>
      <w:r>
        <w:t xml:space="preserve"> </w:t>
      </w:r>
      <w:r w:rsidRPr="00536B13">
        <w:t>identified a range of priority measures to achieve improved health for people born with variations in characteristics people</w:t>
      </w:r>
      <w:r>
        <w:t>;</w:t>
      </w:r>
      <w:r w:rsidRPr="00536B13">
        <w:t xml:space="preserve"> </w:t>
      </w:r>
      <w:r>
        <w:t>20</w:t>
      </w:r>
      <w:r w:rsidRPr="00536B13">
        <w:t xml:space="preserve"> of the 137 responses identified providing referrals to intersex support groups</w:t>
      </w:r>
      <w:r>
        <w:t xml:space="preserve"> as a priority</w:t>
      </w:r>
      <w:r w:rsidRPr="00536B13">
        <w:t>.</w:t>
      </w:r>
      <w:r>
        <w:rPr>
          <w:rStyle w:val="EndnoteReference"/>
        </w:rPr>
        <w:endnoteReference w:id="707"/>
      </w:r>
    </w:p>
    <w:p w:rsidR="00452E54" w:rsidP="00452E54" w:rsidRDefault="00452E54" w14:paraId="68B771E6" w14:textId="77777777">
      <w:r>
        <w:t xml:space="preserve">Concerns were expressed about the need for </w:t>
      </w:r>
      <w:r w:rsidRPr="005129F3">
        <w:t>clear and accessible referral pathways</w:t>
      </w:r>
      <w:r>
        <w:t xml:space="preserve"> to peer support and information.</w:t>
      </w:r>
      <w:r w:rsidRPr="00C30A24">
        <w:rPr>
          <w:sz w:val="20"/>
          <w:szCs w:val="20"/>
          <w:vertAlign w:val="superscript"/>
        </w:rPr>
        <w:endnoteReference w:id="708"/>
      </w:r>
      <w:r w:rsidRPr="00C30A24">
        <w:rPr>
          <w:rFonts w:cs="Open Sans"/>
          <w:sz w:val="20"/>
          <w:szCs w:val="20"/>
        </w:rPr>
        <w:t xml:space="preserve"> </w:t>
      </w:r>
      <w:r w:rsidRPr="005129F3">
        <w:t xml:space="preserve">Currently, </w:t>
      </w:r>
      <w:r>
        <w:t>most</w:t>
      </w:r>
      <w:r w:rsidRPr="005129F3">
        <w:t xml:space="preserve"> peer support</w:t>
      </w:r>
      <w:r>
        <w:t xml:space="preserve">, both </w:t>
      </w:r>
      <w:r w:rsidRPr="005129F3">
        <w:t>to assist individuals and to undertake systemic advocacy</w:t>
      </w:r>
      <w:r>
        <w:t xml:space="preserve">, </w:t>
      </w:r>
      <w:r w:rsidRPr="005129F3">
        <w:t>is provided by volunteers</w:t>
      </w:r>
      <w:r w:rsidRPr="00C30A24">
        <w:rPr>
          <w:sz w:val="20"/>
          <w:szCs w:val="20"/>
        </w:rPr>
        <w:t>.</w:t>
      </w:r>
      <w:r w:rsidRPr="00C30A24">
        <w:rPr>
          <w:sz w:val="20"/>
          <w:szCs w:val="20"/>
          <w:vertAlign w:val="superscript"/>
        </w:rPr>
        <w:endnoteReference w:id="709"/>
      </w:r>
      <w:r w:rsidRPr="005129F3">
        <w:t xml:space="preserve"> </w:t>
      </w:r>
      <w:r>
        <w:t>T</w:t>
      </w:r>
      <w:r w:rsidRPr="005129F3">
        <w:t xml:space="preserve">here are significant risks of </w:t>
      </w:r>
      <w:r>
        <w:t>vicarious trauma and burnout</w:t>
      </w:r>
      <w:r w:rsidRPr="005129F3">
        <w:t>.</w:t>
      </w:r>
      <w:r w:rsidRPr="00C30A24">
        <w:rPr>
          <w:sz w:val="20"/>
          <w:szCs w:val="20"/>
          <w:vertAlign w:val="superscript"/>
        </w:rPr>
        <w:endnoteReference w:id="710"/>
      </w:r>
      <w:r w:rsidRPr="00C30A24">
        <w:rPr>
          <w:sz w:val="20"/>
          <w:szCs w:val="20"/>
        </w:rPr>
        <w:t xml:space="preserve"> </w:t>
      </w:r>
      <w:r>
        <w:t xml:space="preserve">Stakeholders considered that </w:t>
      </w:r>
      <w:r w:rsidRPr="005129F3">
        <w:t xml:space="preserve">funding for peer </w:t>
      </w:r>
      <w:r>
        <w:t xml:space="preserve">support </w:t>
      </w:r>
      <w:r w:rsidRPr="005129F3">
        <w:t>workers should be provided at all levels of government</w:t>
      </w:r>
      <w:r>
        <w:t>.</w:t>
      </w:r>
      <w:r w:rsidRPr="00C30A24">
        <w:rPr>
          <w:sz w:val="20"/>
          <w:szCs w:val="20"/>
          <w:vertAlign w:val="superscript"/>
        </w:rPr>
        <w:endnoteReference w:id="711"/>
      </w:r>
      <w:r w:rsidRPr="005129F3">
        <w:t xml:space="preserve"> </w:t>
      </w:r>
    </w:p>
    <w:p w:rsidRPr="005129F3" w:rsidR="00452E54" w:rsidP="00452E54" w:rsidRDefault="00452E54" w14:paraId="60997924" w14:textId="3662FFD8">
      <w:r>
        <w:t>V</w:t>
      </w:r>
      <w:r w:rsidRPr="005129F3">
        <w:t xml:space="preserve">alue could be added through properly funding support groups, </w:t>
      </w:r>
      <w:r w:rsidR="78CDF09F">
        <w:t>to enable them to</w:t>
      </w:r>
    </w:p>
    <w:p w:rsidRPr="005129F3" w:rsidR="00452E54" w:rsidP="00452E54" w:rsidRDefault="00452E54" w14:paraId="7AC94C31" w14:textId="096D5A97">
      <w:pPr>
        <w:numPr>
          <w:ilvl w:val="0"/>
          <w:numId w:val="77"/>
        </w:numPr>
      </w:pPr>
      <w:r w:rsidRPr="005129F3">
        <w:t>enhanc</w:t>
      </w:r>
      <w:r w:rsidRPr="005129F3" w:rsidR="157809FC">
        <w:t>e</w:t>
      </w:r>
      <w:r w:rsidRPr="005129F3">
        <w:t xml:space="preserve"> the quality, timeliness and accessibility of online resources</w:t>
      </w:r>
      <w:r w:rsidRPr="00377C81">
        <w:rPr>
          <w:rStyle w:val="EndnoteReference"/>
          <w:szCs w:val="20"/>
        </w:rPr>
        <w:endnoteReference w:id="712"/>
      </w:r>
    </w:p>
    <w:p w:rsidRPr="005129F3" w:rsidR="00452E54" w:rsidP="00452E54" w:rsidRDefault="00452E54" w14:paraId="177CE625" w14:textId="4338FF5D">
      <w:pPr>
        <w:numPr>
          <w:ilvl w:val="0"/>
          <w:numId w:val="77"/>
        </w:numPr>
      </w:pPr>
      <w:r w:rsidRPr="005129F3">
        <w:t>support outreach, including to rural, regional and remote communities</w:t>
      </w:r>
      <w:r>
        <w:rPr>
          <w:rStyle w:val="EndnoteReference"/>
        </w:rPr>
        <w:endnoteReference w:id="713"/>
      </w:r>
    </w:p>
    <w:p w:rsidR="00452E54" w:rsidP="00452E54" w:rsidRDefault="00452E54" w14:paraId="2D95D41D" w14:textId="7CA96893">
      <w:pPr>
        <w:numPr>
          <w:ilvl w:val="0"/>
          <w:numId w:val="36"/>
        </w:numPr>
        <w:ind w:left="720"/>
      </w:pPr>
      <w:r w:rsidRPr="005129F3">
        <w:t>provid</w:t>
      </w:r>
      <w:r w:rsidRPr="005129F3" w:rsidR="026EEEC3">
        <w:t>e</w:t>
      </w:r>
      <w:r w:rsidRPr="005129F3">
        <w:t xml:space="preserve"> education, awareness and training to bodies such as health care services, schools and workplaces.</w:t>
      </w:r>
      <w:r w:rsidRPr="00C30A24">
        <w:rPr>
          <w:sz w:val="20"/>
          <w:szCs w:val="20"/>
          <w:vertAlign w:val="superscript"/>
        </w:rPr>
        <w:endnoteReference w:id="714"/>
      </w:r>
      <w:r w:rsidRPr="00254B69">
        <w:t xml:space="preserve"> </w:t>
      </w:r>
    </w:p>
    <w:p w:rsidRPr="005129F3" w:rsidR="00452E54" w:rsidP="00452E54" w:rsidRDefault="00452E54" w14:paraId="67F718A0" w14:textId="2FA952C6">
      <w:r>
        <w:t xml:space="preserve">A range of LGBTI organisations called for better funding for peer support services to allow them to conduct important </w:t>
      </w:r>
      <w:r w:rsidRPr="005129F3">
        <w:t>systemic advocacy</w:t>
      </w:r>
      <w:r>
        <w:t>.</w:t>
      </w:r>
      <w:r w:rsidRPr="00C30A24">
        <w:rPr>
          <w:sz w:val="20"/>
          <w:szCs w:val="20"/>
          <w:vertAlign w:val="superscript"/>
        </w:rPr>
        <w:endnoteReference w:id="715"/>
      </w:r>
      <w:r>
        <w:t xml:space="preserve"> A peer support and advocacy organisation stated </w:t>
      </w:r>
      <w:r w:rsidRPr="005129F3">
        <w:t>that there</w:t>
      </w:r>
    </w:p>
    <w:p w:rsidRPr="00536B13" w:rsidR="00452E54" w:rsidP="00452E54" w:rsidRDefault="00452E54" w14:paraId="0D78A5E5" w14:textId="77777777">
      <w:pPr>
        <w:pStyle w:val="ListParagraph"/>
      </w:pPr>
      <w:r w:rsidRPr="00254B69">
        <w:rPr>
          <w:sz w:val="22"/>
          <w:szCs w:val="22"/>
        </w:rPr>
        <w:t>seems to be a disconnect between medical professionals and support groups, and this results in families and individuals not receiving the best care and advi</w:t>
      </w:r>
      <w:r>
        <w:rPr>
          <w:sz w:val="22"/>
          <w:szCs w:val="22"/>
        </w:rPr>
        <w:t>c</w:t>
      </w:r>
      <w:r w:rsidRPr="00254B69">
        <w:rPr>
          <w:sz w:val="22"/>
          <w:szCs w:val="22"/>
        </w:rPr>
        <w:t xml:space="preserve">e that is possible. Ultimately, the consumer suffers because those in positions </w:t>
      </w:r>
      <w:r w:rsidRPr="00536B13">
        <w:rPr>
          <w:sz w:val="22"/>
          <w:szCs w:val="22"/>
        </w:rPr>
        <w:t>of power don’t hold the consumer</w:t>
      </w:r>
      <w:r>
        <w:rPr>
          <w:sz w:val="22"/>
          <w:szCs w:val="22"/>
        </w:rPr>
        <w:t>’</w:t>
      </w:r>
      <w:r w:rsidRPr="00536B13">
        <w:rPr>
          <w:sz w:val="22"/>
          <w:szCs w:val="22"/>
        </w:rPr>
        <w:t>s needs/rights/best interests as paramount.</w:t>
      </w:r>
      <w:r w:rsidRPr="00C30A24">
        <w:rPr>
          <w:sz w:val="20"/>
          <w:szCs w:val="20"/>
          <w:vertAlign w:val="superscript"/>
        </w:rPr>
        <w:endnoteReference w:id="716"/>
      </w:r>
    </w:p>
    <w:p w:rsidRPr="005129F3" w:rsidR="00452E54" w:rsidP="005A6BBF" w:rsidRDefault="00452E54" w14:paraId="6880E7A7" w14:textId="77777777">
      <w:pPr>
        <w:pStyle w:val="Heading4"/>
        <w:numPr>
          <w:ilvl w:val="3"/>
          <w:numId w:val="81"/>
        </w:numPr>
        <w:ind w:left="851"/>
      </w:pPr>
      <w:r>
        <w:lastRenderedPageBreak/>
        <w:t xml:space="preserve">Mental health services </w:t>
      </w:r>
    </w:p>
    <w:p w:rsidRPr="005129F3" w:rsidR="00452E54" w:rsidP="00452E54" w:rsidRDefault="00452E54" w14:paraId="3443EAFA" w14:textId="77777777">
      <w:r>
        <w:t xml:space="preserve">There was a call from a range of stakeholders, including people born with variations in sex characteristics and clinicians, for </w:t>
      </w:r>
      <w:r w:rsidRPr="005129F3">
        <w:t>psychosocial support for family members across the</w:t>
      </w:r>
      <w:r>
        <w:t>ir</w:t>
      </w:r>
      <w:r w:rsidRPr="005129F3">
        <w:t xml:space="preserve"> lifespan</w:t>
      </w:r>
      <w:r>
        <w:t xml:space="preserve">. This should include </w:t>
      </w:r>
      <w:r w:rsidRPr="005129F3">
        <w:t>access to psychologists and social workers</w:t>
      </w:r>
      <w:r>
        <w:t>.</w:t>
      </w:r>
      <w:r w:rsidRPr="00C30A24">
        <w:rPr>
          <w:sz w:val="20"/>
          <w:szCs w:val="20"/>
          <w:vertAlign w:val="superscript"/>
        </w:rPr>
        <w:endnoteReference w:id="717"/>
      </w:r>
    </w:p>
    <w:p w:rsidR="00452E54" w:rsidP="00452E54" w:rsidRDefault="00452E54" w14:paraId="2C9A5595" w14:textId="40B3A5D7">
      <w:r>
        <w:t xml:space="preserve">One stakeholder representing </w:t>
      </w:r>
      <w:r w:rsidRPr="005129F3">
        <w:t xml:space="preserve">mental health </w:t>
      </w:r>
      <w:r>
        <w:t xml:space="preserve">professionals called for </w:t>
      </w:r>
      <w:r w:rsidRPr="005129F3">
        <w:t>services tailored for young people</w:t>
      </w:r>
      <w:r>
        <w:t>,</w:t>
      </w:r>
      <w:r w:rsidRPr="005129F3">
        <w:t xml:space="preserve"> offering them space away from their parents to reflect on, and talk about, their experiences</w:t>
      </w:r>
      <w:r>
        <w:t>.</w:t>
      </w:r>
      <w:r w:rsidRPr="00C30A24">
        <w:rPr>
          <w:sz w:val="20"/>
          <w:szCs w:val="20"/>
          <w:vertAlign w:val="superscript"/>
        </w:rPr>
        <w:endnoteReference w:id="718"/>
      </w:r>
      <w:r>
        <w:t xml:space="preserve"> This stakeholder cited the </w:t>
      </w:r>
      <w:r w:rsidRPr="001763E8">
        <w:t xml:space="preserve">Jones </w:t>
      </w:r>
      <w:r>
        <w:t xml:space="preserve">et al (2016) </w:t>
      </w:r>
      <w:r w:rsidRPr="00547F35">
        <w:t>study</w:t>
      </w:r>
      <w:r>
        <w:t>, which noted</w:t>
      </w:r>
      <w:r w:rsidR="004F0EC7">
        <w:t>:</w:t>
      </w:r>
    </w:p>
    <w:p w:rsidR="00452E54" w:rsidP="003D43D0" w:rsidRDefault="00452E54" w14:paraId="37D20A06" w14:textId="77777777">
      <w:pPr>
        <w:ind w:left="709"/>
        <w:rPr>
          <w:sz w:val="22"/>
          <w:szCs w:val="22"/>
        </w:rPr>
      </w:pPr>
      <w:r w:rsidRPr="00356A49">
        <w:rPr>
          <w:sz w:val="22"/>
          <w:szCs w:val="22"/>
        </w:rPr>
        <w:t>therapy can potentially provide a space for people with an intersex variation to come to accept any physical differences they may have, work through confusion about their sex or gender identity (if any is apparent), or issues related to any enforced surgeries if relevant.</w:t>
      </w:r>
      <w:r>
        <w:rPr>
          <w:rStyle w:val="EndnoteReference"/>
          <w:sz w:val="22"/>
          <w:szCs w:val="22"/>
        </w:rPr>
        <w:endnoteReference w:id="719"/>
      </w:r>
      <w:r w:rsidRPr="00356A49">
        <w:rPr>
          <w:sz w:val="22"/>
          <w:szCs w:val="22"/>
        </w:rPr>
        <w:t xml:space="preserve"> </w:t>
      </w:r>
    </w:p>
    <w:p w:rsidRPr="00492968" w:rsidR="00452E54" w:rsidP="00452E54" w:rsidRDefault="00452E54" w14:paraId="0FD75A4E" w14:textId="77777777">
      <w:r w:rsidRPr="006D0476">
        <w:t>Intersex Human Rights Australia</w:t>
      </w:r>
      <w:r>
        <w:t xml:space="preserve"> called for </w:t>
      </w:r>
      <w:r w:rsidRPr="006D0476">
        <w:t xml:space="preserve">psychological and other psychosocial support services </w:t>
      </w:r>
      <w:r>
        <w:t xml:space="preserve">to support parents who may otherwise feel that </w:t>
      </w:r>
      <w:r w:rsidRPr="006D0476">
        <w:t>surg</w:t>
      </w:r>
      <w:r>
        <w:t xml:space="preserve">ical intervention is the only way to </w:t>
      </w:r>
      <w:r w:rsidRPr="006D0476">
        <w:t xml:space="preserve">resolve </w:t>
      </w:r>
      <w:r>
        <w:t xml:space="preserve">the </w:t>
      </w:r>
      <w:r w:rsidRPr="006D0476">
        <w:t>psychosocial issues</w:t>
      </w:r>
      <w:r>
        <w:t xml:space="preserve"> they face in having a child with a variation in sex characteristics.</w:t>
      </w:r>
      <w:r w:rsidRPr="006D0476">
        <w:rPr>
          <w:rStyle w:val="EndnoteReference"/>
        </w:rPr>
        <w:endnoteReference w:id="720"/>
      </w:r>
      <w:r>
        <w:t xml:space="preserve"> Other stakeholders also called for ‘increased psychosocial interventions to address issues relating to people born with variations’</w:t>
      </w:r>
      <w:r>
        <w:rPr>
          <w:rStyle w:val="EndnoteReference"/>
        </w:rPr>
        <w:endnoteReference w:id="721"/>
      </w:r>
      <w:r>
        <w:t xml:space="preserve"> and better professional psychological support</w:t>
      </w:r>
      <w:r w:rsidRPr="00C30A24">
        <w:rPr>
          <w:sz w:val="20"/>
          <w:szCs w:val="20"/>
        </w:rPr>
        <w:t>.</w:t>
      </w:r>
      <w:r w:rsidRPr="0117CC5D">
        <w:rPr>
          <w:rStyle w:val="EndnoteReference"/>
        </w:rPr>
        <w:endnoteReference w:id="722"/>
      </w:r>
    </w:p>
    <w:p w:rsidR="00452E54" w:rsidP="00452E54" w:rsidRDefault="00452E54" w14:paraId="53B018CF" w14:textId="77777777">
      <w:pPr>
        <w:rPr>
          <w:rFonts w:cs="Open Sans"/>
        </w:rPr>
      </w:pPr>
      <w:r>
        <w:rPr>
          <w:rFonts w:cs="Open Sans"/>
        </w:rPr>
        <w:t>Some stakeholders</w:t>
      </w:r>
      <w:r w:rsidRPr="00305F8A">
        <w:rPr>
          <w:rFonts w:cs="Open Sans"/>
        </w:rPr>
        <w:t xml:space="preserve"> drew</w:t>
      </w:r>
      <w:r w:rsidRPr="00305F8A" w:rsidDel="00EB3EF3">
        <w:rPr>
          <w:rFonts w:cs="Open Sans"/>
        </w:rPr>
        <w:t xml:space="preserve"> </w:t>
      </w:r>
      <w:r w:rsidRPr="00305F8A">
        <w:rPr>
          <w:rFonts w:cs="Open Sans"/>
        </w:rPr>
        <w:t xml:space="preserve">attention </w:t>
      </w:r>
      <w:r>
        <w:rPr>
          <w:rFonts w:cs="Open Sans"/>
        </w:rPr>
        <w:t xml:space="preserve">to </w:t>
      </w:r>
      <w:r w:rsidRPr="00305F8A">
        <w:rPr>
          <w:rFonts w:cs="Open Sans"/>
        </w:rPr>
        <w:t xml:space="preserve">significant workforce capability gaps, such as the </w:t>
      </w:r>
      <w:r>
        <w:rPr>
          <w:rFonts w:cs="Open Sans"/>
        </w:rPr>
        <w:t>scarcity</w:t>
      </w:r>
      <w:r w:rsidRPr="00305F8A">
        <w:rPr>
          <w:rFonts w:cs="Open Sans"/>
        </w:rPr>
        <w:t xml:space="preserve"> of psychologists trained to work with people born with variations in sex characteristics and their parents</w:t>
      </w:r>
      <w:r>
        <w:rPr>
          <w:rFonts w:cs="Open Sans"/>
        </w:rPr>
        <w:t xml:space="preserve"> or </w:t>
      </w:r>
      <w:r w:rsidRPr="00305F8A">
        <w:rPr>
          <w:rFonts w:cs="Open Sans"/>
        </w:rPr>
        <w:t>carers.</w:t>
      </w:r>
      <w:r w:rsidRPr="00305F8A">
        <w:rPr>
          <w:rStyle w:val="EndnoteReference"/>
          <w:rFonts w:cs="Open Sans"/>
        </w:rPr>
        <w:endnoteReference w:id="723"/>
      </w:r>
      <w:r w:rsidRPr="00305F8A">
        <w:rPr>
          <w:rFonts w:cs="Open Sans"/>
        </w:rPr>
        <w:t xml:space="preserve"> </w:t>
      </w:r>
      <w:r>
        <w:rPr>
          <w:rFonts w:cs="Open Sans"/>
        </w:rPr>
        <w:t xml:space="preserve">The </w:t>
      </w:r>
      <w:r w:rsidRPr="00977209">
        <w:rPr>
          <w:rFonts w:cs="Open Sans"/>
        </w:rPr>
        <w:t>Western Australian Multidisciplinary DSD Team</w:t>
      </w:r>
      <w:r>
        <w:rPr>
          <w:rFonts w:cs="Open Sans"/>
        </w:rPr>
        <w:t xml:space="preserve">, for example, </w:t>
      </w:r>
      <w:r>
        <w:t>drew attention to the fact that in their service, there are no positions for a dedicated psychologist for immediate and long-term follow-up.</w:t>
      </w:r>
      <w:r>
        <w:rPr>
          <w:rStyle w:val="EndnoteReference"/>
        </w:rPr>
        <w:endnoteReference w:id="724"/>
      </w:r>
      <w:r>
        <w:t xml:space="preserve"> </w:t>
      </w:r>
      <w:r w:rsidRPr="005361DE">
        <w:rPr>
          <w:rFonts w:cs="Open Sans"/>
        </w:rPr>
        <w:t xml:space="preserve">The </w:t>
      </w:r>
      <w:r>
        <w:rPr>
          <w:rFonts w:cs="Open Sans"/>
        </w:rPr>
        <w:t>Australasian Paediatric Endocrine Group noted</w:t>
      </w:r>
      <w:r w:rsidRPr="005361DE">
        <w:rPr>
          <w:rFonts w:cs="Open Sans"/>
        </w:rPr>
        <w:t xml:space="preserve"> that this currently unmet need is exacerbated for sub-groups, such as adolescents</w:t>
      </w:r>
      <w:r>
        <w:rPr>
          <w:rFonts w:cs="Open Sans"/>
        </w:rPr>
        <w:t>.</w:t>
      </w:r>
      <w:r>
        <w:rPr>
          <w:rStyle w:val="EndnoteReference"/>
          <w:rFonts w:cs="Open Sans"/>
        </w:rPr>
        <w:endnoteReference w:id="725"/>
      </w:r>
      <w:r w:rsidRPr="005361DE">
        <w:rPr>
          <w:rFonts w:cs="Open Sans"/>
        </w:rPr>
        <w:t xml:space="preserve">  </w:t>
      </w:r>
    </w:p>
    <w:p w:rsidRPr="003E5861" w:rsidR="00452E54" w:rsidP="00452E54" w:rsidRDefault="00452E54" w14:paraId="25B49910" w14:textId="60AE54CC">
      <w:pPr>
        <w:rPr>
          <w:rFonts w:cs="Open Sans"/>
        </w:rPr>
      </w:pPr>
      <w:r>
        <w:rPr>
          <w:rFonts w:cs="Open Sans"/>
        </w:rPr>
        <w:t>A range of stakeholders</w:t>
      </w:r>
      <w:r w:rsidRPr="005361DE">
        <w:rPr>
          <w:rFonts w:cs="Open Sans"/>
        </w:rPr>
        <w:t xml:space="preserve"> noted that </w:t>
      </w:r>
      <w:r>
        <w:rPr>
          <w:rFonts w:cs="Open Sans"/>
        </w:rPr>
        <w:t>psychological s</w:t>
      </w:r>
      <w:r w:rsidRPr="005361DE">
        <w:rPr>
          <w:rFonts w:cs="Open Sans"/>
        </w:rPr>
        <w:t>upport is, for the most part, completely unfunded</w:t>
      </w:r>
      <w:r w:rsidR="00EA1929">
        <w:rPr>
          <w:rFonts w:cs="Open Sans"/>
        </w:rPr>
        <w:t xml:space="preserve"> as part of usual care provided </w:t>
      </w:r>
      <w:r w:rsidR="005922DE">
        <w:rPr>
          <w:rFonts w:cs="Open Sans"/>
        </w:rPr>
        <w:t>to people born with variations</w:t>
      </w:r>
      <w:r w:rsidRPr="005361DE">
        <w:rPr>
          <w:rFonts w:cs="Open Sans"/>
        </w:rPr>
        <w:t>, and that this needs to be addressed as part of a national strategy</w:t>
      </w:r>
      <w:r>
        <w:rPr>
          <w:rFonts w:cs="Open Sans"/>
        </w:rPr>
        <w:t>.</w:t>
      </w:r>
      <w:r>
        <w:rPr>
          <w:rStyle w:val="EndnoteReference"/>
          <w:rFonts w:cs="Open Sans"/>
        </w:rPr>
        <w:endnoteReference w:id="726"/>
      </w:r>
      <w:r>
        <w:rPr>
          <w:rFonts w:cs="Open Sans"/>
        </w:rPr>
        <w:t xml:space="preserve"> The</w:t>
      </w:r>
      <w:r w:rsidRPr="00305F8A">
        <w:rPr>
          <w:rFonts w:cs="Open Sans"/>
        </w:rPr>
        <w:t xml:space="preserve"> lack of expert psychological help</w:t>
      </w:r>
      <w:r>
        <w:rPr>
          <w:rFonts w:cs="Open Sans"/>
        </w:rPr>
        <w:t xml:space="preserve"> was considered to have</w:t>
      </w:r>
      <w:r w:rsidRPr="00305F8A">
        <w:rPr>
          <w:rFonts w:cs="Open Sans"/>
        </w:rPr>
        <w:t xml:space="preserve"> a negative impact on the human rights of people born with variations in sex characteristics.</w:t>
      </w:r>
      <w:r w:rsidRPr="00305F8A">
        <w:rPr>
          <w:rStyle w:val="EndnoteReference"/>
          <w:rFonts w:cs="Open Sans"/>
        </w:rPr>
        <w:endnoteReference w:id="727"/>
      </w:r>
      <w:r w:rsidRPr="00305F8A">
        <w:rPr>
          <w:rFonts w:cs="Open Sans"/>
        </w:rPr>
        <w:t xml:space="preserve">  </w:t>
      </w:r>
    </w:p>
    <w:p w:rsidR="00452E54" w:rsidP="005A6BBF" w:rsidRDefault="00452E54" w14:paraId="1C60C8D1" w14:textId="77777777">
      <w:pPr>
        <w:pStyle w:val="Heading4"/>
        <w:numPr>
          <w:ilvl w:val="3"/>
          <w:numId w:val="81"/>
        </w:numPr>
        <w:ind w:left="851"/>
      </w:pPr>
      <w:r>
        <w:lastRenderedPageBreak/>
        <w:t>Coordinated services</w:t>
      </w:r>
    </w:p>
    <w:p w:rsidR="00452E54" w:rsidP="00452E54" w:rsidRDefault="00452E54" w14:paraId="4804B0C6" w14:textId="77777777">
      <w:r>
        <w:t xml:space="preserve">Some stakeholders called for people with variations in sex characteristics to have </w:t>
      </w:r>
      <w:r w:rsidRPr="005129F3">
        <w:t>ongoing access to advice from multidisciplinary team</w:t>
      </w:r>
      <w:r>
        <w:t>s</w:t>
      </w:r>
      <w:r w:rsidRPr="005129F3">
        <w:t xml:space="preserve"> of experts,</w:t>
      </w:r>
      <w:r w:rsidRPr="00C30A24">
        <w:rPr>
          <w:sz w:val="20"/>
          <w:szCs w:val="20"/>
          <w:vertAlign w:val="superscript"/>
        </w:rPr>
        <w:endnoteReference w:id="728"/>
      </w:r>
      <w:r w:rsidRPr="005129F3">
        <w:t xml:space="preserve"> who should also offer information about contemporary evidence and gaps in that evidence</w:t>
      </w:r>
      <w:r>
        <w:t>.</w:t>
      </w:r>
      <w:r w:rsidRPr="00C30A24">
        <w:rPr>
          <w:sz w:val="20"/>
          <w:szCs w:val="20"/>
          <w:vertAlign w:val="superscript"/>
        </w:rPr>
        <w:endnoteReference w:id="729"/>
      </w:r>
    </w:p>
    <w:p w:rsidRPr="005129F3" w:rsidR="00452E54" w:rsidP="00452E54" w:rsidRDefault="00452E54" w14:paraId="76FE7444" w14:textId="77777777">
      <w:r>
        <w:rPr>
          <w:rFonts w:cs="Open Sans"/>
        </w:rPr>
        <w:t>The Commission recommends, in relation to clinical practice standards, that a</w:t>
      </w:r>
      <w:r w:rsidRPr="00F90F71">
        <w:rPr>
          <w:rFonts w:cs="Open Sans"/>
        </w:rPr>
        <w:t xml:space="preserve">ll people born with variations with sex characteristics should have access to comprehensive multidisciplinary care, </w:t>
      </w:r>
      <w:r>
        <w:rPr>
          <w:rFonts w:cs="Open Sans"/>
        </w:rPr>
        <w:t xml:space="preserve">including through </w:t>
      </w:r>
      <w:r w:rsidRPr="0028761E">
        <w:t xml:space="preserve">multidisciplinary treatment </w:t>
      </w:r>
      <w:r w:rsidRPr="003E09F7">
        <w:t>teams (</w:t>
      </w:r>
      <w:r w:rsidRPr="00C30A24">
        <w:t xml:space="preserve">Recommendation </w:t>
      </w:r>
      <w:r>
        <w:t>5</w:t>
      </w:r>
      <w:r w:rsidRPr="003E09F7">
        <w:t>).</w:t>
      </w:r>
      <w:r w:rsidRPr="0028761E">
        <w:t xml:space="preserve"> </w:t>
      </w:r>
    </w:p>
    <w:p w:rsidR="00452E54" w:rsidP="00452E54" w:rsidRDefault="00452E54" w14:paraId="1ABF5AD4" w14:textId="77777777">
      <w:r>
        <w:t xml:space="preserve">Some stakeholders also called for </w:t>
      </w:r>
      <w:r w:rsidRPr="005129F3">
        <w:t>well-planned and managed transition from paediatric to adult care and services</w:t>
      </w:r>
      <w:r>
        <w:t xml:space="preserve">, </w:t>
      </w:r>
      <w:r w:rsidRPr="005129F3">
        <w:t>including through adolescence</w:t>
      </w:r>
      <w:r>
        <w:t>.</w:t>
      </w:r>
      <w:r w:rsidRPr="00F238E8">
        <w:rPr>
          <w:sz w:val="20"/>
          <w:szCs w:val="20"/>
          <w:vertAlign w:val="superscript"/>
        </w:rPr>
        <w:endnoteReference w:id="730"/>
      </w:r>
      <w:r w:rsidRPr="00F238E8">
        <w:rPr>
          <w:sz w:val="20"/>
          <w:szCs w:val="20"/>
        </w:rPr>
        <w:t xml:space="preserve"> </w:t>
      </w:r>
      <w:r>
        <w:t xml:space="preserve">The </w:t>
      </w:r>
      <w:r w:rsidRPr="006D3394">
        <w:t>Western Australian Multidisciplinary DSD Team</w:t>
      </w:r>
      <w:r>
        <w:t xml:space="preserve"> saw this as particularly important because there are currently significant attrition rates at adult clinics.</w:t>
      </w:r>
      <w:r>
        <w:rPr>
          <w:rStyle w:val="EndnoteReference"/>
        </w:rPr>
        <w:endnoteReference w:id="731"/>
      </w:r>
      <w:r>
        <w:t xml:space="preserve"> </w:t>
      </w:r>
    </w:p>
    <w:p w:rsidR="00452E54" w:rsidP="00452E54" w:rsidRDefault="00452E54" w14:paraId="3A0C2FE3" w14:textId="77777777">
      <w:r>
        <w:t xml:space="preserve">Clinical stakeholders called for more funding to </w:t>
      </w:r>
      <w:r w:rsidRPr="004A06B1">
        <w:t xml:space="preserve">adequately resource multidisciplinary services Australia-wide and </w:t>
      </w:r>
      <w:r>
        <w:t xml:space="preserve">provide information to </w:t>
      </w:r>
      <w:r w:rsidRPr="004A06B1">
        <w:t xml:space="preserve">clinicians in regional and remote areas </w:t>
      </w:r>
      <w:r>
        <w:t>about</w:t>
      </w:r>
      <w:r w:rsidRPr="004A06B1">
        <w:t xml:space="preserve"> the availability of these resources.</w:t>
      </w:r>
      <w:r>
        <w:rPr>
          <w:rStyle w:val="EndnoteReference"/>
        </w:rPr>
        <w:endnoteReference w:id="732"/>
      </w:r>
      <w:r>
        <w:t xml:space="preserve"> The </w:t>
      </w:r>
      <w:r w:rsidRPr="009B0AD0">
        <w:t>Western Australian Multidisciplinary DSD Team</w:t>
      </w:r>
      <w:r w:rsidRPr="009B0AD0" w:rsidDel="009B0AD0">
        <w:t xml:space="preserve"> </w:t>
      </w:r>
      <w:r>
        <w:t xml:space="preserve">and the </w:t>
      </w:r>
      <w:r>
        <w:rPr>
          <w:rFonts w:cs="Open Sans"/>
        </w:rPr>
        <w:t>Australasian Paediatric Endocrine Group</w:t>
      </w:r>
      <w:r>
        <w:t xml:space="preserve"> called for the funding of coordinator positions, </w:t>
      </w:r>
      <w:r w:rsidRPr="00B73262">
        <w:rPr>
          <w:rFonts w:cs="Open Sans"/>
        </w:rPr>
        <w:t>to support individuals and families to navigate services</w:t>
      </w:r>
      <w:r>
        <w:t xml:space="preserve"> across services and </w:t>
      </w:r>
      <w:r w:rsidRPr="00B73262">
        <w:rPr>
          <w:rFonts w:cs="Open Sans"/>
        </w:rPr>
        <w:t>to maintain follow up and monitor wellbeing</w:t>
      </w:r>
      <w:r>
        <w:t>.</w:t>
      </w:r>
      <w:r>
        <w:rPr>
          <w:rStyle w:val="EndnoteReference"/>
        </w:rPr>
        <w:endnoteReference w:id="733"/>
      </w:r>
      <w:r>
        <w:t xml:space="preserve">  </w:t>
      </w:r>
    </w:p>
    <w:p w:rsidR="00452E54" w:rsidP="005A6BBF" w:rsidRDefault="00452E54" w14:paraId="0095EC23" w14:textId="77777777">
      <w:pPr>
        <w:pStyle w:val="Heading4"/>
        <w:numPr>
          <w:ilvl w:val="3"/>
          <w:numId w:val="81"/>
        </w:numPr>
        <w:ind w:left="851"/>
      </w:pPr>
      <w:r>
        <w:t xml:space="preserve">People in rural, regional and remote Australia </w:t>
      </w:r>
    </w:p>
    <w:p w:rsidR="00452E54" w:rsidP="00452E54" w:rsidRDefault="00452E54" w14:paraId="1290B7EF" w14:textId="0DD9492E">
      <w:r>
        <w:t xml:space="preserve">Stakeholders suggested that more </w:t>
      </w:r>
      <w:r w:rsidRPr="00F35398">
        <w:t xml:space="preserve">telephone and online services </w:t>
      </w:r>
      <w:r>
        <w:t>could help address concerns about inferior access to information and services for people in rural, regional and remote areas.</w:t>
      </w:r>
      <w:r w:rsidRPr="00F238E8">
        <w:rPr>
          <w:sz w:val="20"/>
          <w:szCs w:val="20"/>
          <w:vertAlign w:val="superscript"/>
        </w:rPr>
        <w:endnoteReference w:id="734"/>
      </w:r>
      <w:r w:rsidRPr="00F35398">
        <w:t xml:space="preserve"> </w:t>
      </w:r>
      <w:r>
        <w:t>One parent stated that</w:t>
      </w:r>
      <w:r w:rsidRPr="00CB3246">
        <w:t xml:space="preserve"> </w:t>
      </w:r>
      <w:r>
        <w:t>to better support individuals and their families, there</w:t>
      </w:r>
      <w:r w:rsidRPr="00CB3246">
        <w:t xml:space="preserve"> </w:t>
      </w:r>
      <w:r>
        <w:t>was a need for</w:t>
      </w:r>
    </w:p>
    <w:p w:rsidR="00452E54" w:rsidP="00452E54" w:rsidRDefault="00452E54" w14:paraId="54ED0EA9" w14:textId="77777777">
      <w:pPr>
        <w:ind w:left="720"/>
        <w:rPr>
          <w:sz w:val="22"/>
          <w:szCs w:val="22"/>
        </w:rPr>
      </w:pPr>
      <w:r w:rsidRPr="00CB3246">
        <w:rPr>
          <w:sz w:val="22"/>
          <w:szCs w:val="22"/>
        </w:rPr>
        <w:t>psychological support available via phone or telehealth. It is prohibitive for a lot of families, particularly living in rural and remote areas to access support for all health services.</w:t>
      </w:r>
      <w:r w:rsidRPr="0117CC5D">
        <w:rPr>
          <w:rStyle w:val="EndnoteReference"/>
        </w:rPr>
        <w:endnoteReference w:id="735"/>
      </w:r>
    </w:p>
    <w:p w:rsidR="007F0872" w:rsidP="00452E54" w:rsidRDefault="00452E54" w14:paraId="3DCB87AA" w14:textId="3AE1209B">
      <w:r>
        <w:lastRenderedPageBreak/>
        <w:t>Given</w:t>
      </w:r>
      <w:r w:rsidRPr="00E57F75">
        <w:t xml:space="preserve"> the limited number of peer support groups,</w:t>
      </w:r>
      <w:r>
        <w:t xml:space="preserve"> it was suggested that </w:t>
      </w:r>
      <w:r w:rsidRPr="00E57F75">
        <w:t xml:space="preserve">governments should establish </w:t>
      </w:r>
      <w:r>
        <w:t xml:space="preserve">an </w:t>
      </w:r>
      <w:r w:rsidRPr="00E57F75">
        <w:t>online presence for these groups to ensure</w:t>
      </w:r>
      <w:r>
        <w:t xml:space="preserve"> </w:t>
      </w:r>
      <w:r w:rsidRPr="00E57F75">
        <w:t>individuals can access support</w:t>
      </w:r>
      <w:r>
        <w:t xml:space="preserve">, especially </w:t>
      </w:r>
      <w:r w:rsidRPr="00E57F75">
        <w:t>those who live in rural and remote areas.</w:t>
      </w:r>
      <w:r>
        <w:rPr>
          <w:rStyle w:val="EndnoteReference"/>
        </w:rPr>
        <w:endnoteReference w:id="736"/>
      </w:r>
      <w:r>
        <w:t xml:space="preserve"> </w:t>
      </w:r>
    </w:p>
    <w:p w:rsidR="00452E54" w:rsidP="00660D24" w:rsidRDefault="00D63E85" w14:paraId="47F3E11A" w14:textId="56486535">
      <w:pPr>
        <w:pStyle w:val="Heading3"/>
        <w:numPr>
          <w:ilvl w:val="2"/>
          <w:numId w:val="97"/>
        </w:numPr>
      </w:pPr>
      <w:bookmarkStart w:name="_Toc85541495" w:id="603"/>
      <w:r>
        <w:t>Better service</w:t>
      </w:r>
      <w:r w:rsidR="00452E54">
        <w:t xml:space="preserve"> </w:t>
      </w:r>
      <w:r w:rsidR="0069674C">
        <w:t xml:space="preserve">and information </w:t>
      </w:r>
      <w:r w:rsidR="00452E54">
        <w:t>provision</w:t>
      </w:r>
      <w:bookmarkEnd w:id="603"/>
      <w:r w:rsidR="00452E54">
        <w:t xml:space="preserve"> </w:t>
      </w:r>
    </w:p>
    <w:p w:rsidRPr="002C7B30" w:rsidR="00452E54" w:rsidP="00452E54" w:rsidRDefault="00452E54" w14:paraId="720F87D2" w14:textId="56DC23A7">
      <w:pPr>
        <w:rPr>
          <w:b/>
          <w:bCs/>
        </w:rPr>
      </w:pPr>
      <w:r w:rsidRPr="00AB3DE4">
        <w:rPr>
          <w:b/>
          <w:bCs/>
        </w:rPr>
        <w:t xml:space="preserve">Recommendation </w:t>
      </w:r>
      <w:r>
        <w:rPr>
          <w:b/>
          <w:bCs/>
        </w:rPr>
        <w:t>1</w:t>
      </w:r>
      <w:r w:rsidR="004E01E2">
        <w:rPr>
          <w:b/>
          <w:bCs/>
        </w:rPr>
        <w:t>0</w:t>
      </w:r>
      <w:r w:rsidRPr="00AB3DE4">
        <w:rPr>
          <w:b/>
          <w:bCs/>
        </w:rPr>
        <w:t>:</w:t>
      </w:r>
      <w:r w:rsidRPr="002C7B30">
        <w:rPr>
          <w:b/>
          <w:bCs/>
        </w:rPr>
        <w:t xml:space="preserve"> </w:t>
      </w:r>
      <w:r>
        <w:rPr>
          <w:b/>
          <w:bCs/>
        </w:rPr>
        <w:t xml:space="preserve">The </w:t>
      </w:r>
      <w:r w:rsidRPr="002C7B30">
        <w:rPr>
          <w:b/>
          <w:bCs/>
        </w:rPr>
        <w:t>Australia</w:t>
      </w:r>
      <w:r>
        <w:rPr>
          <w:b/>
          <w:bCs/>
        </w:rPr>
        <w:t xml:space="preserve">n Government and </w:t>
      </w:r>
      <w:r w:rsidRPr="002C7B30">
        <w:rPr>
          <w:b/>
          <w:bCs/>
        </w:rPr>
        <w:t>state and territory governments should</w:t>
      </w:r>
      <w:r w:rsidRPr="000E1B13">
        <w:rPr>
          <w:b/>
          <w:bCs/>
        </w:rPr>
        <w:t xml:space="preserve"> </w:t>
      </w:r>
      <w:r w:rsidRPr="002C7B30">
        <w:rPr>
          <w:b/>
          <w:bCs/>
        </w:rPr>
        <w:t>provide sufficient</w:t>
      </w:r>
      <w:r w:rsidR="006A2CD0">
        <w:rPr>
          <w:b/>
          <w:bCs/>
        </w:rPr>
        <w:t>, recurrent</w:t>
      </w:r>
      <w:r w:rsidRPr="002C7B30">
        <w:rPr>
          <w:b/>
          <w:bCs/>
        </w:rPr>
        <w:t xml:space="preserve"> public funding</w:t>
      </w:r>
      <w:r>
        <w:rPr>
          <w:b/>
          <w:bCs/>
        </w:rPr>
        <w:t xml:space="preserve"> for</w:t>
      </w:r>
      <w:r w:rsidRPr="002C7B30">
        <w:rPr>
          <w:b/>
          <w:bCs/>
        </w:rPr>
        <w:t>:</w:t>
      </w:r>
    </w:p>
    <w:p w:rsidR="00452E54" w:rsidP="00452E54" w:rsidRDefault="00452E54" w14:paraId="58DA7A46" w14:textId="77777777">
      <w:pPr>
        <w:pStyle w:val="ListParagraph"/>
        <w:numPr>
          <w:ilvl w:val="0"/>
          <w:numId w:val="80"/>
        </w:numPr>
        <w:rPr>
          <w:b/>
          <w:bCs/>
        </w:rPr>
      </w:pPr>
      <w:r w:rsidRPr="0007626E">
        <w:rPr>
          <w:b/>
          <w:bCs/>
        </w:rPr>
        <w:t xml:space="preserve">sustainable operation of </w:t>
      </w:r>
      <w:r w:rsidRPr="00841C61">
        <w:rPr>
          <w:b/>
          <w:bCs/>
        </w:rPr>
        <w:t xml:space="preserve">advocacy and </w:t>
      </w:r>
      <w:r w:rsidRPr="0007626E">
        <w:rPr>
          <w:b/>
          <w:bCs/>
        </w:rPr>
        <w:t>peer support organisations</w:t>
      </w:r>
      <w:r w:rsidRPr="00841C61">
        <w:rPr>
          <w:b/>
          <w:bCs/>
        </w:rPr>
        <w:t> led by people born with variations of sex characteristics</w:t>
      </w:r>
    </w:p>
    <w:p w:rsidR="00452E54" w:rsidP="00452E54" w:rsidRDefault="00452E54" w14:paraId="5091BA5A" w14:textId="734523CA">
      <w:pPr>
        <w:pStyle w:val="ListParagraph"/>
        <w:numPr>
          <w:ilvl w:val="0"/>
          <w:numId w:val="80"/>
        </w:numPr>
        <w:rPr>
          <w:b/>
          <w:bCs/>
        </w:rPr>
      </w:pPr>
      <w:r w:rsidRPr="0007626E">
        <w:rPr>
          <w:b/>
          <w:bCs/>
        </w:rPr>
        <w:t>comprehensive psychological and psychiatric health services</w:t>
      </w:r>
      <w:r w:rsidRPr="001863A2" w:rsidR="001863A2">
        <w:rPr>
          <w:rFonts w:cs="Open Sans"/>
          <w:b/>
          <w:bCs/>
          <w:color w:val="000000" w:themeColor="text1"/>
        </w:rPr>
        <w:t>,</w:t>
      </w:r>
      <w:r w:rsidRPr="001863A2" w:rsidR="001863A2">
        <w:rPr>
          <w:b/>
          <w:bCs/>
        </w:rPr>
        <w:t xml:space="preserve"> </w:t>
      </w:r>
      <w:r w:rsidRPr="001863A2" w:rsidR="001863A2">
        <w:rPr>
          <w:rFonts w:cs="Open Sans"/>
          <w:b/>
          <w:bCs/>
          <w:color w:val="000000" w:themeColor="text1"/>
        </w:rPr>
        <w:t>for people born with variations of sex characteristics</w:t>
      </w:r>
      <w:r w:rsidR="009A189F">
        <w:rPr>
          <w:rFonts w:cs="Open Sans"/>
          <w:b/>
          <w:bCs/>
          <w:color w:val="000000" w:themeColor="text1"/>
        </w:rPr>
        <w:t xml:space="preserve">, </w:t>
      </w:r>
      <w:r w:rsidR="00C029BC">
        <w:rPr>
          <w:rFonts w:cs="Open Sans"/>
          <w:b/>
          <w:bCs/>
          <w:color w:val="000000" w:themeColor="text1"/>
        </w:rPr>
        <w:t xml:space="preserve">their </w:t>
      </w:r>
      <w:r w:rsidR="009A189F">
        <w:rPr>
          <w:rFonts w:cs="Open Sans"/>
          <w:b/>
          <w:bCs/>
          <w:color w:val="000000" w:themeColor="text1"/>
        </w:rPr>
        <w:t>parents</w:t>
      </w:r>
      <w:r w:rsidRPr="001863A2" w:rsidR="001863A2">
        <w:rPr>
          <w:rFonts w:cs="Open Sans"/>
          <w:b/>
          <w:bCs/>
          <w:color w:val="000000" w:themeColor="text1"/>
        </w:rPr>
        <w:t xml:space="preserve"> and </w:t>
      </w:r>
      <w:r w:rsidR="008904CC">
        <w:rPr>
          <w:rFonts w:cs="Open Sans"/>
          <w:b/>
          <w:bCs/>
          <w:color w:val="000000" w:themeColor="text1"/>
        </w:rPr>
        <w:t>other</w:t>
      </w:r>
      <w:r w:rsidRPr="001863A2" w:rsidR="008904CC">
        <w:rPr>
          <w:rFonts w:cs="Open Sans"/>
          <w:b/>
          <w:bCs/>
          <w:color w:val="000000" w:themeColor="text1"/>
        </w:rPr>
        <w:t xml:space="preserve"> </w:t>
      </w:r>
      <w:r w:rsidRPr="001863A2" w:rsidR="001863A2">
        <w:rPr>
          <w:rFonts w:cs="Open Sans"/>
          <w:b/>
          <w:bCs/>
          <w:color w:val="000000" w:themeColor="text1"/>
        </w:rPr>
        <w:t>famil</w:t>
      </w:r>
      <w:r w:rsidR="008904CC">
        <w:rPr>
          <w:rFonts w:cs="Open Sans"/>
          <w:b/>
          <w:bCs/>
          <w:color w:val="000000" w:themeColor="text1"/>
        </w:rPr>
        <w:t>y members</w:t>
      </w:r>
      <w:r w:rsidRPr="5488933C" w:rsidR="001863A2">
        <w:rPr>
          <w:rFonts w:cs="Open Sans"/>
          <w:color w:val="000000" w:themeColor="text1"/>
        </w:rPr>
        <w:t xml:space="preserve">  </w:t>
      </w:r>
    </w:p>
    <w:p w:rsidR="00452E54" w:rsidP="00452E54" w:rsidRDefault="00452E54" w14:paraId="01A6F042" w14:textId="1A0E2F5D">
      <w:pPr>
        <w:pStyle w:val="ListParagraph"/>
        <w:numPr>
          <w:ilvl w:val="0"/>
          <w:numId w:val="80"/>
        </w:numPr>
        <w:rPr>
          <w:b/>
          <w:bCs/>
        </w:rPr>
      </w:pPr>
      <w:r w:rsidRPr="0007626E">
        <w:rPr>
          <w:b/>
          <w:bCs/>
        </w:rPr>
        <w:t xml:space="preserve">improved access to peer support and health services, including online and by telephone </w:t>
      </w:r>
    </w:p>
    <w:p w:rsidRPr="0007626E" w:rsidR="00452E54" w:rsidP="00452E54" w:rsidRDefault="00452E54" w14:paraId="7C5BB41E" w14:textId="1FFF8795">
      <w:pPr>
        <w:pStyle w:val="ListParagraph"/>
        <w:numPr>
          <w:ilvl w:val="0"/>
          <w:numId w:val="80"/>
        </w:numPr>
        <w:rPr>
          <w:b/>
          <w:bCs/>
        </w:rPr>
      </w:pPr>
      <w:r w:rsidRPr="0007626E">
        <w:rPr>
          <w:b/>
          <w:bCs/>
        </w:rPr>
        <w:t xml:space="preserve">comprehensive and up-to-date consumer resources </w:t>
      </w:r>
      <w:r w:rsidR="00C03FB4">
        <w:rPr>
          <w:b/>
          <w:bCs/>
        </w:rPr>
        <w:t xml:space="preserve">for </w:t>
      </w:r>
      <w:r w:rsidR="00AD642E">
        <w:rPr>
          <w:b/>
          <w:bCs/>
        </w:rPr>
        <w:t>people born with variations in sex characteristics</w:t>
      </w:r>
      <w:r w:rsidR="000A563F">
        <w:rPr>
          <w:b/>
          <w:bCs/>
        </w:rPr>
        <w:t xml:space="preserve">, </w:t>
      </w:r>
      <w:r w:rsidR="00C029BC">
        <w:rPr>
          <w:b/>
          <w:bCs/>
        </w:rPr>
        <w:t xml:space="preserve">their </w:t>
      </w:r>
      <w:r w:rsidR="000A563F">
        <w:rPr>
          <w:b/>
          <w:bCs/>
        </w:rPr>
        <w:t>parents</w:t>
      </w:r>
      <w:r w:rsidR="00C03FB4">
        <w:rPr>
          <w:b/>
          <w:bCs/>
        </w:rPr>
        <w:t xml:space="preserve"> and </w:t>
      </w:r>
      <w:r w:rsidR="000A563F">
        <w:rPr>
          <w:b/>
          <w:bCs/>
        </w:rPr>
        <w:t xml:space="preserve">other </w:t>
      </w:r>
      <w:r w:rsidR="00C03FB4">
        <w:rPr>
          <w:b/>
          <w:bCs/>
        </w:rPr>
        <w:t>famil</w:t>
      </w:r>
      <w:r w:rsidR="0097682A">
        <w:rPr>
          <w:b/>
          <w:bCs/>
        </w:rPr>
        <w:t>y members</w:t>
      </w:r>
      <w:r w:rsidR="00C03FB4">
        <w:rPr>
          <w:b/>
          <w:bCs/>
        </w:rPr>
        <w:t xml:space="preserve"> </w:t>
      </w:r>
      <w:r w:rsidRPr="0007626E">
        <w:rPr>
          <w:b/>
          <w:bCs/>
        </w:rPr>
        <w:t>informed</w:t>
      </w:r>
      <w:r w:rsidR="00171C1D">
        <w:rPr>
          <w:b/>
          <w:bCs/>
        </w:rPr>
        <w:t>, co-designed and delivered</w:t>
      </w:r>
      <w:r w:rsidRPr="0007626E">
        <w:rPr>
          <w:b/>
          <w:bCs/>
        </w:rPr>
        <w:t xml:space="preserve"> by clinical, peer support and human rights experts. </w:t>
      </w:r>
    </w:p>
    <w:p w:rsidR="00452E54" w:rsidP="00452E54" w:rsidRDefault="007A171A" w14:paraId="6519E02E" w14:textId="4F10F69D">
      <w:pPr>
        <w:rPr>
          <w:b/>
          <w:bCs/>
        </w:rPr>
      </w:pPr>
      <w:r>
        <w:rPr>
          <w:b/>
          <w:bCs/>
        </w:rPr>
        <w:t xml:space="preserve">The </w:t>
      </w:r>
      <w:r w:rsidRPr="002C7B30">
        <w:rPr>
          <w:b/>
          <w:bCs/>
        </w:rPr>
        <w:t>Australia</w:t>
      </w:r>
      <w:r>
        <w:rPr>
          <w:b/>
          <w:bCs/>
        </w:rPr>
        <w:t xml:space="preserve">n Government and </w:t>
      </w:r>
      <w:r w:rsidRPr="002C7B30">
        <w:rPr>
          <w:b/>
          <w:bCs/>
        </w:rPr>
        <w:t>state and territory governments should</w:t>
      </w:r>
      <w:r w:rsidRPr="000E1B13">
        <w:rPr>
          <w:b/>
          <w:bCs/>
        </w:rPr>
        <w:t xml:space="preserve"> </w:t>
      </w:r>
      <w:r w:rsidR="00452E54">
        <w:rPr>
          <w:b/>
          <w:bCs/>
        </w:rPr>
        <w:t xml:space="preserve">also </w:t>
      </w:r>
      <w:r w:rsidRPr="002C7B30" w:rsidR="00452E54">
        <w:rPr>
          <w:b/>
          <w:bCs/>
        </w:rPr>
        <w:t xml:space="preserve">consult on </w:t>
      </w:r>
      <w:r w:rsidR="00452E54">
        <w:rPr>
          <w:b/>
          <w:bCs/>
        </w:rPr>
        <w:t>establishing</w:t>
      </w:r>
      <w:r w:rsidRPr="002C7B30" w:rsidR="00452E54">
        <w:rPr>
          <w:b/>
          <w:bCs/>
        </w:rPr>
        <w:t xml:space="preserve"> </w:t>
      </w:r>
      <w:r w:rsidR="00452E54">
        <w:rPr>
          <w:b/>
          <w:bCs/>
        </w:rPr>
        <w:t xml:space="preserve">and funding </w:t>
      </w:r>
      <w:r w:rsidRPr="002C7B30" w:rsidR="00452E54">
        <w:rPr>
          <w:b/>
          <w:bCs/>
        </w:rPr>
        <w:t>coordinator positions to integrate care across multiple specialties and institutions</w:t>
      </w:r>
      <w:r w:rsidR="00452E54">
        <w:rPr>
          <w:b/>
          <w:bCs/>
        </w:rPr>
        <w:t>.</w:t>
      </w:r>
    </w:p>
    <w:p w:rsidR="00452E54" w:rsidP="00452E54" w:rsidRDefault="00452E54" w14:paraId="2CBA1EB4" w14:textId="77777777">
      <w:r>
        <w:t>Peer support plays a crucial role in helping people and their families better understand their variations and what the implications may be. The limited funding of peer support services significantly restricts service provision. Sufficient public funding for peer support organisations is essential.</w:t>
      </w:r>
    </w:p>
    <w:p w:rsidR="00452E54" w:rsidP="00452E54" w:rsidRDefault="00452E54" w14:paraId="7B3898A2" w14:textId="765456A6">
      <w:r>
        <w:t>There is a widespread view that the provision of professional psychological and psychiatric services is central to the wellbeing of people born with variations in sex characteristics and their families. The Commission understands that psychological and psychiatric services are not generally funded</w:t>
      </w:r>
      <w:r w:rsidR="00905C31">
        <w:t xml:space="preserve"> as part of </w:t>
      </w:r>
      <w:r w:rsidR="00D9622A">
        <w:t xml:space="preserve">the </w:t>
      </w:r>
      <w:r w:rsidR="00D9622A">
        <w:lastRenderedPageBreak/>
        <w:t>care received by people born with variations</w:t>
      </w:r>
      <w:r w:rsidR="00E2235D">
        <w:t xml:space="preserve">, with availability further limited </w:t>
      </w:r>
      <w:r w:rsidR="00E47E48">
        <w:t>for</w:t>
      </w:r>
      <w:r w:rsidR="00E2235D">
        <w:t xml:space="preserve"> people in rural/remote locations</w:t>
      </w:r>
      <w:r>
        <w:t xml:space="preserve">. Funding for comprehensive psychological and psychiatric health services is also essential for optimal care. </w:t>
      </w:r>
    </w:p>
    <w:p w:rsidR="00452E54" w:rsidP="00452E54" w:rsidRDefault="00452E54" w14:paraId="4544765D" w14:textId="77777777">
      <w:r>
        <w:t xml:space="preserve">There was general agreement across sectors about the need for improved access to online peer support and health services. </w:t>
      </w:r>
      <w:r w:rsidRPr="00F35398">
        <w:t>The Australian Digital Inclusion Index 2018 reports that the gap between digitally included and digitally excluded Australians is substantial and is widening for some groups.</w:t>
      </w:r>
      <w:r w:rsidRPr="0059775F">
        <w:rPr>
          <w:sz w:val="20"/>
          <w:szCs w:val="20"/>
          <w:vertAlign w:val="superscript"/>
        </w:rPr>
        <w:endnoteReference w:id="737"/>
      </w:r>
      <w:r w:rsidRPr="00F35398">
        <w:t xml:space="preserve"> </w:t>
      </w:r>
      <w:r>
        <w:t>Given this ‘</w:t>
      </w:r>
      <w:r w:rsidRPr="00F35398">
        <w:t>digital divide</w:t>
      </w:r>
      <w:r>
        <w:t>’, it is important that</w:t>
      </w:r>
      <w:r w:rsidRPr="00F35398">
        <w:t xml:space="preserve"> information and services </w:t>
      </w:r>
      <w:r>
        <w:t>for people with variations in sex characteristics are</w:t>
      </w:r>
      <w:r w:rsidRPr="00F35398">
        <w:t xml:space="preserve"> offered in a range of mediums.</w:t>
      </w:r>
    </w:p>
    <w:p w:rsidR="00452E54" w:rsidP="00452E54" w:rsidRDefault="00452E54" w14:paraId="6E7D9CD5" w14:textId="77777777">
      <w:r>
        <w:t>In the Commission’s view, the idea of funding coordinator positions to help support integrated care across multiple specialties and institutions has merit and should be considered further by governments.</w:t>
      </w:r>
    </w:p>
    <w:p w:rsidR="00452E54" w:rsidP="00452E54" w:rsidRDefault="00452E54" w14:paraId="63F6896B" w14:textId="77777777">
      <w:r>
        <w:t xml:space="preserve">The Commission welcomes the </w:t>
      </w:r>
      <w:r w:rsidRPr="00D75F68">
        <w:t xml:space="preserve">Victorian </w:t>
      </w:r>
      <w:r>
        <w:t>G</w:t>
      </w:r>
      <w:r w:rsidRPr="00D75F68">
        <w:t>overnment</w:t>
      </w:r>
      <w:r>
        <w:t>’s recent work with Intersex Human Rights Australia to audit</w:t>
      </w:r>
      <w:r w:rsidRPr="00D75F68">
        <w:t xml:space="preserve"> resources on </w:t>
      </w:r>
      <w:r>
        <w:t xml:space="preserve">the experience of people with variations in sex characteristics. The workplan to address the gaps identified in the audit would go to addressing some of the shortcomings in information provision. </w:t>
      </w:r>
    </w:p>
    <w:p w:rsidRPr="00DE5D15" w:rsidR="00452E54" w:rsidP="00452E54" w:rsidRDefault="00452E54" w14:paraId="0402B966" w14:textId="0F076A44">
      <w:pPr>
        <w:pStyle w:val="AHRCHeading2"/>
      </w:pPr>
      <w:bookmarkStart w:name="_Toc80614231" w:id="604"/>
      <w:bookmarkStart w:name="_Toc85541496" w:id="605"/>
      <w:r>
        <w:t>A</w:t>
      </w:r>
      <w:r w:rsidRPr="00DE5D15">
        <w:t xml:space="preserve">ccess </w:t>
      </w:r>
      <w:r>
        <w:t xml:space="preserve">to </w:t>
      </w:r>
      <w:r w:rsidRPr="00DE5D15">
        <w:t xml:space="preserve">and </w:t>
      </w:r>
      <w:r>
        <w:t>control of health records</w:t>
      </w:r>
      <w:bookmarkEnd w:id="604"/>
      <w:bookmarkEnd w:id="605"/>
    </w:p>
    <w:p w:rsidRPr="00B341A7" w:rsidR="00452E54" w:rsidP="00452E54" w:rsidRDefault="00452E54" w14:paraId="778F2444" w14:textId="77777777">
      <w:r>
        <w:t>There have been widespread concerns expressed about inadequate access for individuals to their health records. Problems are said to have arisen because records have been destroyed and due to bureaucratic barriers to access. Concerns were also expressed about unauthorised access to records, inadequate record security, and inadequate sharing of individual histories with relevant healthcare professionals.</w:t>
      </w:r>
      <w:r>
        <w:rPr>
          <w:rStyle w:val="EndnoteReference"/>
        </w:rPr>
        <w:endnoteReference w:id="738"/>
      </w:r>
      <w:r>
        <w:t xml:space="preserve"> </w:t>
      </w:r>
    </w:p>
    <w:p w:rsidRPr="00444788" w:rsidR="00452E54" w:rsidP="005A6BBF" w:rsidRDefault="00452E54" w14:paraId="496F36F8" w14:textId="77777777">
      <w:pPr>
        <w:pStyle w:val="Heading3"/>
        <w:numPr>
          <w:ilvl w:val="2"/>
          <w:numId w:val="82"/>
        </w:numPr>
        <w:tabs>
          <w:tab w:val="clear" w:pos="8222"/>
        </w:tabs>
        <w:ind w:left="851"/>
      </w:pPr>
      <w:bookmarkStart w:name="_Toc80614232" w:id="606"/>
      <w:bookmarkStart w:name="_Toc85541497" w:id="607"/>
      <w:r w:rsidRPr="00444788">
        <w:t>Access</w:t>
      </w:r>
      <w:r>
        <w:t xml:space="preserve"> to health records</w:t>
      </w:r>
      <w:bookmarkEnd w:id="606"/>
      <w:bookmarkEnd w:id="607"/>
    </w:p>
    <w:p w:rsidR="00452E54" w:rsidP="00452E54" w:rsidRDefault="00452E54" w14:paraId="4A9CA215" w14:textId="77777777">
      <w:pPr>
        <w:rPr>
          <w:rFonts w:cs="Open Sans"/>
        </w:rPr>
      </w:pPr>
      <w:r>
        <w:rPr>
          <w:rFonts w:cs="Open Sans"/>
        </w:rPr>
        <w:t xml:space="preserve">Some stakeholders who had experienced medical interventions expressed distress at their </w:t>
      </w:r>
      <w:r w:rsidRPr="00E75705">
        <w:rPr>
          <w:rFonts w:cs="Open Sans"/>
        </w:rPr>
        <w:t xml:space="preserve">lack of access to records about interventions and </w:t>
      </w:r>
      <w:r>
        <w:rPr>
          <w:rFonts w:cs="Open Sans"/>
        </w:rPr>
        <w:t xml:space="preserve">associated </w:t>
      </w:r>
      <w:r w:rsidRPr="00E75705">
        <w:rPr>
          <w:rFonts w:cs="Open Sans"/>
        </w:rPr>
        <w:t>decision-making processes</w:t>
      </w:r>
      <w:r>
        <w:rPr>
          <w:rFonts w:cs="Open Sans"/>
        </w:rPr>
        <w:t xml:space="preserve">. </w:t>
      </w:r>
      <w:r w:rsidRPr="00A7663D">
        <w:rPr>
          <w:rFonts w:cs="Open Sans"/>
        </w:rPr>
        <w:t xml:space="preserve">Concern was expressed about archiving and </w:t>
      </w:r>
      <w:r>
        <w:rPr>
          <w:rFonts w:cs="Open Sans"/>
        </w:rPr>
        <w:t xml:space="preserve">records </w:t>
      </w:r>
      <w:r w:rsidRPr="00A7663D">
        <w:rPr>
          <w:rFonts w:cs="Open Sans"/>
        </w:rPr>
        <w:lastRenderedPageBreak/>
        <w:t>destruction practices</w:t>
      </w:r>
      <w:r>
        <w:rPr>
          <w:rFonts w:cs="Open Sans"/>
        </w:rPr>
        <w:t>. The</w:t>
      </w:r>
      <w:r w:rsidRPr="00A7663D">
        <w:rPr>
          <w:rFonts w:cs="Open Sans"/>
        </w:rPr>
        <w:t xml:space="preserve"> harm</w:t>
      </w:r>
      <w:r>
        <w:rPr>
          <w:rFonts w:cs="Open Sans"/>
        </w:rPr>
        <w:t>ful consequences were said to include</w:t>
      </w:r>
      <w:r w:rsidRPr="00A7663D">
        <w:rPr>
          <w:rFonts w:cs="Open Sans"/>
        </w:rPr>
        <w:t xml:space="preserve"> disempowering people from taking full agency in management of their health and well-being </w:t>
      </w:r>
      <w:r>
        <w:rPr>
          <w:rFonts w:cs="Open Sans"/>
        </w:rPr>
        <w:t xml:space="preserve">and </w:t>
      </w:r>
      <w:r w:rsidRPr="00A7663D">
        <w:rPr>
          <w:rFonts w:cs="Open Sans"/>
        </w:rPr>
        <w:t xml:space="preserve">detracting from </w:t>
      </w:r>
      <w:r>
        <w:rPr>
          <w:rFonts w:cs="Open Sans"/>
        </w:rPr>
        <w:t>people</w:t>
      </w:r>
      <w:r w:rsidRPr="00A7663D">
        <w:rPr>
          <w:rFonts w:cs="Open Sans"/>
        </w:rPr>
        <w:t>’s sense of identity and safety</w:t>
      </w:r>
      <w:r>
        <w:rPr>
          <w:rFonts w:cs="Open Sans"/>
        </w:rPr>
        <w:t>.</w:t>
      </w:r>
      <w:r w:rsidRPr="0059775F">
        <w:rPr>
          <w:rFonts w:cs="Open Sans"/>
          <w:sz w:val="20"/>
          <w:szCs w:val="20"/>
          <w:vertAlign w:val="superscript"/>
        </w:rPr>
        <w:endnoteReference w:id="739"/>
      </w:r>
    </w:p>
    <w:p w:rsidR="00452E54" w:rsidP="00452E54" w:rsidRDefault="00452E54" w14:paraId="7602DF3C" w14:textId="753FF343">
      <w:pPr>
        <w:rPr>
          <w:rFonts w:cs="Open Sans"/>
        </w:rPr>
      </w:pPr>
      <w:r>
        <w:rPr>
          <w:rFonts w:cs="Open Sans"/>
        </w:rPr>
        <w:t>A Gender Agenda commented that lack of access to records means that</w:t>
      </w:r>
    </w:p>
    <w:p w:rsidR="00452E54" w:rsidP="00452E54" w:rsidRDefault="00452E54" w14:paraId="673AF84E" w14:textId="77777777">
      <w:pPr>
        <w:ind w:left="720"/>
        <w:rPr>
          <w:rFonts w:cs="Open Sans"/>
          <w:sz w:val="22"/>
          <w:szCs w:val="22"/>
        </w:rPr>
      </w:pPr>
      <w:r w:rsidRPr="004226C8">
        <w:rPr>
          <w:rFonts w:cs="Open Sans"/>
          <w:sz w:val="22"/>
          <w:szCs w:val="22"/>
        </w:rPr>
        <w:t xml:space="preserve">It is not at all uncommon for someone approaching the intersex community </w:t>
      </w:r>
      <w:r>
        <w:rPr>
          <w:rFonts w:cs="Open Sans"/>
          <w:sz w:val="22"/>
          <w:szCs w:val="22"/>
        </w:rPr>
        <w:t>[</w:t>
      </w:r>
      <w:r w:rsidRPr="004226C8">
        <w:rPr>
          <w:rFonts w:cs="Open Sans"/>
          <w:sz w:val="22"/>
          <w:szCs w:val="22"/>
        </w:rPr>
        <w:t>at AGA</w:t>
      </w:r>
      <w:r>
        <w:rPr>
          <w:rFonts w:cs="Open Sans"/>
          <w:sz w:val="22"/>
          <w:szCs w:val="22"/>
        </w:rPr>
        <w:t>]</w:t>
      </w:r>
      <w:r w:rsidRPr="004226C8">
        <w:rPr>
          <w:rFonts w:cs="Open Sans"/>
          <w:sz w:val="22"/>
          <w:szCs w:val="22"/>
        </w:rPr>
        <w:t xml:space="preserve"> to be unsure of their intersex status. Instead they are only able to piece together surgical scars and vague memories</w:t>
      </w:r>
      <w:r>
        <w:rPr>
          <w:rFonts w:cs="Open Sans"/>
          <w:sz w:val="22"/>
          <w:szCs w:val="22"/>
        </w:rPr>
        <w:t>.</w:t>
      </w:r>
      <w:r w:rsidRPr="0117CC5D">
        <w:rPr>
          <w:rStyle w:val="EndnoteReference"/>
          <w:rFonts w:cs="Open Sans"/>
        </w:rPr>
        <w:endnoteReference w:id="740"/>
      </w:r>
    </w:p>
    <w:p w:rsidR="00452E54" w:rsidP="00452E54" w:rsidRDefault="00452E54" w14:paraId="5C54BDBF" w14:textId="397244D4">
      <w:pPr>
        <w:rPr>
          <w:rFonts w:cs="Open Sans"/>
        </w:rPr>
      </w:pPr>
      <w:r w:rsidRPr="004226C8">
        <w:rPr>
          <w:rFonts w:cs="Open Sans"/>
        </w:rPr>
        <w:t xml:space="preserve">In </w:t>
      </w:r>
      <w:r>
        <w:rPr>
          <w:rFonts w:cs="Open Sans"/>
        </w:rPr>
        <w:t>relation to</w:t>
      </w:r>
      <w:r w:rsidRPr="004226C8">
        <w:rPr>
          <w:rFonts w:cs="Open Sans"/>
        </w:rPr>
        <w:t xml:space="preserve"> paediatric records, </w:t>
      </w:r>
      <w:r>
        <w:rPr>
          <w:rFonts w:cs="Open Sans"/>
        </w:rPr>
        <w:t>A Gender Agenda argued that, for many people</w:t>
      </w:r>
    </w:p>
    <w:p w:rsidRPr="004226C8" w:rsidR="00452E54" w:rsidP="00452E54" w:rsidRDefault="00452E54" w14:paraId="3A003A6E" w14:textId="77777777">
      <w:pPr>
        <w:ind w:left="720"/>
        <w:rPr>
          <w:rFonts w:cs="Open Sans"/>
          <w:sz w:val="22"/>
          <w:szCs w:val="22"/>
        </w:rPr>
      </w:pPr>
      <w:r w:rsidRPr="004226C8">
        <w:rPr>
          <w:rFonts w:cs="Open Sans"/>
          <w:sz w:val="22"/>
          <w:szCs w:val="22"/>
        </w:rPr>
        <w:t>paediatric records are long lost, unrecoverable, or deliberately withheld. If there is no further information available from their family, there is no certainty and no safety.</w:t>
      </w:r>
      <w:r w:rsidRPr="0117CC5D">
        <w:rPr>
          <w:rStyle w:val="EndnoteReference"/>
          <w:rFonts w:cs="Open Sans"/>
        </w:rPr>
        <w:endnoteReference w:id="741"/>
      </w:r>
      <w:r w:rsidRPr="004226C8">
        <w:rPr>
          <w:rFonts w:cs="Open Sans"/>
          <w:sz w:val="22"/>
          <w:szCs w:val="22"/>
        </w:rPr>
        <w:t xml:space="preserve">  </w:t>
      </w:r>
    </w:p>
    <w:p w:rsidRPr="005D15C7" w:rsidR="00452E54" w:rsidP="00452E54" w:rsidRDefault="00452E54" w14:paraId="35CE52F9" w14:textId="77777777">
      <w:pPr>
        <w:rPr>
          <w:rFonts w:cs="Open Sans"/>
        </w:rPr>
      </w:pPr>
      <w:r w:rsidRPr="005D15C7">
        <w:rPr>
          <w:rFonts w:cs="Open Sans"/>
        </w:rPr>
        <w:t>A</w:t>
      </w:r>
      <w:r>
        <w:rPr>
          <w:rFonts w:cs="Open Sans"/>
        </w:rPr>
        <w:t xml:space="preserve"> person with a variation in sex characteristics</w:t>
      </w:r>
      <w:r w:rsidRPr="005D15C7">
        <w:rPr>
          <w:rFonts w:cs="Open Sans"/>
        </w:rPr>
        <w:t xml:space="preserve"> commented:</w:t>
      </w:r>
    </w:p>
    <w:p w:rsidRPr="005D15C7" w:rsidR="00452E54" w:rsidP="00452E54" w:rsidRDefault="00452E54" w14:paraId="4751D919" w14:textId="77777777">
      <w:pPr>
        <w:ind w:left="720"/>
        <w:rPr>
          <w:rFonts w:cs="Open Sans"/>
          <w:sz w:val="22"/>
          <w:szCs w:val="22"/>
        </w:rPr>
      </w:pPr>
      <w:r w:rsidRPr="00373A76">
        <w:rPr>
          <w:rFonts w:cs="Open Sans"/>
          <w:sz w:val="22"/>
          <w:szCs w:val="22"/>
        </w:rPr>
        <w:t>As an older person I was told that my health records were destroyed, meaning that I have no record of any surgery prior to the age of 21 as I was a state ward before that time and I was not in a position to even enquire.</w:t>
      </w:r>
      <w:r w:rsidRPr="0117CC5D">
        <w:rPr>
          <w:rStyle w:val="EndnoteReference"/>
          <w:rFonts w:cs="Open Sans"/>
        </w:rPr>
        <w:endnoteReference w:id="742"/>
      </w:r>
    </w:p>
    <w:p w:rsidR="00452E54" w:rsidP="00452E54" w:rsidRDefault="00452E54" w14:paraId="2A02683A" w14:textId="77777777">
      <w:pPr>
        <w:rPr>
          <w:rFonts w:cs="Open Sans"/>
        </w:rPr>
      </w:pPr>
      <w:r w:rsidRPr="00612C99">
        <w:rPr>
          <w:rFonts w:cs="Open Sans"/>
        </w:rPr>
        <w:t xml:space="preserve">Inability to access records </w:t>
      </w:r>
      <w:r>
        <w:rPr>
          <w:rFonts w:cs="Open Sans"/>
        </w:rPr>
        <w:t>can be</w:t>
      </w:r>
      <w:r w:rsidRPr="00612C99">
        <w:rPr>
          <w:rFonts w:cs="Open Sans"/>
        </w:rPr>
        <w:t xml:space="preserve"> experienced as a harm in its own right, </w:t>
      </w:r>
      <w:r>
        <w:rPr>
          <w:rFonts w:cs="Open Sans"/>
        </w:rPr>
        <w:t>and</w:t>
      </w:r>
      <w:r w:rsidRPr="00612C99">
        <w:rPr>
          <w:rFonts w:cs="Open Sans"/>
        </w:rPr>
        <w:t xml:space="preserve"> was also reported to lead to additional harms, such as impeding access to services that are contingent on a diagnostic and treatment history.</w:t>
      </w:r>
      <w:r>
        <w:rPr>
          <w:rStyle w:val="EndnoteReference"/>
          <w:rFonts w:cs="Open Sans"/>
        </w:rPr>
        <w:endnoteReference w:id="743"/>
      </w:r>
      <w:r w:rsidRPr="00612C99">
        <w:rPr>
          <w:rFonts w:cs="Open Sans"/>
        </w:rPr>
        <w:t xml:space="preserve"> </w:t>
      </w:r>
      <w:r>
        <w:rPr>
          <w:rFonts w:cs="Open Sans"/>
        </w:rPr>
        <w:t>One stakeholder commented:</w:t>
      </w:r>
    </w:p>
    <w:p w:rsidR="00452E54" w:rsidP="00452E54" w:rsidRDefault="00452E54" w14:paraId="3965523C" w14:textId="77777777">
      <w:pPr>
        <w:ind w:left="720"/>
        <w:rPr>
          <w:rFonts w:cs="Open Sans"/>
          <w:sz w:val="22"/>
          <w:szCs w:val="22"/>
        </w:rPr>
      </w:pPr>
      <w:r w:rsidRPr="004226C8">
        <w:rPr>
          <w:rFonts w:cs="Open Sans"/>
          <w:sz w:val="22"/>
          <w:szCs w:val="22"/>
        </w:rPr>
        <w:t>Many older intersex people have little or no records of surgery as a child and live a life of limbo in relation to their bodies adding to mental health issues and the inability to ever gain bodily autonomy and of course never bodily integrity.</w:t>
      </w:r>
      <w:r w:rsidRPr="0117CC5D">
        <w:rPr>
          <w:rStyle w:val="EndnoteReference"/>
          <w:rFonts w:cs="Open Sans"/>
        </w:rPr>
        <w:endnoteReference w:id="744"/>
      </w:r>
    </w:p>
    <w:p w:rsidR="00452E54" w:rsidP="00452E54" w:rsidRDefault="00452E54" w14:paraId="7F10A77A" w14:textId="77777777">
      <w:pPr>
        <w:rPr>
          <w:rFonts w:cs="Open Sans"/>
        </w:rPr>
      </w:pPr>
      <w:r>
        <w:rPr>
          <w:rFonts w:cs="Open Sans"/>
        </w:rPr>
        <w:t xml:space="preserve">Stakeholders born with variations in sex characteristics called for </w:t>
      </w:r>
      <w:r w:rsidRPr="00A7663D">
        <w:rPr>
          <w:rFonts w:cs="Open Sans"/>
        </w:rPr>
        <w:t>lifelong access to records</w:t>
      </w:r>
      <w:r>
        <w:rPr>
          <w:rFonts w:cs="Open Sans"/>
        </w:rPr>
        <w:t>.</w:t>
      </w:r>
      <w:r w:rsidRPr="0059775F">
        <w:rPr>
          <w:rFonts w:cs="Open Sans"/>
          <w:sz w:val="22"/>
          <w:szCs w:val="22"/>
          <w:vertAlign w:val="superscript"/>
        </w:rPr>
        <w:endnoteReference w:id="745"/>
      </w:r>
      <w:r w:rsidRPr="00A7663D">
        <w:rPr>
          <w:rFonts w:cs="Open Sans"/>
        </w:rPr>
        <w:t xml:space="preserve"> </w:t>
      </w:r>
      <w:r>
        <w:rPr>
          <w:rFonts w:cs="Open Sans"/>
        </w:rPr>
        <w:t>One suggested that access should not be impeded by p</w:t>
      </w:r>
      <w:r w:rsidRPr="00E0224E">
        <w:rPr>
          <w:rFonts w:cs="Open Sans"/>
        </w:rPr>
        <w:t>rohibitive bureaucratic obstructions or financial cost to the</w:t>
      </w:r>
      <w:r>
        <w:rPr>
          <w:rFonts w:cs="Open Sans"/>
        </w:rPr>
        <w:t xml:space="preserve"> </w:t>
      </w:r>
      <w:r w:rsidRPr="00E0224E">
        <w:rPr>
          <w:rFonts w:cs="Open Sans"/>
        </w:rPr>
        <w:t>patien</w:t>
      </w:r>
      <w:r>
        <w:rPr>
          <w:rFonts w:cs="Open Sans"/>
        </w:rPr>
        <w:t>t.</w:t>
      </w:r>
      <w:r w:rsidRPr="0059775F">
        <w:rPr>
          <w:rFonts w:cs="Open Sans"/>
          <w:sz w:val="20"/>
          <w:szCs w:val="20"/>
          <w:vertAlign w:val="superscript"/>
        </w:rPr>
        <w:endnoteReference w:id="746"/>
      </w:r>
      <w:r>
        <w:rPr>
          <w:rFonts w:cs="Open Sans"/>
        </w:rPr>
        <w:t xml:space="preserve"> </w:t>
      </w:r>
    </w:p>
    <w:p w:rsidR="00452E54" w:rsidP="00452E54" w:rsidRDefault="00452E54" w14:paraId="3CF5F1CD" w14:textId="77777777">
      <w:pPr>
        <w:autoSpaceDE w:val="0"/>
        <w:autoSpaceDN w:val="0"/>
        <w:adjustRightInd w:val="0"/>
        <w:spacing w:before="0" w:after="0"/>
      </w:pPr>
      <w:r>
        <w:rPr>
          <w:rFonts w:cs="Open Sans"/>
        </w:rPr>
        <w:t>A human rights</w:t>
      </w:r>
      <w:r w:rsidDel="00F5400B">
        <w:rPr>
          <w:rFonts w:cs="Open Sans"/>
        </w:rPr>
        <w:t xml:space="preserve"> </w:t>
      </w:r>
      <w:r>
        <w:rPr>
          <w:rFonts w:cs="Open Sans"/>
        </w:rPr>
        <w:t xml:space="preserve">agency suggested </w:t>
      </w:r>
      <w:r w:rsidRPr="00EC7366">
        <w:t xml:space="preserve">there should be a </w:t>
      </w:r>
      <w:r>
        <w:t xml:space="preserve">legal </w:t>
      </w:r>
      <w:r w:rsidRPr="00EC7366">
        <w:t xml:space="preserve">requirement </w:t>
      </w:r>
      <w:r>
        <w:t xml:space="preserve">to disclose variation-related information to </w:t>
      </w:r>
      <w:r w:rsidRPr="00EC7366">
        <w:t>children</w:t>
      </w:r>
      <w:r>
        <w:t xml:space="preserve">, </w:t>
      </w:r>
      <w:r w:rsidRPr="00EC7366">
        <w:t xml:space="preserve">with support </w:t>
      </w:r>
      <w:r>
        <w:t>from</w:t>
      </w:r>
      <w:r w:rsidRPr="00EC7366">
        <w:t xml:space="preserve"> psychologists to</w:t>
      </w:r>
      <w:r>
        <w:t xml:space="preserve"> </w:t>
      </w:r>
      <w:r w:rsidRPr="00EC7366">
        <w:t xml:space="preserve">minimise any risk </w:t>
      </w:r>
      <w:r>
        <w:t>of t</w:t>
      </w:r>
      <w:r w:rsidRPr="00EC7366">
        <w:t>rauma</w:t>
      </w:r>
      <w:r>
        <w:t>,</w:t>
      </w:r>
      <w:r w:rsidRPr="00EC7366">
        <w:t xml:space="preserve"> </w:t>
      </w:r>
      <w:r>
        <w:t>to allow children to obtain</w:t>
      </w:r>
      <w:r w:rsidRPr="00EC7366">
        <w:t xml:space="preserve"> full knowledge appropriate to</w:t>
      </w:r>
      <w:r>
        <w:t xml:space="preserve"> </w:t>
      </w:r>
      <w:r w:rsidRPr="00EC7366">
        <w:t>their age and level of maturity.</w:t>
      </w:r>
      <w:r>
        <w:rPr>
          <w:rStyle w:val="EndnoteReference"/>
        </w:rPr>
        <w:endnoteReference w:id="747"/>
      </w:r>
    </w:p>
    <w:p w:rsidR="00452E54" w:rsidP="00452E54" w:rsidRDefault="00452E54" w14:paraId="424A1054" w14:textId="77777777">
      <w:pPr>
        <w:rPr>
          <w:rFonts w:cs="Open Sans"/>
        </w:rPr>
      </w:pPr>
      <w:r>
        <w:rPr>
          <w:rFonts w:cs="Open Sans"/>
        </w:rPr>
        <w:lastRenderedPageBreak/>
        <w:t>Several individuals with lived experiences of variations in sex characteristics reported that when they sought access to records, they were dissatisfied with what they received. One commented:</w:t>
      </w:r>
    </w:p>
    <w:p w:rsidRPr="004226C8" w:rsidR="00452E54" w:rsidP="00452E54" w:rsidRDefault="00452E54" w14:paraId="2E612B9A" w14:textId="77777777">
      <w:pPr>
        <w:autoSpaceDE w:val="0"/>
        <w:autoSpaceDN w:val="0"/>
        <w:adjustRightInd w:val="0"/>
        <w:spacing w:before="0" w:after="0"/>
        <w:ind w:left="720"/>
        <w:rPr>
          <w:rFonts w:cs="Open Sans"/>
          <w:sz w:val="22"/>
          <w:szCs w:val="22"/>
        </w:rPr>
      </w:pPr>
      <w:r>
        <w:rPr>
          <w:rFonts w:ascii="DroidSans-Regular" w:hAnsi="DroidSans-Regular" w:eastAsia="Times New Roman" w:cs="DroidSans-Regular"/>
          <w:sz w:val="25"/>
          <w:szCs w:val="25"/>
        </w:rPr>
        <w:t>I</w:t>
      </w:r>
      <w:r w:rsidRPr="004226C8">
        <w:rPr>
          <w:rFonts w:cs="Open Sans"/>
          <w:sz w:val="22"/>
          <w:szCs w:val="22"/>
        </w:rPr>
        <w:t xml:space="preserve"> got my medical records through a FOI application. There was so much blacked out it</w:t>
      </w:r>
      <w:r>
        <w:rPr>
          <w:rFonts w:cs="Open Sans"/>
          <w:sz w:val="22"/>
          <w:szCs w:val="22"/>
        </w:rPr>
        <w:t xml:space="preserve"> </w:t>
      </w:r>
      <w:r w:rsidRPr="004226C8">
        <w:rPr>
          <w:rFonts w:cs="Open Sans"/>
          <w:sz w:val="22"/>
          <w:szCs w:val="22"/>
        </w:rPr>
        <w:t>was almost impossible to work out who had done what. This was done to protect</w:t>
      </w:r>
      <w:r>
        <w:rPr>
          <w:rFonts w:cs="Open Sans"/>
          <w:sz w:val="22"/>
          <w:szCs w:val="22"/>
        </w:rPr>
        <w:t xml:space="preserve"> </w:t>
      </w:r>
      <w:r w:rsidRPr="004226C8">
        <w:rPr>
          <w:rFonts w:cs="Open Sans"/>
          <w:sz w:val="22"/>
          <w:szCs w:val="22"/>
        </w:rPr>
        <w:t>everyone else who made those decision</w:t>
      </w:r>
      <w:r>
        <w:rPr>
          <w:rFonts w:cs="Open Sans"/>
          <w:sz w:val="22"/>
          <w:szCs w:val="22"/>
        </w:rPr>
        <w:t>[s]</w:t>
      </w:r>
      <w:r w:rsidRPr="004226C8">
        <w:rPr>
          <w:rFonts w:cs="Open Sans"/>
          <w:sz w:val="22"/>
          <w:szCs w:val="22"/>
        </w:rPr>
        <w:t>, not my right to know the truth about what</w:t>
      </w:r>
      <w:r>
        <w:rPr>
          <w:rFonts w:cs="Open Sans"/>
          <w:sz w:val="22"/>
          <w:szCs w:val="22"/>
        </w:rPr>
        <w:t xml:space="preserve"> </w:t>
      </w:r>
      <w:r w:rsidRPr="004226C8">
        <w:rPr>
          <w:rFonts w:cs="Open Sans"/>
          <w:sz w:val="22"/>
          <w:szCs w:val="22"/>
        </w:rPr>
        <w:t>had happened to me and what the reasons were.</w:t>
      </w:r>
      <w:r w:rsidRPr="0117CC5D">
        <w:rPr>
          <w:rStyle w:val="EndnoteReference"/>
          <w:rFonts w:cs="Open Sans"/>
        </w:rPr>
        <w:endnoteReference w:id="748"/>
      </w:r>
    </w:p>
    <w:p w:rsidR="00452E54" w:rsidP="005A6BBF" w:rsidRDefault="00452E54" w14:paraId="60D2788D" w14:textId="77777777">
      <w:pPr>
        <w:pStyle w:val="Heading3"/>
        <w:numPr>
          <w:ilvl w:val="2"/>
          <w:numId w:val="82"/>
        </w:numPr>
        <w:ind w:left="851"/>
      </w:pPr>
      <w:bookmarkStart w:name="_Toc80614233" w:id="608"/>
      <w:bookmarkStart w:name="_Toc85541498" w:id="609"/>
      <w:r>
        <w:t>Privacy</w:t>
      </w:r>
      <w:bookmarkEnd w:id="608"/>
      <w:bookmarkEnd w:id="609"/>
      <w:r>
        <w:t xml:space="preserve"> </w:t>
      </w:r>
    </w:p>
    <w:p w:rsidR="00452E54" w:rsidP="00452E54" w:rsidRDefault="00452E54" w14:paraId="0567AF9D" w14:textId="77777777">
      <w:r>
        <w:t xml:space="preserve">People with lived experience called for improved </w:t>
      </w:r>
      <w:r w:rsidRPr="00A7663D">
        <w:t>security and privacy of records.</w:t>
      </w:r>
      <w:r w:rsidRPr="00444CE2">
        <w:rPr>
          <w:sz w:val="20"/>
          <w:szCs w:val="20"/>
          <w:vertAlign w:val="superscript"/>
        </w:rPr>
        <w:endnoteReference w:id="749"/>
      </w:r>
      <w:r w:rsidRPr="00A7663D">
        <w:t xml:space="preserve"> </w:t>
      </w:r>
      <w:r>
        <w:t xml:space="preserve">A Gender Agenda argued that </w:t>
      </w:r>
      <w:r w:rsidRPr="00A7663D">
        <w:t>priva</w:t>
      </w:r>
      <w:r>
        <w:t>cy is not adequately protected, leading to an absence of feelings of safety and security</w:t>
      </w:r>
      <w:r w:rsidRPr="00A7663D">
        <w:t>.</w:t>
      </w:r>
      <w:r w:rsidRPr="00444CE2">
        <w:rPr>
          <w:sz w:val="20"/>
          <w:szCs w:val="20"/>
          <w:vertAlign w:val="superscript"/>
        </w:rPr>
        <w:endnoteReference w:id="750"/>
      </w:r>
      <w:r w:rsidRPr="00A7663D">
        <w:t xml:space="preserve"> </w:t>
      </w:r>
    </w:p>
    <w:p w:rsidR="00452E54" w:rsidP="00452E54" w:rsidRDefault="00452E54" w14:paraId="75C8CD35" w14:textId="77777777">
      <w:r>
        <w:t xml:space="preserve">A parent advocacy and support group </w:t>
      </w:r>
      <w:r w:rsidRPr="00A7663D">
        <w:t>report</w:t>
      </w:r>
      <w:r>
        <w:t xml:space="preserve">ed </w:t>
      </w:r>
      <w:r w:rsidRPr="00A7663D">
        <w:t>records being disclosed to third parties, including researchers, without consent.</w:t>
      </w:r>
      <w:r w:rsidRPr="00444CE2">
        <w:rPr>
          <w:sz w:val="20"/>
          <w:szCs w:val="20"/>
          <w:vertAlign w:val="superscript"/>
        </w:rPr>
        <w:endnoteReference w:id="751"/>
      </w:r>
      <w:r w:rsidRPr="00A7663D">
        <w:t xml:space="preserve"> </w:t>
      </w:r>
      <w:r>
        <w:t>This stakeholder</w:t>
      </w:r>
      <w:r w:rsidRPr="00A7663D">
        <w:t xml:space="preserve"> also expressed concern about unauthorised, unregulated data being available to entities</w:t>
      </w:r>
      <w:r>
        <w:t>,</w:t>
      </w:r>
      <w:r w:rsidRPr="00A7663D">
        <w:t xml:space="preserve"> such as insurers and employers</w:t>
      </w:r>
      <w:r>
        <w:t>,</w:t>
      </w:r>
      <w:r w:rsidRPr="00A7663D">
        <w:t xml:space="preserve"> who might unlawfully discriminate </w:t>
      </w:r>
      <w:r>
        <w:t>against people.</w:t>
      </w:r>
      <w:r w:rsidRPr="00A7663D">
        <w:t xml:space="preserve"> </w:t>
      </w:r>
    </w:p>
    <w:p w:rsidR="00452E54" w:rsidP="005A6BBF" w:rsidRDefault="00452E54" w14:paraId="33756CC8" w14:textId="77777777">
      <w:pPr>
        <w:pStyle w:val="Heading3"/>
        <w:numPr>
          <w:ilvl w:val="2"/>
          <w:numId w:val="82"/>
        </w:numPr>
        <w:ind w:left="851"/>
      </w:pPr>
      <w:bookmarkStart w:name="_Toc80614234" w:id="610"/>
      <w:bookmarkStart w:name="_Toc85541499" w:id="611"/>
      <w:r>
        <w:t>Sharing health records</w:t>
      </w:r>
      <w:bookmarkEnd w:id="610"/>
      <w:bookmarkEnd w:id="611"/>
    </w:p>
    <w:p w:rsidR="37C4FE9D" w:rsidP="00430FEF" w:rsidRDefault="00452E54" w14:paraId="6B4569FF" w14:textId="67C28663">
      <w:pPr>
        <w:spacing w:before="100" w:beforeAutospacing="1" w:after="100" w:afterAutospacing="1"/>
      </w:pPr>
      <w:r>
        <w:t xml:space="preserve">Some individuals with lived experience expressed their distress at having to retell their history to new healthcare professionals, along with explaining to the professional the nature of the variation. One interviewee stated: </w:t>
      </w:r>
    </w:p>
    <w:p w:rsidRPr="00E100A3" w:rsidR="00452E54" w:rsidP="00452E54" w:rsidRDefault="00452E54" w14:paraId="7D751616" w14:textId="77777777">
      <w:pPr>
        <w:spacing w:before="100" w:beforeAutospacing="1" w:after="100" w:afterAutospacing="1"/>
        <w:ind w:left="720"/>
        <w:rPr>
          <w:sz w:val="22"/>
          <w:szCs w:val="22"/>
        </w:rPr>
      </w:pPr>
      <w:r w:rsidRPr="00E100A3">
        <w:rPr>
          <w:sz w:val="22"/>
          <w:szCs w:val="22"/>
        </w:rPr>
        <w:t>You know I have to tell them what the diagnosis was, what medications I</w:t>
      </w:r>
      <w:r>
        <w:rPr>
          <w:sz w:val="22"/>
          <w:szCs w:val="22"/>
        </w:rPr>
        <w:t>’</w:t>
      </w:r>
      <w:r w:rsidRPr="00E100A3">
        <w:rPr>
          <w:sz w:val="22"/>
          <w:szCs w:val="22"/>
        </w:rPr>
        <w:t>m on, what it means to be …</w:t>
      </w:r>
      <w:r w:rsidRPr="00E100A3">
        <w:rPr>
          <w:rFonts w:cs="Open Sans"/>
          <w:sz w:val="22"/>
          <w:szCs w:val="22"/>
        </w:rPr>
        <w:t xml:space="preserve"> </w:t>
      </w:r>
      <w:r w:rsidRPr="00E100A3">
        <w:rPr>
          <w:sz w:val="22"/>
          <w:szCs w:val="22"/>
        </w:rPr>
        <w:t>you know I have to give them an intersex 101 lesson, you know here I am paying $60 to see a new GP and meanwhile I</w:t>
      </w:r>
      <w:r>
        <w:rPr>
          <w:sz w:val="22"/>
          <w:szCs w:val="22"/>
        </w:rPr>
        <w:t>’</w:t>
      </w:r>
      <w:r w:rsidRPr="00E100A3">
        <w:rPr>
          <w:sz w:val="22"/>
          <w:szCs w:val="22"/>
        </w:rPr>
        <w:t>m educating them and giving them a free education. So I think there needs to be better ways of ensuring that information, while maintaining a patient</w:t>
      </w:r>
      <w:r>
        <w:rPr>
          <w:sz w:val="22"/>
          <w:szCs w:val="22"/>
        </w:rPr>
        <w:t>’</w:t>
      </w:r>
      <w:r w:rsidRPr="00E100A3">
        <w:rPr>
          <w:sz w:val="22"/>
          <w:szCs w:val="22"/>
        </w:rPr>
        <w:t>s privacy, information is transferrable, so that a patient can go and see a doctor and present with an issue and see their issue resolved rather than you know, beat around the bush and have to deal with you know the ground stuff, the historical stuff around their diagnosis.</w:t>
      </w:r>
      <w:r w:rsidRPr="0117CC5D">
        <w:rPr>
          <w:rStyle w:val="EndnoteReference"/>
        </w:rPr>
        <w:endnoteReference w:id="752"/>
      </w:r>
      <w:r w:rsidRPr="00E100A3">
        <w:rPr>
          <w:sz w:val="22"/>
          <w:szCs w:val="22"/>
        </w:rPr>
        <w:t> </w:t>
      </w:r>
    </w:p>
    <w:p w:rsidRPr="009B5D88" w:rsidR="00452E54" w:rsidP="005A6BBF" w:rsidRDefault="00452E54" w14:paraId="0FDD41F5" w14:textId="77777777">
      <w:pPr>
        <w:pStyle w:val="Heading3"/>
        <w:numPr>
          <w:ilvl w:val="2"/>
          <w:numId w:val="82"/>
        </w:numPr>
        <w:ind w:left="851"/>
      </w:pPr>
      <w:bookmarkStart w:name="_Toc80614235" w:id="612"/>
      <w:bookmarkStart w:name="_Toc85541500" w:id="613"/>
      <w:r w:rsidRPr="009B5D88">
        <w:lastRenderedPageBreak/>
        <w:t>The importance of access to records</w:t>
      </w:r>
      <w:bookmarkEnd w:id="612"/>
      <w:bookmarkEnd w:id="613"/>
    </w:p>
    <w:p w:rsidR="00452E54" w:rsidP="00452E54" w:rsidRDefault="00452E54" w14:paraId="36380023" w14:textId="77777777">
      <w:pPr>
        <w:rPr>
          <w:rFonts w:cs="Open Sans"/>
        </w:rPr>
      </w:pPr>
      <w:r>
        <w:rPr>
          <w:rFonts w:cs="Open Sans"/>
        </w:rPr>
        <w:t>Access to detailed health records for the individuals concerned is crucial to their self-understanding. The Commission has heard in its consultations how obtaining access to individuals’ own health records can be problematic. To ensure that, in the future, people born with variations in sex characteristics will have access to their health records, the Commission considers that healthcare providers should generally maintain lifelong patient records for this group. However, this is not the current law. Laws and policies covering access to and retention of medical records are complex. They include health professional standards,</w:t>
      </w:r>
      <w:r>
        <w:rPr>
          <w:rStyle w:val="EndnoteReference"/>
          <w:rFonts w:cs="Open Sans"/>
        </w:rPr>
        <w:endnoteReference w:id="753"/>
      </w:r>
      <w:r>
        <w:rPr>
          <w:rFonts w:cs="Open Sans"/>
        </w:rPr>
        <w:t xml:space="preserve"> and Commonwealth, state and territory privacy and health records legislation. </w:t>
      </w:r>
    </w:p>
    <w:p w:rsidR="00452E54" w:rsidP="00452E54" w:rsidRDefault="00452E54" w14:paraId="1D6A1808" w14:textId="77777777">
      <w:pPr>
        <w:rPr>
          <w:rFonts w:cs="Open Sans"/>
        </w:rPr>
      </w:pPr>
      <w:r>
        <w:rPr>
          <w:rFonts w:cs="Open Sans"/>
        </w:rPr>
        <w:t xml:space="preserve">For example, while the </w:t>
      </w:r>
      <w:r w:rsidRPr="004F7E7A">
        <w:rPr>
          <w:rFonts w:cs="Open Sans"/>
          <w:i/>
          <w:iCs/>
        </w:rPr>
        <w:t>Privacy Act 1988</w:t>
      </w:r>
      <w:r>
        <w:rPr>
          <w:rFonts w:cs="Open Sans"/>
        </w:rPr>
        <w:t xml:space="preserve"> (Cth) </w:t>
      </w:r>
      <w:r w:rsidRPr="00E318EB">
        <w:rPr>
          <w:rFonts w:cs="Open Sans"/>
        </w:rPr>
        <w:t xml:space="preserve">gives </w:t>
      </w:r>
      <w:r>
        <w:rPr>
          <w:rFonts w:cs="Open Sans"/>
        </w:rPr>
        <w:t>people</w:t>
      </w:r>
      <w:r w:rsidRPr="00E318EB">
        <w:rPr>
          <w:rFonts w:cs="Open Sans"/>
        </w:rPr>
        <w:t xml:space="preserve"> a general right to request access to the health information a health service provider holds about </w:t>
      </w:r>
      <w:r>
        <w:rPr>
          <w:rFonts w:cs="Open Sans"/>
        </w:rPr>
        <w:t>them, s</w:t>
      </w:r>
      <w:r w:rsidRPr="00C43FB0">
        <w:rPr>
          <w:rFonts w:cs="Open Sans"/>
        </w:rPr>
        <w:t xml:space="preserve">tate or territory laws cover health information </w:t>
      </w:r>
      <w:r>
        <w:rPr>
          <w:rFonts w:cs="Open Sans"/>
        </w:rPr>
        <w:t xml:space="preserve">held by </w:t>
      </w:r>
      <w:r w:rsidRPr="00C43FB0">
        <w:rPr>
          <w:rFonts w:cs="Open Sans"/>
        </w:rPr>
        <w:t>public hospital</w:t>
      </w:r>
      <w:r>
        <w:rPr>
          <w:rFonts w:cs="Open Sans"/>
        </w:rPr>
        <w:t>s.</w:t>
      </w:r>
      <w:r>
        <w:rPr>
          <w:rStyle w:val="EndnoteReference"/>
          <w:rFonts w:cs="Open Sans"/>
        </w:rPr>
        <w:endnoteReference w:id="754"/>
      </w:r>
    </w:p>
    <w:p w:rsidR="00452E54" w:rsidP="00452E54" w:rsidRDefault="00452E54" w14:paraId="0A28B22B" w14:textId="77777777">
      <w:pPr>
        <w:rPr>
          <w:rFonts w:cs="Open Sans"/>
        </w:rPr>
      </w:pPr>
      <w:r>
        <w:rPr>
          <w:rFonts w:cs="Open Sans"/>
        </w:rPr>
        <w:t xml:space="preserve">The </w:t>
      </w:r>
      <w:r w:rsidRPr="004F7E7A">
        <w:rPr>
          <w:rFonts w:cs="Open Sans"/>
          <w:i/>
          <w:iCs/>
        </w:rPr>
        <w:t xml:space="preserve">Privacy Act </w:t>
      </w:r>
      <w:r>
        <w:rPr>
          <w:rFonts w:cs="Open Sans"/>
        </w:rPr>
        <w:t>provides that</w:t>
      </w:r>
      <w:r w:rsidRPr="0035255A">
        <w:rPr>
          <w:rFonts w:cs="Open Sans"/>
        </w:rPr>
        <w:t xml:space="preserve"> </w:t>
      </w:r>
      <w:r>
        <w:rPr>
          <w:rFonts w:cs="Open Sans"/>
        </w:rPr>
        <w:t xml:space="preserve">personal information, including </w:t>
      </w:r>
      <w:r w:rsidRPr="0035255A">
        <w:rPr>
          <w:rFonts w:cs="Open Sans"/>
        </w:rPr>
        <w:t>health information</w:t>
      </w:r>
      <w:r>
        <w:rPr>
          <w:rFonts w:cs="Open Sans"/>
        </w:rPr>
        <w:t>,</w:t>
      </w:r>
      <w:r w:rsidRPr="0035255A">
        <w:rPr>
          <w:rFonts w:cs="Open Sans"/>
        </w:rPr>
        <w:t xml:space="preserve"> </w:t>
      </w:r>
      <w:r>
        <w:rPr>
          <w:rFonts w:cs="Open Sans"/>
        </w:rPr>
        <w:t>should be</w:t>
      </w:r>
      <w:r w:rsidRPr="0035255A">
        <w:rPr>
          <w:rFonts w:cs="Open Sans"/>
        </w:rPr>
        <w:t xml:space="preserve"> destroyed or permanently de-identified once it is no longer</w:t>
      </w:r>
      <w:r>
        <w:rPr>
          <w:rFonts w:cs="Open Sans"/>
        </w:rPr>
        <w:t xml:space="preserve"> </w:t>
      </w:r>
      <w:r w:rsidRPr="0035255A">
        <w:rPr>
          <w:rFonts w:cs="Open Sans"/>
        </w:rPr>
        <w:t>needed for any authorised use or disclosure.</w:t>
      </w:r>
      <w:r>
        <w:rPr>
          <w:rStyle w:val="EndnoteReference"/>
          <w:rFonts w:cs="Open Sans"/>
        </w:rPr>
        <w:endnoteReference w:id="755"/>
      </w:r>
      <w:r>
        <w:rPr>
          <w:rFonts w:cs="Open Sans"/>
        </w:rPr>
        <w:t xml:space="preserve"> </w:t>
      </w:r>
    </w:p>
    <w:p w:rsidR="00452E54" w:rsidP="00452E54" w:rsidRDefault="00452E54" w14:paraId="5647C521" w14:textId="77777777">
      <w:pPr>
        <w:rPr>
          <w:rFonts w:cs="Open Sans"/>
        </w:rPr>
      </w:pPr>
      <w:r w:rsidRPr="0035255A">
        <w:rPr>
          <w:rFonts w:cs="Open Sans"/>
        </w:rPr>
        <w:t xml:space="preserve">However, </w:t>
      </w:r>
      <w:r>
        <w:rPr>
          <w:rFonts w:cs="Open Sans"/>
        </w:rPr>
        <w:t xml:space="preserve">legislation in </w:t>
      </w:r>
      <w:r w:rsidRPr="0035255A">
        <w:rPr>
          <w:rFonts w:cs="Open Sans"/>
        </w:rPr>
        <w:t>NSW</w:t>
      </w:r>
      <w:r>
        <w:rPr>
          <w:rFonts w:cs="Open Sans"/>
        </w:rPr>
        <w:t xml:space="preserve">, </w:t>
      </w:r>
      <w:r w:rsidRPr="0035255A">
        <w:rPr>
          <w:rFonts w:cs="Open Sans"/>
        </w:rPr>
        <w:t>Victoria</w:t>
      </w:r>
      <w:r>
        <w:rPr>
          <w:rFonts w:cs="Open Sans"/>
        </w:rPr>
        <w:t xml:space="preserve"> and the</w:t>
      </w:r>
      <w:r w:rsidRPr="0035255A">
        <w:rPr>
          <w:rFonts w:cs="Open Sans"/>
        </w:rPr>
        <w:t xml:space="preserve"> ACT require</w:t>
      </w:r>
      <w:r>
        <w:rPr>
          <w:rFonts w:cs="Open Sans"/>
        </w:rPr>
        <w:t>s</w:t>
      </w:r>
      <w:r w:rsidRPr="0035255A">
        <w:rPr>
          <w:rFonts w:cs="Open Sans"/>
        </w:rPr>
        <w:t xml:space="preserve"> medical records to be retained until a child turns 25, and for adults,</w:t>
      </w:r>
      <w:r>
        <w:rPr>
          <w:rFonts w:cs="Open Sans"/>
        </w:rPr>
        <w:t xml:space="preserve"> </w:t>
      </w:r>
      <w:r w:rsidRPr="0035255A">
        <w:rPr>
          <w:rFonts w:cs="Open Sans"/>
        </w:rPr>
        <w:t>for seven years from the date of the provision of the last health service.</w:t>
      </w:r>
      <w:r w:rsidRPr="0117CC5D">
        <w:rPr>
          <w:rStyle w:val="EndnoteReference"/>
          <w:rFonts w:cs="Open Sans"/>
        </w:rPr>
        <w:endnoteReference w:id="756"/>
      </w:r>
      <w:r w:rsidRPr="00BA0E9C">
        <w:rPr>
          <w:rFonts w:cs="Open Sans"/>
          <w:sz w:val="20"/>
          <w:szCs w:val="20"/>
        </w:rPr>
        <w:t xml:space="preserve"> </w:t>
      </w:r>
      <w:r>
        <w:rPr>
          <w:rFonts w:cs="Open Sans"/>
        </w:rPr>
        <w:t>Health information held by government agencies, including public hospitals, may be subject to longer retention periods under public records legislation.</w:t>
      </w:r>
      <w:r w:rsidRPr="0117CC5D">
        <w:rPr>
          <w:rStyle w:val="EndnoteReference"/>
          <w:rFonts w:cs="Open Sans"/>
        </w:rPr>
        <w:endnoteReference w:id="757"/>
      </w:r>
      <w:r>
        <w:rPr>
          <w:rFonts w:cs="Open Sans"/>
        </w:rPr>
        <w:t xml:space="preserve"> </w:t>
      </w:r>
      <w:r w:rsidRPr="0035255A">
        <w:rPr>
          <w:rFonts w:cs="Open Sans"/>
        </w:rPr>
        <w:t>Th</w:t>
      </w:r>
      <w:r>
        <w:rPr>
          <w:rFonts w:cs="Open Sans"/>
        </w:rPr>
        <w:t xml:space="preserve">ese obligations </w:t>
      </w:r>
      <w:r w:rsidRPr="0035255A">
        <w:rPr>
          <w:rFonts w:cs="Open Sans"/>
        </w:rPr>
        <w:t xml:space="preserve">override the </w:t>
      </w:r>
      <w:r w:rsidRPr="00D95394">
        <w:rPr>
          <w:rFonts w:cs="Open Sans"/>
          <w:i/>
          <w:iCs/>
        </w:rPr>
        <w:t>Privacy Act</w:t>
      </w:r>
      <w:r w:rsidRPr="0035255A">
        <w:rPr>
          <w:rFonts w:cs="Open Sans"/>
        </w:rPr>
        <w:t>.</w:t>
      </w:r>
    </w:p>
    <w:p w:rsidR="00452E54" w:rsidP="00452E54" w:rsidRDefault="00452E54" w14:paraId="1A6274F5" w14:textId="77777777">
      <w:pPr>
        <w:rPr>
          <w:rFonts w:cs="Open Sans"/>
        </w:rPr>
      </w:pPr>
      <w:r>
        <w:rPr>
          <w:rFonts w:cs="Open Sans"/>
        </w:rPr>
        <w:t>It would be difficult to frame legislative provisions applying specifically to the retention of medical records of people born with variations in sex characteristics. While t</w:t>
      </w:r>
      <w:r w:rsidRPr="00AD587F">
        <w:rPr>
          <w:rFonts w:cs="Open Sans"/>
        </w:rPr>
        <w:t>he</w:t>
      </w:r>
      <w:r>
        <w:rPr>
          <w:rFonts w:cs="Open Sans"/>
        </w:rPr>
        <w:t xml:space="preserve"> Commission is not in a position to make recommendations for legislative change in this area, these issues deserve further consideration. For example, there may be no reason other states and territories should not adopt the seven-year retention rule applicable in </w:t>
      </w:r>
      <w:r w:rsidRPr="0035255A">
        <w:rPr>
          <w:rFonts w:cs="Open Sans"/>
        </w:rPr>
        <w:t>NSW</w:t>
      </w:r>
      <w:r>
        <w:rPr>
          <w:rFonts w:cs="Open Sans"/>
        </w:rPr>
        <w:t xml:space="preserve">, </w:t>
      </w:r>
      <w:r w:rsidRPr="0035255A">
        <w:rPr>
          <w:rFonts w:cs="Open Sans"/>
        </w:rPr>
        <w:t>Victoria</w:t>
      </w:r>
      <w:r>
        <w:rPr>
          <w:rFonts w:cs="Open Sans"/>
        </w:rPr>
        <w:t xml:space="preserve"> and the</w:t>
      </w:r>
      <w:r w:rsidRPr="0035255A">
        <w:rPr>
          <w:rFonts w:cs="Open Sans"/>
        </w:rPr>
        <w:t xml:space="preserve"> ACT</w:t>
      </w:r>
      <w:r>
        <w:rPr>
          <w:rFonts w:cs="Open Sans"/>
        </w:rPr>
        <w:t>.</w:t>
      </w:r>
    </w:p>
    <w:p w:rsidR="00452E54" w:rsidP="00452E54" w:rsidRDefault="00452E54" w14:paraId="4E2D990B" w14:textId="77777777">
      <w:pPr>
        <w:rPr>
          <w:rFonts w:cs="Open Sans"/>
        </w:rPr>
      </w:pPr>
      <w:r>
        <w:rPr>
          <w:rFonts w:cs="Open Sans"/>
        </w:rPr>
        <w:t>Issues concerning access to and retention of the medical records of people born with variations in sex characteristics are matters that could also be considered by the</w:t>
      </w:r>
      <w:r w:rsidRPr="00D24922">
        <w:t xml:space="preserve"> </w:t>
      </w:r>
      <w:r w:rsidRPr="008325E7">
        <w:t xml:space="preserve">multidisciplinary expert </w:t>
      </w:r>
      <w:r w:rsidRPr="009C3364">
        <w:t>group (Recommendation 6).</w:t>
      </w:r>
      <w:r>
        <w:t xml:space="preserve"> </w:t>
      </w:r>
    </w:p>
    <w:p w:rsidR="00452E54" w:rsidP="00452E54" w:rsidRDefault="00452E54" w14:paraId="4655241F" w14:textId="77777777">
      <w:r>
        <w:lastRenderedPageBreak/>
        <w:t xml:space="preserve">Some features of the Australian Government’s My Health Record system may be of assistance to people born with variations in sex characteristics. </w:t>
      </w:r>
      <w:r w:rsidRPr="00651FE6">
        <w:rPr>
          <w:rFonts w:eastAsia="Times New Roman" w:cs="Open Sans"/>
        </w:rPr>
        <w:t xml:space="preserve">My Health Record is an online summary of an individual’s health information, accessible to any healthcare professional involved in the individual’s care. </w:t>
      </w:r>
      <w:r>
        <w:rPr>
          <w:rFonts w:eastAsia="Times New Roman" w:cs="Open Sans"/>
        </w:rPr>
        <w:t>Importantly, My Health Records information is retained for the life of the individual, unless they cancel their registration.</w:t>
      </w:r>
      <w:r w:rsidRPr="0117CC5D">
        <w:rPr>
          <w:rStyle w:val="EndnoteReference"/>
        </w:rPr>
        <w:endnoteReference w:id="758"/>
      </w:r>
      <w:r>
        <w:t xml:space="preserve"> </w:t>
      </w:r>
    </w:p>
    <w:p w:rsidR="00452E54" w:rsidP="00452E54" w:rsidRDefault="00452E54" w14:paraId="4B578D08" w14:textId="77777777">
      <w:r>
        <w:rPr>
          <w:rFonts w:eastAsia="Times New Roman" w:cs="Open Sans"/>
          <w:color w:val="000000"/>
        </w:rPr>
        <w:t xml:space="preserve">Children younger than 14 years of age must have </w:t>
      </w:r>
      <w:r w:rsidRPr="00AD7A6A">
        <w:rPr>
          <w:rFonts w:eastAsia="Times New Roman" w:cs="Open Sans"/>
          <w:color w:val="000000"/>
        </w:rPr>
        <w:t>their My Health Record managed</w:t>
      </w:r>
      <w:r>
        <w:rPr>
          <w:rFonts w:eastAsia="Times New Roman" w:cs="Open Sans"/>
          <w:color w:val="000000"/>
        </w:rPr>
        <w:t xml:space="preserve"> by their parents. </w:t>
      </w:r>
      <w:r w:rsidRPr="00486965">
        <w:rPr>
          <w:rFonts w:eastAsia="Times New Roman" w:cs="Open Sans"/>
          <w:color w:val="000000"/>
        </w:rPr>
        <w:t>From the age of 14</w:t>
      </w:r>
      <w:r>
        <w:rPr>
          <w:rFonts w:eastAsia="Times New Roman" w:cs="Open Sans"/>
          <w:color w:val="000000"/>
        </w:rPr>
        <w:t xml:space="preserve"> years</w:t>
      </w:r>
      <w:r w:rsidRPr="00486965">
        <w:rPr>
          <w:rFonts w:eastAsia="Times New Roman" w:cs="Open Sans"/>
          <w:color w:val="000000"/>
        </w:rPr>
        <w:t xml:space="preserve">, young people are deemed by the Australian Digital Health Agency </w:t>
      </w:r>
      <w:r>
        <w:rPr>
          <w:rFonts w:eastAsia="Times New Roman" w:cs="Open Sans"/>
          <w:color w:val="000000"/>
        </w:rPr>
        <w:t>to be allowed</w:t>
      </w:r>
      <w:r w:rsidRPr="00486965">
        <w:rPr>
          <w:rFonts w:eastAsia="Times New Roman" w:cs="Open Sans"/>
          <w:color w:val="000000"/>
        </w:rPr>
        <w:t xml:space="preserve"> </w:t>
      </w:r>
      <w:r>
        <w:rPr>
          <w:rFonts w:eastAsia="Times New Roman" w:cs="Open Sans"/>
          <w:color w:val="000000"/>
        </w:rPr>
        <w:t xml:space="preserve">to </w:t>
      </w:r>
      <w:r w:rsidRPr="00486965">
        <w:rPr>
          <w:rFonts w:eastAsia="Times New Roman" w:cs="Open Sans"/>
          <w:color w:val="000000"/>
        </w:rPr>
        <w:t>control their record.</w:t>
      </w:r>
      <w:r w:rsidRPr="0117CC5D">
        <w:rPr>
          <w:rStyle w:val="EndnoteReference"/>
          <w:rFonts w:eastAsia="Times New Roman" w:cs="Open Sans"/>
          <w:color w:val="000000"/>
        </w:rPr>
        <w:endnoteReference w:id="759"/>
      </w:r>
      <w:r>
        <w:rPr>
          <w:rFonts w:eastAsia="Times New Roman" w:cs="Open Sans"/>
          <w:color w:val="000000"/>
        </w:rPr>
        <w:t xml:space="preserve"> </w:t>
      </w:r>
      <w:r w:rsidRPr="00486965">
        <w:rPr>
          <w:rFonts w:eastAsia="Times New Roman" w:cs="Open Sans"/>
          <w:color w:val="000000"/>
        </w:rPr>
        <w:t>This means that from this point, they can choose to prohibit their parents</w:t>
      </w:r>
      <w:r>
        <w:rPr>
          <w:rFonts w:eastAsia="Times New Roman" w:cs="Open Sans"/>
          <w:color w:val="000000"/>
        </w:rPr>
        <w:t xml:space="preserve"> or </w:t>
      </w:r>
      <w:r w:rsidRPr="00486965">
        <w:rPr>
          <w:rFonts w:eastAsia="Times New Roman" w:cs="Open Sans"/>
          <w:color w:val="000000"/>
        </w:rPr>
        <w:t>guardians from accessing their record.</w:t>
      </w:r>
    </w:p>
    <w:p w:rsidR="00452E54" w:rsidP="00452E54" w:rsidRDefault="00452E54" w14:paraId="78CA4897" w14:textId="77777777">
      <w:r>
        <w:t xml:space="preserve">People born with variations in sex characteristics need to feel comfortable with, supported and proficient at, sharing relevant parts of their health record with healthcare professionals. Repetition of medical history can be time-consuming and distressing. The My Health Record is designed to facilitate record sharing. </w:t>
      </w:r>
    </w:p>
    <w:p w:rsidR="00452E54" w:rsidP="00452E54" w:rsidRDefault="00452E54" w14:paraId="034FBD26" w14:textId="77777777">
      <w:pPr>
        <w:autoSpaceDE w:val="0"/>
        <w:autoSpaceDN w:val="0"/>
        <w:adjustRightInd w:val="0"/>
        <w:spacing w:before="0" w:after="0"/>
        <w:rPr>
          <w:rFonts w:eastAsia="Times New Roman" w:cs="Open Sans"/>
        </w:rPr>
      </w:pPr>
      <w:r w:rsidRPr="00651FE6">
        <w:rPr>
          <w:rFonts w:eastAsia="Times New Roman" w:cs="Open Sans"/>
        </w:rPr>
        <w:t>The improved accessibility is of particular benefit for individuals with several comorbidities who have complex care arrangements involving multiple healthcare settings</w:t>
      </w:r>
      <w:r>
        <w:rPr>
          <w:rFonts w:eastAsia="Times New Roman" w:cs="Open Sans"/>
        </w:rPr>
        <w:t>, such as some people born with variations in sex characteristics.</w:t>
      </w:r>
      <w:r w:rsidRPr="002D397E">
        <w:rPr>
          <w:rFonts w:eastAsia="Times New Roman" w:cs="Open Sans"/>
        </w:rPr>
        <w:t xml:space="preserve"> </w:t>
      </w:r>
      <w:r w:rsidRPr="00651FE6">
        <w:rPr>
          <w:rFonts w:eastAsia="Times New Roman" w:cs="Open Sans"/>
        </w:rPr>
        <w:t>The ability to select which documents are seen by whom allows the record to be tailored to individual preferences, so people who have experienced stigma can more confidently engage with the system.</w:t>
      </w:r>
    </w:p>
    <w:p w:rsidRPr="00AB0505" w:rsidR="00452E54" w:rsidP="00452E54" w:rsidRDefault="00452E54" w14:paraId="25180AB0" w14:textId="77777777">
      <w:r>
        <w:t>People with variations in sex characteristics, and their parents, should be supported by their healthcare providers and peer support organisations, to consider using this electronic health record as a means of sharing their health information with trusted health professionals.</w:t>
      </w:r>
    </w:p>
    <w:p w:rsidR="00452E54" w:rsidP="00452E54" w:rsidRDefault="00452E54" w14:paraId="265EB80A" w14:textId="77777777">
      <w:pPr>
        <w:pStyle w:val="AHRCHeading2"/>
      </w:pPr>
      <w:bookmarkStart w:name="_Toc80614236" w:id="614"/>
      <w:bookmarkStart w:name="_Toc85541501" w:id="615"/>
      <w:r>
        <w:t>Data collection</w:t>
      </w:r>
      <w:bookmarkEnd w:id="614"/>
      <w:bookmarkEnd w:id="615"/>
    </w:p>
    <w:p w:rsidR="00452E54" w:rsidP="00452E54" w:rsidRDefault="00452E54" w14:paraId="1AC727A9" w14:textId="77777777">
      <w:r>
        <w:t xml:space="preserve">There is a significant disagreement among stakeholders on the health and psychosocial effects of medical interventions for people with variations in sex </w:t>
      </w:r>
      <w:r>
        <w:lastRenderedPageBreak/>
        <w:t xml:space="preserve">characteristics. There is also disagreement about whether problematic practices are confined to the past or continue to occur. </w:t>
      </w:r>
    </w:p>
    <w:p w:rsidR="00452E54" w:rsidP="00452E54" w:rsidRDefault="00452E54" w14:paraId="65493192" w14:textId="77777777">
      <w:r>
        <w:t xml:space="preserve">The collection of better long-term, longitudinal data on past and current practices may greatly assist to assess the extent of interventions that are occurring and their outcomes. </w:t>
      </w:r>
    </w:p>
    <w:p w:rsidR="00452E54" w:rsidP="00452E54" w:rsidRDefault="00452E54" w14:paraId="43FF8A33" w14:textId="77777777">
      <w:r>
        <w:t>Clinicians stated that some more invasive interventions, which</w:t>
      </w:r>
      <w:r w:rsidDel="00CA07F1">
        <w:t xml:space="preserve"> </w:t>
      </w:r>
      <w:r>
        <w:t>historically were routinely undertaken, are no longer conducted in light of evolving science.</w:t>
      </w:r>
      <w:r w:rsidRPr="0117CC5D">
        <w:rPr>
          <w:rStyle w:val="EndnoteReference"/>
        </w:rPr>
        <w:endnoteReference w:id="760"/>
      </w:r>
      <w:r>
        <w:t xml:space="preserve"> Some clinicians conceded that interventions have been carried out that should not have occurred, resulting in significant health issues for some individuals.</w:t>
      </w:r>
      <w:r w:rsidRPr="0117CC5D">
        <w:rPr>
          <w:rStyle w:val="EndnoteReference"/>
        </w:rPr>
        <w:endnoteReference w:id="761"/>
      </w:r>
      <w:r>
        <w:t xml:space="preserve"> </w:t>
      </w:r>
    </w:p>
    <w:p w:rsidR="00452E54" w:rsidP="00452E54" w:rsidRDefault="00452E54" w14:paraId="3D65B067" w14:textId="2CAA752F">
      <w:r>
        <w:t xml:space="preserve">As discussed in </w:t>
      </w:r>
      <w:r w:rsidRPr="00B56AF0">
        <w:t>Chapter 3 – Lived experience, many clinicians</w:t>
      </w:r>
      <w:r>
        <w:t xml:space="preserve"> assert that the fact some people report negative experiences with medical interventions is not indicative of any ongoing problem in medical practice, because</w:t>
      </w:r>
    </w:p>
    <w:p w:rsidR="00452E54" w:rsidP="00452E54" w:rsidRDefault="00452E54" w14:paraId="012D2C26" w14:textId="77777777">
      <w:pPr>
        <w:pStyle w:val="ListParagraph"/>
        <w:numPr>
          <w:ilvl w:val="0"/>
          <w:numId w:val="75"/>
        </w:numPr>
      </w:pPr>
      <w:r>
        <w:t>contemporary medical practice is much more cautious than in the past, so none of the problematic interventions that led to negative outcomes are still being conducted</w:t>
      </w:r>
    </w:p>
    <w:p w:rsidR="00452E54" w:rsidP="00452E54" w:rsidRDefault="00452E54" w14:paraId="3D036148" w14:textId="77777777">
      <w:pPr>
        <w:pStyle w:val="ListParagraph"/>
        <w:numPr>
          <w:ilvl w:val="0"/>
          <w:numId w:val="75"/>
        </w:numPr>
      </w:pPr>
      <w:r>
        <w:t>there is a silent ‘majority’ who are satisfied with their interventions.</w:t>
      </w:r>
      <w:r w:rsidRPr="0117CC5D">
        <w:rPr>
          <w:rStyle w:val="EndnoteReference"/>
        </w:rPr>
        <w:endnoteReference w:id="762"/>
      </w:r>
    </w:p>
    <w:p w:rsidR="00452E54" w:rsidP="00452E54" w:rsidRDefault="00452E54" w14:paraId="45B7D8D4" w14:textId="77777777">
      <w:r>
        <w:t>Many p</w:t>
      </w:r>
      <w:r w:rsidRPr="004F4A06">
        <w:t xml:space="preserve">eople with lived experience </w:t>
      </w:r>
      <w:r>
        <w:t xml:space="preserve">of variations in sex characteristics </w:t>
      </w:r>
      <w:r w:rsidRPr="004F4A06">
        <w:t>and their representative organisations, on the other hand, stated that there has been no comprehensive research to provide evidence about the nature and extent of past and current medical interventions or their outcomes, including in relation to the wellbeing of people with variations in sex characteristics.</w:t>
      </w:r>
      <w:r w:rsidRPr="00B56AF0">
        <w:rPr>
          <w:rStyle w:val="EndnoteReference"/>
          <w:sz w:val="22"/>
          <w:szCs w:val="22"/>
        </w:rPr>
        <w:endnoteReference w:id="763"/>
      </w:r>
      <w:r w:rsidRPr="004F4A06">
        <w:t xml:space="preserve"> </w:t>
      </w:r>
      <w:r>
        <w:t xml:space="preserve">In the absence of such data, they argue there is no evidence to support the view that fewer medical interventions are occurring or that those which are being conducted do not have negative consequences. </w:t>
      </w:r>
    </w:p>
    <w:p w:rsidRPr="00EF3F94" w:rsidR="00452E54" w:rsidP="005A6BBF" w:rsidRDefault="00452E54" w14:paraId="390621DF" w14:textId="77777777">
      <w:pPr>
        <w:pStyle w:val="Heading3"/>
        <w:numPr>
          <w:ilvl w:val="2"/>
          <w:numId w:val="83"/>
        </w:numPr>
        <w:tabs>
          <w:tab w:val="clear" w:pos="8222"/>
        </w:tabs>
        <w:ind w:left="851"/>
      </w:pPr>
      <w:bookmarkStart w:name="_Toc80614237" w:id="616"/>
      <w:bookmarkStart w:name="_Toc85541502" w:id="617"/>
      <w:r w:rsidRPr="00EF3F94">
        <w:t>Lack of data</w:t>
      </w:r>
      <w:bookmarkEnd w:id="616"/>
      <w:bookmarkEnd w:id="617"/>
    </w:p>
    <w:p w:rsidR="00452E54" w:rsidP="00452E54" w:rsidRDefault="00452E54" w14:paraId="3B4E2E38" w14:textId="77777777">
      <w:r>
        <w:t>Stakeholders agreed that data about the consequences of medical interventions, including long-term outcomes, has been lacking.</w:t>
      </w:r>
      <w:r w:rsidRPr="0117CC5D">
        <w:rPr>
          <w:rStyle w:val="EndnoteReference"/>
        </w:rPr>
        <w:endnoteReference w:id="764"/>
      </w:r>
      <w:r>
        <w:t xml:space="preserve">  </w:t>
      </w:r>
    </w:p>
    <w:p w:rsidR="00452E54" w:rsidP="00452E54" w:rsidRDefault="00452E54" w14:paraId="414FFBC0" w14:textId="77777777">
      <w:r>
        <w:t>Some clinicians also observed the paucity of data on outcomes for individuals who do not under undergo interventions.</w:t>
      </w:r>
      <w:r w:rsidRPr="0117CC5D">
        <w:rPr>
          <w:rStyle w:val="EndnoteReference"/>
        </w:rPr>
        <w:endnoteReference w:id="765"/>
      </w:r>
      <w:r>
        <w:t xml:space="preserve"> The Australasian Paediatric Endocrine Group stated:</w:t>
      </w:r>
    </w:p>
    <w:p w:rsidR="00452E54" w:rsidP="00452E54" w:rsidRDefault="00452E54" w14:paraId="3479D3AF" w14:textId="77777777">
      <w:pPr>
        <w:ind w:left="720"/>
        <w:rPr>
          <w:sz w:val="22"/>
          <w:szCs w:val="22"/>
        </w:rPr>
      </w:pPr>
      <w:r w:rsidRPr="00EB6396">
        <w:rPr>
          <w:sz w:val="22"/>
          <w:szCs w:val="22"/>
        </w:rPr>
        <w:lastRenderedPageBreak/>
        <w:t>We agree there is a lack of Australian and international data available on people born with variations in sex characteristics including their investigations, management and long</w:t>
      </w:r>
      <w:r>
        <w:rPr>
          <w:sz w:val="22"/>
          <w:szCs w:val="22"/>
        </w:rPr>
        <w:t>-</w:t>
      </w:r>
      <w:r w:rsidRPr="00EB6396">
        <w:rPr>
          <w:sz w:val="22"/>
          <w:szCs w:val="22"/>
        </w:rPr>
        <w:t>term outcome. There are no reliable, easily accessible Australian sources of data on contemporary medical interventions in individuals born with variations in sex development. This is a significant limitation to both the provision of care and the development of evidence based optimal care guidelines for different variations. Studies that exist provide cross-sectional ‘snapshot’ insights, but have significant limitations, particularly in relation to selection bias and difficulties in recruitment of cohorts that are representative of the broader population of people with variations in sex development.</w:t>
      </w:r>
      <w:r w:rsidRPr="0117CC5D">
        <w:rPr>
          <w:rStyle w:val="EndnoteReference"/>
        </w:rPr>
        <w:endnoteReference w:id="766"/>
      </w:r>
    </w:p>
    <w:p w:rsidR="00452E54" w:rsidP="00452E54" w:rsidRDefault="00452E54" w14:paraId="40BABFBC" w14:textId="77777777">
      <w:r>
        <w:t>It also stated that existing medical evidence ‘is almost uniformly sparse when it comes to the rarer variations of sex characteristics’.</w:t>
      </w:r>
      <w:r w:rsidRPr="0117CC5D">
        <w:rPr>
          <w:rStyle w:val="EndnoteReference"/>
        </w:rPr>
        <w:endnoteReference w:id="767"/>
      </w:r>
    </w:p>
    <w:p w:rsidR="00452E54" w:rsidP="00452E54" w:rsidRDefault="00452E54" w14:paraId="575A5CFF" w14:textId="77777777">
      <w:pPr>
        <w:rPr>
          <w:rFonts w:cs="Open Sans"/>
        </w:rPr>
      </w:pPr>
      <w:r>
        <w:rPr>
          <w:rFonts w:cs="Open Sans"/>
        </w:rPr>
        <w:t xml:space="preserve">A </w:t>
      </w:r>
      <w:r w:rsidRPr="00032634">
        <w:rPr>
          <w:rFonts w:cs="Open Sans"/>
        </w:rPr>
        <w:t>hospital multi-disciplinary team</w:t>
      </w:r>
      <w:r>
        <w:rPr>
          <w:rFonts w:cs="Open Sans"/>
        </w:rPr>
        <w:t xml:space="preserve"> observed that</w:t>
      </w:r>
      <w:r w:rsidRPr="000E7AED">
        <w:t xml:space="preserve"> </w:t>
      </w:r>
      <w:r w:rsidRPr="00EF3F94">
        <w:t>there is</w:t>
      </w:r>
      <w:r>
        <w:t xml:space="preserve"> </w:t>
      </w:r>
      <w:r w:rsidRPr="00EF3F94">
        <w:t>a</w:t>
      </w:r>
      <w:r>
        <w:t xml:space="preserve"> paucity of </w:t>
      </w:r>
      <w:r w:rsidRPr="00EF3F94">
        <w:t>evidence to provide guidance for treatment</w:t>
      </w:r>
      <w:r>
        <w:t>:</w:t>
      </w:r>
    </w:p>
    <w:p w:rsidRPr="00494374" w:rsidR="00452E54" w:rsidP="00452E54" w:rsidRDefault="00452E54" w14:paraId="40AE8A56" w14:textId="77777777">
      <w:pPr>
        <w:ind w:left="720"/>
        <w:rPr>
          <w:sz w:val="22"/>
          <w:szCs w:val="22"/>
        </w:rPr>
      </w:pPr>
      <w:r w:rsidRPr="00494374">
        <w:rPr>
          <w:rFonts w:cs="Open Sans"/>
          <w:sz w:val="22"/>
          <w:szCs w:val="22"/>
        </w:rPr>
        <w:t>guidance for intervention was often very broad, with specific evidence pertaining to any given DSD variation frequently based on results of un-pooled data, small sample sizes and centre experience rather than on systematic review or meta-analysis of high quality data.</w:t>
      </w:r>
      <w:r w:rsidRPr="0117CC5D">
        <w:rPr>
          <w:rStyle w:val="EndnoteReference"/>
          <w:rFonts w:cs="Open Sans"/>
        </w:rPr>
        <w:endnoteReference w:id="768"/>
      </w:r>
    </w:p>
    <w:p w:rsidR="00452E54" w:rsidP="00452E54" w:rsidRDefault="00452E54" w14:paraId="02FDEE12" w14:textId="77777777">
      <w:r>
        <w:t xml:space="preserve">Another </w:t>
      </w:r>
      <w:r w:rsidRPr="00032634">
        <w:rPr>
          <w:rFonts w:cs="Open Sans"/>
        </w:rPr>
        <w:t>hospital multi-disciplinary team</w:t>
      </w:r>
      <w:r>
        <w:t xml:space="preserve"> stated, in relation to the timing of interventions, that t</w:t>
      </w:r>
      <w:r w:rsidRPr="007D1499">
        <w:t xml:space="preserve">here is </w:t>
      </w:r>
      <w:r>
        <w:t>‘</w:t>
      </w:r>
      <w:r w:rsidRPr="007D1499">
        <w:t>little evidence to support the long term psychological effect of early or delayed surgery</w:t>
      </w:r>
      <w:r>
        <w:t>’</w:t>
      </w:r>
      <w:r w:rsidRPr="007D1499">
        <w:t>.</w:t>
      </w:r>
      <w:r w:rsidRPr="0117CC5D">
        <w:rPr>
          <w:rStyle w:val="EndnoteReference"/>
        </w:rPr>
        <w:endnoteReference w:id="769"/>
      </w:r>
      <w:r w:rsidRPr="00522EE6">
        <w:rPr>
          <w:sz w:val="20"/>
          <w:szCs w:val="20"/>
        </w:rPr>
        <w:t xml:space="preserve"> </w:t>
      </w:r>
    </w:p>
    <w:p w:rsidR="00452E54" w:rsidP="00452E54" w:rsidRDefault="00452E54" w14:paraId="62A2E06F" w14:textId="77777777">
      <w:pPr>
        <w:autoSpaceDE w:val="0"/>
        <w:autoSpaceDN w:val="0"/>
        <w:adjustRightInd w:val="0"/>
      </w:pPr>
      <w:r>
        <w:t>Some people with lived experience of variations in sex characteristics and their peer-support groups also identified a systemic lack of data.</w:t>
      </w:r>
      <w:r w:rsidRPr="0117CC5D">
        <w:rPr>
          <w:rStyle w:val="EndnoteReference"/>
        </w:rPr>
        <w:endnoteReference w:id="770"/>
      </w:r>
      <w:r>
        <w:t xml:space="preserve"> One</w:t>
      </w:r>
      <w:r w:rsidRPr="006B42D3">
        <w:t xml:space="preserve"> </w:t>
      </w:r>
      <w:r>
        <w:t>person with lived experience said</w:t>
      </w:r>
      <w:r w:rsidRPr="006B42D3">
        <w:t xml:space="preserve"> that </w:t>
      </w:r>
      <w:r>
        <w:t>‘l</w:t>
      </w:r>
      <w:r w:rsidRPr="006B42D3">
        <w:t>ife</w:t>
      </w:r>
      <w:r>
        <w:t xml:space="preserve"> </w:t>
      </w:r>
      <w:r w:rsidRPr="006B42D3">
        <w:t>long data is not in abundance because of hospitals refusal to share data</w:t>
      </w:r>
      <w:r>
        <w:t>’.</w:t>
      </w:r>
      <w:r>
        <w:rPr>
          <w:rStyle w:val="EndnoteReference"/>
        </w:rPr>
        <w:endnoteReference w:id="771"/>
      </w:r>
      <w:r>
        <w:t xml:space="preserve"> Another stated:</w:t>
      </w:r>
    </w:p>
    <w:p w:rsidR="00452E54" w:rsidP="00452E54" w:rsidRDefault="00452E54" w14:paraId="1D88EF80" w14:textId="77777777">
      <w:pPr>
        <w:autoSpaceDE w:val="0"/>
        <w:autoSpaceDN w:val="0"/>
        <w:adjustRightInd w:val="0"/>
        <w:spacing w:before="0" w:after="0"/>
        <w:ind w:left="720"/>
        <w:rPr>
          <w:rFonts w:ascii="DroidSans-Regular" w:hAnsi="DroidSans-Regular" w:cs="DroidSans-Regular"/>
          <w:sz w:val="25"/>
          <w:szCs w:val="25"/>
        </w:rPr>
      </w:pPr>
      <w:r w:rsidRPr="00DC0A1F">
        <w:rPr>
          <w:rFonts w:cs="Open Sans"/>
          <w:sz w:val="22"/>
          <w:szCs w:val="22"/>
        </w:rPr>
        <w:t>No one hospital or team can say with any accuracy or knowledge what any other hospital or team is doing. There are lots of fine words about changed practices, but no evidence of those changes. Instead, we keep seeing evidence that things haven’t changed</w:t>
      </w:r>
      <w:r>
        <w:rPr>
          <w:rFonts w:ascii="DroidSans-Regular" w:hAnsi="DroidSans-Regular" w:cs="DroidSans-Regular"/>
          <w:sz w:val="25"/>
          <w:szCs w:val="25"/>
        </w:rPr>
        <w:t>.</w:t>
      </w:r>
      <w:r>
        <w:rPr>
          <w:rStyle w:val="EndnoteReference"/>
          <w:rFonts w:ascii="DroidSans-Regular" w:hAnsi="DroidSans-Regular" w:cs="DroidSans-Regular"/>
          <w:sz w:val="25"/>
          <w:szCs w:val="25"/>
        </w:rPr>
        <w:endnoteReference w:id="772"/>
      </w:r>
    </w:p>
    <w:p w:rsidRPr="00856760" w:rsidR="00452E54" w:rsidP="00452E54" w:rsidRDefault="00452E54" w14:paraId="2958BE91" w14:textId="225E5129">
      <w:pPr>
        <w:autoSpaceDE w:val="0"/>
        <w:autoSpaceDN w:val="0"/>
        <w:adjustRightInd w:val="0"/>
        <w:rPr>
          <w:rFonts w:cs="Open Sans"/>
        </w:rPr>
      </w:pPr>
      <w:r w:rsidRPr="00856760">
        <w:rPr>
          <w:rFonts w:cs="Open Sans"/>
        </w:rPr>
        <w:lastRenderedPageBreak/>
        <w:t>A peer-support organisation also called for data that is community led, and focuses on non-medical aspects</w:t>
      </w:r>
      <w:r>
        <w:rPr>
          <w:rFonts w:cs="Open Sans"/>
        </w:rPr>
        <w:t xml:space="preserve"> of the experiences of people born with variations in sex characteristics</w:t>
      </w:r>
      <w:r w:rsidRPr="00856760">
        <w:rPr>
          <w:rFonts w:cs="Open Sans"/>
        </w:rPr>
        <w:t xml:space="preserve">, </w:t>
      </w:r>
      <w:r>
        <w:rPr>
          <w:rFonts w:cs="Open Sans"/>
        </w:rPr>
        <w:t>calling for</w:t>
      </w:r>
    </w:p>
    <w:p w:rsidRPr="00856760" w:rsidR="00452E54" w:rsidP="00452E54" w:rsidRDefault="00452E54" w14:paraId="4C939BF0" w14:textId="77777777">
      <w:pPr>
        <w:autoSpaceDE w:val="0"/>
        <w:autoSpaceDN w:val="0"/>
        <w:adjustRightInd w:val="0"/>
        <w:spacing w:before="0" w:after="0"/>
        <w:ind w:left="720"/>
        <w:rPr>
          <w:rFonts w:cs="Open Sans"/>
          <w:sz w:val="22"/>
          <w:szCs w:val="22"/>
        </w:rPr>
      </w:pPr>
      <w:r w:rsidRPr="00856760">
        <w:rPr>
          <w:rFonts w:cs="Open Sans"/>
          <w:sz w:val="22"/>
          <w:szCs w:val="22"/>
        </w:rPr>
        <w:t>ethical research, including clinical, sociological and psychological research, led by community input. Clinical research, including longitudinal research, requires true, non-medicalised controls.</w:t>
      </w:r>
      <w:r w:rsidRPr="0117CC5D">
        <w:rPr>
          <w:rStyle w:val="EndnoteReference"/>
          <w:rFonts w:cs="Open Sans"/>
        </w:rPr>
        <w:endnoteReference w:id="773"/>
      </w:r>
      <w:r w:rsidRPr="00856760">
        <w:rPr>
          <w:rFonts w:cs="Open Sans"/>
          <w:sz w:val="22"/>
          <w:szCs w:val="22"/>
        </w:rPr>
        <w:t xml:space="preserve"> </w:t>
      </w:r>
    </w:p>
    <w:p w:rsidR="00452E54" w:rsidP="005A6BBF" w:rsidRDefault="00452E54" w14:paraId="55D2292B" w14:textId="77777777">
      <w:pPr>
        <w:pStyle w:val="Heading3"/>
        <w:numPr>
          <w:ilvl w:val="2"/>
          <w:numId w:val="83"/>
        </w:numPr>
        <w:ind w:left="851"/>
      </w:pPr>
      <w:bookmarkStart w:name="_Toc80614238" w:id="618"/>
      <w:bookmarkStart w:name="_Toc85541503" w:id="619"/>
      <w:r>
        <w:t>Disagreement in the absence of data</w:t>
      </w:r>
      <w:bookmarkEnd w:id="618"/>
      <w:bookmarkEnd w:id="619"/>
    </w:p>
    <w:p w:rsidR="00452E54" w:rsidP="00452E54" w:rsidRDefault="00452E54" w14:paraId="7A822E6F" w14:textId="77777777">
      <w:r w:rsidRPr="00EF3F94">
        <w:t xml:space="preserve">The lack of </w:t>
      </w:r>
      <w:r>
        <w:t xml:space="preserve">relevant and </w:t>
      </w:r>
      <w:r w:rsidRPr="00EF3F94">
        <w:t xml:space="preserve">robust data fuelled some of the strongest disagreements among </w:t>
      </w:r>
      <w:r>
        <w:t>stakeholders</w:t>
      </w:r>
      <w:r w:rsidRPr="00EF3F94">
        <w:t>.</w:t>
      </w:r>
    </w:p>
    <w:p w:rsidR="00452E54" w:rsidP="00452E54" w:rsidRDefault="00452E54" w14:paraId="6F3C5407" w14:textId="6FC73D59">
      <w:r w:rsidRPr="00EF3F94">
        <w:t xml:space="preserve">For example, those opposing early intervention pointed to a lack of data about the efficacy and long-term effects of treatments as a basis for </w:t>
      </w:r>
      <w:r>
        <w:t>advocating for</w:t>
      </w:r>
      <w:r w:rsidRPr="00EF3F94">
        <w:t xml:space="preserve"> a conservative</w:t>
      </w:r>
      <w:r>
        <w:t>, non-interventionist</w:t>
      </w:r>
      <w:r w:rsidRPr="00EF3F94">
        <w:t xml:space="preserve"> approach</w:t>
      </w:r>
      <w:r>
        <w:t xml:space="preserve">. </w:t>
      </w:r>
      <w:r w:rsidRPr="0091204E">
        <w:t>The Royal Australian and New</w:t>
      </w:r>
      <w:r>
        <w:t xml:space="preserve"> Zealand College of Psychiatrists stated that</w:t>
      </w:r>
    </w:p>
    <w:p w:rsidRPr="002B7915" w:rsidR="00452E54" w:rsidP="00452E54" w:rsidRDefault="00452E54" w14:paraId="78708C8C" w14:textId="77777777">
      <w:pPr>
        <w:ind w:left="720"/>
        <w:rPr>
          <w:sz w:val="22"/>
          <w:szCs w:val="22"/>
        </w:rPr>
      </w:pPr>
      <w:r w:rsidRPr="002B7915">
        <w:rPr>
          <w:sz w:val="22"/>
          <w:szCs w:val="22"/>
        </w:rPr>
        <w:t>There is little evidence for sex assignment therapies leading to positive or negative mental health outcomes. Accordingly, claims that sex assignment therapies are ‘necessary’ or ‘therapeutic’ are dubious. In the absence of such evidence, decisions should be made with the understanding that the patient’s wishes are absolutely paramount.</w:t>
      </w:r>
      <w:r w:rsidRPr="0117CC5D">
        <w:rPr>
          <w:rStyle w:val="EndnoteReference"/>
        </w:rPr>
        <w:endnoteReference w:id="774"/>
      </w:r>
    </w:p>
    <w:p w:rsidR="00452E54" w:rsidP="00452E54" w:rsidRDefault="00452E54" w14:paraId="10CCC861" w14:textId="77777777">
      <w:r>
        <w:t>Stakeholders</w:t>
      </w:r>
      <w:r w:rsidRPr="00EF3F94">
        <w:t xml:space="preserve"> advocating early intervention pointed to a lack of data about the long-term effects of inaction to justify ongoing early interventions</w:t>
      </w:r>
      <w:r>
        <w:t>, because it cannot be asserted that</w:t>
      </w:r>
      <w:r w:rsidRPr="00EF3F94">
        <w:t xml:space="preserve"> deferr</w:t>
      </w:r>
      <w:r>
        <w:t>ing interventions</w:t>
      </w:r>
      <w:r w:rsidRPr="00EF3F94">
        <w:t xml:space="preserve"> </w:t>
      </w:r>
      <w:r>
        <w:t>produced better outcomes for individuals. They also argued that</w:t>
      </w:r>
      <w:r w:rsidRPr="00EF3F94">
        <w:t xml:space="preserve"> longitudinal research </w:t>
      </w:r>
      <w:r>
        <w:t xml:space="preserve">should be </w:t>
      </w:r>
      <w:r w:rsidRPr="00EF3F94">
        <w:t>undertaken to monitor medium to long</w:t>
      </w:r>
      <w:r>
        <w:t>-</w:t>
      </w:r>
      <w:r w:rsidRPr="00EF3F94">
        <w:t>term outcomes and develop an evidence base.</w:t>
      </w:r>
      <w:r w:rsidRPr="00FC1E5E">
        <w:rPr>
          <w:sz w:val="20"/>
          <w:szCs w:val="20"/>
          <w:vertAlign w:val="superscript"/>
        </w:rPr>
        <w:endnoteReference w:id="775"/>
      </w:r>
    </w:p>
    <w:p w:rsidRPr="00EF3F94" w:rsidR="00452E54" w:rsidP="00452E54" w:rsidRDefault="00452E54" w14:paraId="1B2FEBE9" w14:textId="4CD936C0">
      <w:r w:rsidRPr="00EF3F94">
        <w:t xml:space="preserve">Some </w:t>
      </w:r>
      <w:r>
        <w:t>stakeholders representing people born with variations in sex characteristics considered that a</w:t>
      </w:r>
      <w:r w:rsidRPr="00EF3F94">
        <w:t xml:space="preserve"> lack of data should </w:t>
      </w:r>
      <w:r>
        <w:t xml:space="preserve">not </w:t>
      </w:r>
      <w:r w:rsidRPr="00EF3F94">
        <w:t xml:space="preserve">be relied on to </w:t>
      </w:r>
      <w:r>
        <w:t>obstruct the</w:t>
      </w:r>
      <w:r w:rsidRPr="00EF3F94">
        <w:t xml:space="preserve"> application of a human rights</w:t>
      </w:r>
      <w:r>
        <w:t>-</w:t>
      </w:r>
      <w:r w:rsidRPr="00EF3F94">
        <w:t>based approach prohibit</w:t>
      </w:r>
      <w:r>
        <w:t xml:space="preserve">ing </w:t>
      </w:r>
      <w:r w:rsidRPr="00EF3F94">
        <w:t xml:space="preserve">certain </w:t>
      </w:r>
      <w:r>
        <w:t>categories</w:t>
      </w:r>
      <w:r w:rsidRPr="00EF3F94">
        <w:t xml:space="preserve"> of intervention</w:t>
      </w:r>
      <w:r>
        <w:t>. For example, one stakeholder said</w:t>
      </w:r>
    </w:p>
    <w:p w:rsidRPr="00583ED4" w:rsidR="00452E54" w:rsidP="00452E54" w:rsidRDefault="00452E54" w14:paraId="187A05BD" w14:textId="77777777">
      <w:pPr>
        <w:ind w:left="720"/>
        <w:rPr>
          <w:sz w:val="20"/>
          <w:szCs w:val="20"/>
        </w:rPr>
      </w:pPr>
      <w:r w:rsidRPr="00BE596F">
        <w:rPr>
          <w:sz w:val="22"/>
          <w:szCs w:val="22"/>
        </w:rPr>
        <w:t xml:space="preserve">We can build on this to debunk claims by clinicians </w:t>
      </w:r>
      <w:r>
        <w:rPr>
          <w:sz w:val="22"/>
          <w:szCs w:val="22"/>
        </w:rPr>
        <w:t xml:space="preserve">… </w:t>
      </w:r>
      <w:r w:rsidRPr="00BE596F">
        <w:rPr>
          <w:sz w:val="22"/>
          <w:szCs w:val="22"/>
        </w:rPr>
        <w:t xml:space="preserve">that more research and data is needed. What data is needed to determine that reducing the size of a baby girl’s clitoris is </w:t>
      </w:r>
      <w:r>
        <w:rPr>
          <w:sz w:val="22"/>
          <w:szCs w:val="22"/>
        </w:rPr>
        <w:t>OK</w:t>
      </w:r>
      <w:r w:rsidRPr="00BE596F">
        <w:rPr>
          <w:sz w:val="22"/>
          <w:szCs w:val="22"/>
        </w:rPr>
        <w:t xml:space="preserve">? Or why is data required to know that babies should not be given hormone treatment without their consent to influence their gender </w:t>
      </w:r>
      <w:r w:rsidRPr="00BE596F">
        <w:rPr>
          <w:sz w:val="22"/>
          <w:szCs w:val="22"/>
        </w:rPr>
        <w:lastRenderedPageBreak/>
        <w:t>identity and sexual orientation. Intersex conversion therapy needs to be prohibited.</w:t>
      </w:r>
      <w:r w:rsidRPr="00583ED4">
        <w:rPr>
          <w:sz w:val="20"/>
          <w:szCs w:val="20"/>
          <w:vertAlign w:val="superscript"/>
        </w:rPr>
        <w:endnoteReference w:id="776"/>
      </w:r>
    </w:p>
    <w:p w:rsidRPr="00CE4A76" w:rsidR="00452E54" w:rsidP="005A6BBF" w:rsidRDefault="00452E54" w14:paraId="1C3AF110" w14:textId="77777777">
      <w:pPr>
        <w:pStyle w:val="Heading3"/>
        <w:numPr>
          <w:ilvl w:val="2"/>
          <w:numId w:val="83"/>
        </w:numPr>
        <w:ind w:left="851"/>
      </w:pPr>
      <w:bookmarkStart w:name="_Toc80614239" w:id="620"/>
      <w:bookmarkStart w:name="_Toc85541504" w:id="621"/>
      <w:r>
        <w:t>Data collection to support optimal practice</w:t>
      </w:r>
      <w:bookmarkEnd w:id="620"/>
      <w:bookmarkEnd w:id="621"/>
    </w:p>
    <w:p w:rsidRPr="00EF3F94" w:rsidR="00452E54" w:rsidP="00452E54" w:rsidRDefault="00452E54" w14:paraId="1C3EBEA4" w14:textId="654A0BB0">
      <w:r>
        <w:t>Stakeholders</w:t>
      </w:r>
      <w:r w:rsidRPr="00EF3F94">
        <w:t xml:space="preserve"> </w:t>
      </w:r>
      <w:r>
        <w:t xml:space="preserve">from a range of sectors, including people born with variations in sex characteristics, peer support organisations, clinicians and human rights groups, </w:t>
      </w:r>
      <w:r w:rsidRPr="00EF3F94">
        <w:t>agreed that there is a pressing need for data</w:t>
      </w:r>
      <w:r>
        <w:t xml:space="preserve"> on</w:t>
      </w:r>
      <w:r w:rsidR="000D08EE">
        <w:t xml:space="preserve"> the</w:t>
      </w:r>
    </w:p>
    <w:p w:rsidRPr="00EF3F94" w:rsidR="00452E54" w:rsidP="00452E54" w:rsidRDefault="00452E54" w14:paraId="2E246C86" w14:textId="64AF48CF">
      <w:pPr>
        <w:numPr>
          <w:ilvl w:val="0"/>
          <w:numId w:val="72"/>
        </w:numPr>
      </w:pPr>
      <w:r>
        <w:t>frequency</w:t>
      </w:r>
      <w:r w:rsidRPr="00EF3F94">
        <w:t xml:space="preserve"> of variations in sex characteristics</w:t>
      </w:r>
      <w:r w:rsidRPr="00583ED4">
        <w:rPr>
          <w:sz w:val="20"/>
          <w:szCs w:val="20"/>
          <w:vertAlign w:val="superscript"/>
        </w:rPr>
        <w:endnoteReference w:id="777"/>
      </w:r>
    </w:p>
    <w:p w:rsidR="00452E54" w:rsidP="00452E54" w:rsidRDefault="00452E54" w14:paraId="46642D71" w14:textId="3389204A">
      <w:pPr>
        <w:numPr>
          <w:ilvl w:val="0"/>
          <w:numId w:val="72"/>
        </w:numPr>
      </w:pPr>
      <w:r w:rsidRPr="00EF3F94">
        <w:t>short, medium and long</w:t>
      </w:r>
      <w:r>
        <w:t>-</w:t>
      </w:r>
      <w:r w:rsidRPr="00EF3F94">
        <w:t>term effects of intervention and non-intervention</w:t>
      </w:r>
      <w:r>
        <w:t>.</w:t>
      </w:r>
      <w:r w:rsidRPr="00583ED4">
        <w:rPr>
          <w:sz w:val="20"/>
          <w:szCs w:val="20"/>
          <w:vertAlign w:val="superscript"/>
        </w:rPr>
        <w:endnoteReference w:id="778"/>
      </w:r>
    </w:p>
    <w:p w:rsidR="00452E54" w:rsidP="00452E54" w:rsidRDefault="00452E54" w14:paraId="0C301CF3" w14:textId="77777777">
      <w:r>
        <w:t xml:space="preserve">Clinician stakeholders also called for the collection of data </w:t>
      </w:r>
      <w:r w:rsidRPr="00EF3F94">
        <w:t xml:space="preserve">on </w:t>
      </w:r>
      <w:r>
        <w:t xml:space="preserve">the </w:t>
      </w:r>
      <w:r w:rsidRPr="00EF3F94">
        <w:t>consequences of deferred intervention</w:t>
      </w:r>
      <w:r w:rsidRPr="00583ED4">
        <w:rPr>
          <w:sz w:val="20"/>
          <w:szCs w:val="20"/>
          <w:vertAlign w:val="superscript"/>
        </w:rPr>
        <w:endnoteReference w:id="779"/>
      </w:r>
      <w:r>
        <w:t xml:space="preserve"> and </w:t>
      </w:r>
      <w:r w:rsidRPr="00EF3F94">
        <w:t>to validate existing practices and guide future practices.</w:t>
      </w:r>
      <w:r w:rsidRPr="00583ED4">
        <w:rPr>
          <w:sz w:val="22"/>
          <w:szCs w:val="22"/>
          <w:vertAlign w:val="superscript"/>
        </w:rPr>
        <w:endnoteReference w:id="780"/>
      </w:r>
    </w:p>
    <w:p w:rsidR="00452E54" w:rsidP="00452E54" w:rsidRDefault="00452E54" w14:paraId="2CD34209" w14:textId="77777777">
      <w:r w:rsidRPr="00E02206">
        <w:t xml:space="preserve">The </w:t>
      </w:r>
      <w:r>
        <w:t>Australasian Paediatric Endocrine Group stated that it would be useful for data to be</w:t>
      </w:r>
      <w:r w:rsidRPr="00E02206">
        <w:t xml:space="preserve"> collect</w:t>
      </w:r>
      <w:r>
        <w:t>ed</w:t>
      </w:r>
      <w:r w:rsidRPr="00E02206">
        <w:t xml:space="preserve"> retrospectively, as well as prospectively</w:t>
      </w:r>
      <w:r>
        <w:t>.</w:t>
      </w:r>
      <w:r w:rsidRPr="0117CC5D">
        <w:rPr>
          <w:rStyle w:val="EndnoteReference"/>
        </w:rPr>
        <w:endnoteReference w:id="781"/>
      </w:r>
      <w:r w:rsidRPr="00E02206">
        <w:t xml:space="preserve"> </w:t>
      </w:r>
    </w:p>
    <w:p w:rsidR="00452E54" w:rsidP="005A6BBF" w:rsidRDefault="00452E54" w14:paraId="3F99301B" w14:textId="77777777">
      <w:pPr>
        <w:pStyle w:val="Heading4"/>
        <w:numPr>
          <w:ilvl w:val="3"/>
          <w:numId w:val="83"/>
        </w:numPr>
        <w:ind w:left="851"/>
      </w:pPr>
      <w:r>
        <w:t>Frequency of variations</w:t>
      </w:r>
    </w:p>
    <w:p w:rsidR="00452E54" w:rsidP="00452E54" w:rsidRDefault="00452E54" w14:paraId="72D757AB" w14:textId="77777777">
      <w:r w:rsidRPr="00EF3F94">
        <w:t xml:space="preserve">Various sources suggest a range between 0.05% to 4.0% of births </w:t>
      </w:r>
      <w:r>
        <w:t>as the</w:t>
      </w:r>
      <w:r w:rsidRPr="00EF3F94">
        <w:t xml:space="preserve"> prevalence of individuals born with variations in sex characteristics.</w:t>
      </w:r>
      <w:r w:rsidRPr="00583ED4">
        <w:rPr>
          <w:sz w:val="20"/>
          <w:szCs w:val="20"/>
          <w:vertAlign w:val="superscript"/>
        </w:rPr>
        <w:endnoteReference w:id="782"/>
      </w:r>
      <w:r w:rsidRPr="00EF3F94">
        <w:t xml:space="preserve"> However, data has not been collected consistently or systematically and, where it exists, its validity is impaired by a range of limitations.</w:t>
      </w:r>
      <w:r w:rsidRPr="00AD07F6">
        <w:rPr>
          <w:sz w:val="20"/>
          <w:szCs w:val="20"/>
          <w:vertAlign w:val="superscript"/>
        </w:rPr>
        <w:endnoteReference w:id="783"/>
      </w:r>
      <w:r w:rsidRPr="00EF3F94">
        <w:t xml:space="preserve"> </w:t>
      </w:r>
    </w:p>
    <w:p w:rsidRPr="002071D9" w:rsidR="00452E54" w:rsidP="00452E54" w:rsidRDefault="00452E54" w14:paraId="4A4B2F7C" w14:textId="67958456">
      <w:pPr>
        <w:rPr>
          <w:rFonts w:cs="Open Sans"/>
        </w:rPr>
      </w:pPr>
      <w:r>
        <w:t xml:space="preserve">One </w:t>
      </w:r>
      <w:r w:rsidRPr="000F6C9D">
        <w:rPr>
          <w:rFonts w:cs="Open Sans"/>
        </w:rPr>
        <w:t>hospital multidisciplinary team</w:t>
      </w:r>
      <w:r w:rsidRPr="00EF3F94">
        <w:t xml:space="preserve"> observed</w:t>
      </w:r>
      <w:r>
        <w:t xml:space="preserve"> that </w:t>
      </w:r>
      <w:r w:rsidRPr="00EF3F94">
        <w:t>there is no consensus about what variations have been included and excluded in past estimates.</w:t>
      </w:r>
      <w:r w:rsidRPr="0117CC5D">
        <w:rPr>
          <w:rStyle w:val="EndnoteReference"/>
        </w:rPr>
        <w:endnoteReference w:id="784"/>
      </w:r>
      <w:r w:rsidRPr="00EF3F94">
        <w:t xml:space="preserve"> Further, while </w:t>
      </w:r>
      <w:r>
        <w:t>people with</w:t>
      </w:r>
      <w:r w:rsidRPr="00EF3F94">
        <w:t xml:space="preserve"> variations </w:t>
      </w:r>
      <w:r>
        <w:t xml:space="preserve">in sex characteristics </w:t>
      </w:r>
      <w:r w:rsidRPr="00EF3F94">
        <w:t xml:space="preserve">may be </w:t>
      </w:r>
      <w:r w:rsidR="0026368D">
        <w:t>observed</w:t>
      </w:r>
      <w:r w:rsidRPr="00EF3F94">
        <w:t xml:space="preserve"> at or soon after birth</w:t>
      </w:r>
      <w:r>
        <w:t xml:space="preserve">, </w:t>
      </w:r>
      <w:r w:rsidRPr="00EF3F94">
        <w:t xml:space="preserve">and sometimes </w:t>
      </w:r>
      <w:r w:rsidRPr="00EF3F94">
        <w:rPr>
          <w:i/>
        </w:rPr>
        <w:t>in utero</w:t>
      </w:r>
      <w:r w:rsidRPr="00EF3F94">
        <w:t xml:space="preserve">, some may not be </w:t>
      </w:r>
      <w:r w:rsidR="0026368D">
        <w:t>observed</w:t>
      </w:r>
      <w:r w:rsidRPr="00EF3F94">
        <w:t xml:space="preserve"> until puberty, when trying to conceive, randomly in adult life or, indeed, never at all.</w:t>
      </w:r>
      <w:r w:rsidRPr="00AD07F6">
        <w:rPr>
          <w:sz w:val="20"/>
          <w:szCs w:val="20"/>
          <w:vertAlign w:val="superscript"/>
        </w:rPr>
        <w:endnoteReference w:id="785"/>
      </w:r>
    </w:p>
    <w:p w:rsidR="00452E54" w:rsidP="005A6BBF" w:rsidRDefault="00452E54" w14:paraId="41698555" w14:textId="77777777">
      <w:pPr>
        <w:pStyle w:val="Heading4"/>
        <w:numPr>
          <w:ilvl w:val="3"/>
          <w:numId w:val="83"/>
        </w:numPr>
        <w:ind w:left="851"/>
      </w:pPr>
      <w:r>
        <w:lastRenderedPageBreak/>
        <w:t>S</w:t>
      </w:r>
      <w:r w:rsidRPr="00EF3F94">
        <w:t>hort, medium and long</w:t>
      </w:r>
      <w:r>
        <w:t>-</w:t>
      </w:r>
      <w:r w:rsidRPr="00EF3F94">
        <w:t>term effects of intervention and non-intervention</w:t>
      </w:r>
    </w:p>
    <w:p w:rsidRPr="00EF3F94" w:rsidR="00452E54" w:rsidP="00452E54" w:rsidRDefault="00452E54" w14:paraId="082CED31" w14:textId="565EAABA">
      <w:r w:rsidRPr="00EF3F94">
        <w:t>C</w:t>
      </w:r>
      <w:r>
        <w:t>linician stakeholders</w:t>
      </w:r>
      <w:r w:rsidRPr="00EF3F94">
        <w:t xml:space="preserve"> argued that access to data about long-term outcomes is crucial to</w:t>
      </w:r>
      <w:r>
        <w:t xml:space="preserve"> informing what, if any,</w:t>
      </w:r>
      <w:r w:rsidRPr="00EF3F94">
        <w:t xml:space="preserve"> </w:t>
      </w:r>
      <w:r>
        <w:t xml:space="preserve">future </w:t>
      </w:r>
      <w:r w:rsidRPr="00EF3F94">
        <w:t>treatment</w:t>
      </w:r>
      <w:r>
        <w:t>s are appropriate.</w:t>
      </w:r>
      <w:r w:rsidRPr="00AD07F6">
        <w:rPr>
          <w:sz w:val="20"/>
          <w:szCs w:val="20"/>
          <w:vertAlign w:val="superscript"/>
        </w:rPr>
        <w:endnoteReference w:id="786"/>
      </w:r>
      <w:r w:rsidRPr="00EF3F94">
        <w:t xml:space="preserve"> </w:t>
      </w:r>
      <w:r>
        <w:t xml:space="preserve">One clinician stakeholder stated that better long-term outcome data would also allow for linking of </w:t>
      </w:r>
      <w:r w:rsidRPr="00EF3F94">
        <w:t xml:space="preserve">molecular diagnoses with informed long-term </w:t>
      </w:r>
      <w:r w:rsidRPr="006F4043">
        <w:t>anatomical, physiological and psychological trajectories.</w:t>
      </w:r>
      <w:r w:rsidRPr="0117CC5D">
        <w:rPr>
          <w:rStyle w:val="EndnoteReference"/>
        </w:rPr>
        <w:endnoteReference w:id="787"/>
      </w:r>
    </w:p>
    <w:p w:rsidRPr="00EF3F94" w:rsidR="00452E54" w:rsidP="00452E54" w:rsidRDefault="00452E54" w14:paraId="3E942613" w14:textId="063A369E">
      <w:r>
        <w:t>Stakeholders stated</w:t>
      </w:r>
      <w:r w:rsidRPr="00EF3F94">
        <w:t xml:space="preserve"> that data should be collected on individuals who do not undergo early interventions, as well as those who do.</w:t>
      </w:r>
      <w:r w:rsidRPr="00AD07F6">
        <w:rPr>
          <w:sz w:val="20"/>
          <w:szCs w:val="20"/>
          <w:vertAlign w:val="superscript"/>
        </w:rPr>
        <w:endnoteReference w:id="788"/>
      </w:r>
      <w:r>
        <w:t xml:space="preserve"> It was suggested that </w:t>
      </w:r>
      <w:r w:rsidRPr="00EF3F94">
        <w:t xml:space="preserve">long-term data </w:t>
      </w:r>
      <w:r>
        <w:t xml:space="preserve">collection </w:t>
      </w:r>
      <w:r w:rsidRPr="00EF3F94">
        <w:t>should include</w:t>
      </w:r>
    </w:p>
    <w:p w:rsidRPr="00EF3F94" w:rsidR="00452E54" w:rsidP="00452E54" w:rsidRDefault="00452E54" w14:paraId="5485865C" w14:textId="77777777">
      <w:pPr>
        <w:numPr>
          <w:ilvl w:val="0"/>
          <w:numId w:val="73"/>
        </w:numPr>
      </w:pPr>
      <w:r w:rsidRPr="00EF3F94">
        <w:t>quality of life data</w:t>
      </w:r>
    </w:p>
    <w:p w:rsidRPr="00EF3F94" w:rsidR="00452E54" w:rsidP="00452E54" w:rsidRDefault="00452E54" w14:paraId="218060FF" w14:textId="77777777">
      <w:pPr>
        <w:numPr>
          <w:ilvl w:val="0"/>
          <w:numId w:val="73"/>
        </w:numPr>
      </w:pPr>
      <w:r w:rsidRPr="00EF3F94">
        <w:t>psychological outcome data</w:t>
      </w:r>
    </w:p>
    <w:p w:rsidRPr="00EF3F94" w:rsidR="00452E54" w:rsidP="00452E54" w:rsidRDefault="00452E54" w14:paraId="5515EDDA" w14:textId="77777777">
      <w:pPr>
        <w:numPr>
          <w:ilvl w:val="0"/>
          <w:numId w:val="73"/>
        </w:numPr>
      </w:pPr>
      <w:r w:rsidRPr="00EF3F94">
        <w:t>cardiovascular outcomes</w:t>
      </w:r>
    </w:p>
    <w:p w:rsidRPr="00EF3F94" w:rsidR="00452E54" w:rsidP="00452E54" w:rsidRDefault="00452E54" w14:paraId="4552AE85" w14:textId="77777777">
      <w:pPr>
        <w:numPr>
          <w:ilvl w:val="0"/>
          <w:numId w:val="73"/>
        </w:numPr>
      </w:pPr>
      <w:r w:rsidRPr="00EF3F94">
        <w:t>metabolic outcomes</w:t>
      </w:r>
    </w:p>
    <w:p w:rsidRPr="00EF3F94" w:rsidR="00452E54" w:rsidP="00452E54" w:rsidRDefault="00452E54" w14:paraId="0FFDF47E" w14:textId="77777777">
      <w:pPr>
        <w:numPr>
          <w:ilvl w:val="0"/>
          <w:numId w:val="73"/>
        </w:numPr>
      </w:pPr>
      <w:r w:rsidRPr="00EF3F94">
        <w:t>bone metabolism</w:t>
      </w:r>
    </w:p>
    <w:p w:rsidRPr="00EF3F94" w:rsidR="00452E54" w:rsidP="00452E54" w:rsidRDefault="00452E54" w14:paraId="1C9946E3" w14:textId="77777777">
      <w:pPr>
        <w:numPr>
          <w:ilvl w:val="0"/>
          <w:numId w:val="73"/>
        </w:numPr>
      </w:pPr>
      <w:r w:rsidRPr="00EF3F94">
        <w:t>malignancy risk</w:t>
      </w:r>
    </w:p>
    <w:p w:rsidRPr="00EF3F94" w:rsidR="00452E54" w:rsidP="00452E54" w:rsidRDefault="00452E54" w14:paraId="3F414663" w14:textId="77777777">
      <w:pPr>
        <w:numPr>
          <w:ilvl w:val="0"/>
          <w:numId w:val="73"/>
        </w:numPr>
      </w:pPr>
      <w:r w:rsidRPr="00EF3F94">
        <w:t>sexual function</w:t>
      </w:r>
    </w:p>
    <w:p w:rsidRPr="00EF3F94" w:rsidR="00452E54" w:rsidP="00452E54" w:rsidRDefault="00452E54" w14:paraId="46360839" w14:textId="77777777">
      <w:pPr>
        <w:numPr>
          <w:ilvl w:val="0"/>
          <w:numId w:val="73"/>
        </w:numPr>
      </w:pPr>
      <w:r w:rsidRPr="00EF3F94">
        <w:t>satisfaction with genital appearance</w:t>
      </w:r>
    </w:p>
    <w:p w:rsidRPr="00EF3F94" w:rsidR="00452E54" w:rsidP="00452E54" w:rsidRDefault="00452E54" w14:paraId="21E65EC1" w14:textId="77777777">
      <w:pPr>
        <w:numPr>
          <w:ilvl w:val="0"/>
          <w:numId w:val="73"/>
        </w:numPr>
      </w:pPr>
      <w:r w:rsidRPr="00EF3F94">
        <w:t>outcomes of alternative treatments.</w:t>
      </w:r>
      <w:r w:rsidRPr="00AD07F6">
        <w:rPr>
          <w:sz w:val="20"/>
          <w:szCs w:val="20"/>
          <w:vertAlign w:val="superscript"/>
        </w:rPr>
        <w:endnoteReference w:id="789"/>
      </w:r>
      <w:r w:rsidRPr="00EF3F94">
        <w:t xml:space="preserve">  </w:t>
      </w:r>
    </w:p>
    <w:p w:rsidR="00452E54" w:rsidP="005A6BBF" w:rsidRDefault="00452E54" w14:paraId="1DCDE91C" w14:textId="77777777">
      <w:pPr>
        <w:pStyle w:val="Heading3"/>
        <w:numPr>
          <w:ilvl w:val="2"/>
          <w:numId w:val="83"/>
        </w:numPr>
        <w:ind w:left="851"/>
      </w:pPr>
      <w:bookmarkStart w:name="_Toc80614240" w:id="622"/>
      <w:bookmarkStart w:name="_Toc85541505" w:id="623"/>
      <w:r>
        <w:t>Barriers to data collection</w:t>
      </w:r>
      <w:bookmarkEnd w:id="622"/>
      <w:bookmarkEnd w:id="623"/>
    </w:p>
    <w:p w:rsidR="00452E54" w:rsidP="00452E54" w:rsidRDefault="00452E54" w14:paraId="7F748639" w14:textId="77777777">
      <w:r>
        <w:t xml:space="preserve">Stakeholders identified a range of barriers to better data collection in the context of medical interventions. </w:t>
      </w:r>
    </w:p>
    <w:p w:rsidRPr="00EF3F94" w:rsidR="00452E54" w:rsidP="00452E54" w:rsidRDefault="00452E54" w14:paraId="344E3B9C" w14:textId="024E0313">
      <w:r>
        <w:t>The Endocrine Society of Australia</w:t>
      </w:r>
      <w:r w:rsidRPr="00EF3F94">
        <w:t xml:space="preserve"> </w:t>
      </w:r>
      <w:r>
        <w:t>considered these</w:t>
      </w:r>
      <w:r w:rsidRPr="00EF3F94">
        <w:t xml:space="preserve"> barriers </w:t>
      </w:r>
      <w:r>
        <w:t>to include</w:t>
      </w:r>
    </w:p>
    <w:p w:rsidRPr="00EF3F94" w:rsidR="00452E54" w:rsidP="00452E54" w:rsidRDefault="00452E54" w14:paraId="38518FBD" w14:textId="77777777">
      <w:pPr>
        <w:numPr>
          <w:ilvl w:val="0"/>
          <w:numId w:val="74"/>
        </w:numPr>
      </w:pPr>
      <w:r>
        <w:t xml:space="preserve">the </w:t>
      </w:r>
      <w:r w:rsidRPr="00EF3F94">
        <w:t>lack of nationally consistent language, guidelines and standard</w:t>
      </w:r>
      <w:r>
        <w:t>s of</w:t>
      </w:r>
      <w:r w:rsidRPr="00EF3F94">
        <w:t xml:space="preserve"> care</w:t>
      </w:r>
    </w:p>
    <w:p w:rsidRPr="00EF3F94" w:rsidR="00452E54" w:rsidP="00452E54" w:rsidRDefault="00452E54" w14:paraId="2C0404C0" w14:textId="77777777">
      <w:pPr>
        <w:numPr>
          <w:ilvl w:val="0"/>
          <w:numId w:val="74"/>
        </w:numPr>
      </w:pPr>
      <w:r w:rsidRPr="00EF3F94">
        <w:t>ethic</w:t>
      </w:r>
      <w:r>
        <w:t>al</w:t>
      </w:r>
      <w:r w:rsidRPr="00EF3F94">
        <w:t xml:space="preserve"> and privacy issues</w:t>
      </w:r>
    </w:p>
    <w:p w:rsidRPr="00EF3F94" w:rsidR="00452E54" w:rsidP="00452E54" w:rsidRDefault="00452E54" w14:paraId="31371158" w14:textId="77777777">
      <w:pPr>
        <w:numPr>
          <w:ilvl w:val="0"/>
          <w:numId w:val="74"/>
        </w:numPr>
      </w:pPr>
      <w:r>
        <w:lastRenderedPageBreak/>
        <w:t xml:space="preserve">the </w:t>
      </w:r>
      <w:r w:rsidRPr="00EF3F94">
        <w:t xml:space="preserve">differing expertise of medical and allied health professionals </w:t>
      </w:r>
    </w:p>
    <w:p w:rsidRPr="00EF3F94" w:rsidR="00452E54" w:rsidP="00452E54" w:rsidRDefault="00452E54" w14:paraId="28A11D69" w14:textId="77777777">
      <w:pPr>
        <w:numPr>
          <w:ilvl w:val="0"/>
          <w:numId w:val="74"/>
        </w:numPr>
      </w:pPr>
      <w:r>
        <w:t xml:space="preserve">the </w:t>
      </w:r>
      <w:r w:rsidRPr="00EF3F94">
        <w:t>ongoing evolution of treatment techniques and options.</w:t>
      </w:r>
      <w:r w:rsidRPr="00AD07F6">
        <w:rPr>
          <w:sz w:val="20"/>
          <w:szCs w:val="20"/>
          <w:vertAlign w:val="superscript"/>
        </w:rPr>
        <w:endnoteReference w:id="790"/>
      </w:r>
    </w:p>
    <w:p w:rsidRPr="00EF3F94" w:rsidR="00452E54" w:rsidP="00452E54" w:rsidRDefault="00452E54" w14:paraId="47F200B6" w14:textId="77777777">
      <w:r>
        <w:t>A parent support organisation</w:t>
      </w:r>
      <w:r w:rsidRPr="00EF3F94">
        <w:t xml:space="preserve"> </w:t>
      </w:r>
      <w:r>
        <w:t xml:space="preserve">observed </w:t>
      </w:r>
      <w:r w:rsidRPr="00EF3F94">
        <w:t>that a lack of resources to deal properly with sensitive information constitutes a major barrier to collating, accessing and analysing data.</w:t>
      </w:r>
      <w:r w:rsidRPr="00AD07F6">
        <w:rPr>
          <w:sz w:val="20"/>
          <w:szCs w:val="20"/>
          <w:vertAlign w:val="superscript"/>
        </w:rPr>
        <w:endnoteReference w:id="791"/>
      </w:r>
    </w:p>
    <w:p w:rsidR="00452E54" w:rsidP="00452E54" w:rsidRDefault="00452E54" w14:paraId="2A122F78" w14:textId="77777777">
      <w:r>
        <w:t>Intersex Human Rights Australia argued that the primary barrier to data collection was not resourcing but rather ‘lack of transparency, and unevidenced appeals to assurances of changed clinical practice’.</w:t>
      </w:r>
      <w:r w:rsidRPr="0117CC5D">
        <w:rPr>
          <w:rStyle w:val="EndnoteReference"/>
        </w:rPr>
        <w:endnoteReference w:id="792"/>
      </w:r>
    </w:p>
    <w:p w:rsidRPr="00EF3F94" w:rsidR="00452E54" w:rsidP="00452E54" w:rsidRDefault="00452E54" w14:paraId="16B3D0E8" w14:textId="4197B108">
      <w:r>
        <w:t>Another</w:t>
      </w:r>
      <w:r w:rsidRPr="000F6C9D">
        <w:rPr>
          <w:rFonts w:cs="Open Sans"/>
        </w:rPr>
        <w:t xml:space="preserve"> intersex</w:t>
      </w:r>
      <w:r>
        <w:rPr>
          <w:rFonts w:cs="Open Sans"/>
        </w:rPr>
        <w:t xml:space="preserve"> </w:t>
      </w:r>
      <w:r w:rsidRPr="000F6C9D">
        <w:rPr>
          <w:rFonts w:cs="Open Sans"/>
        </w:rPr>
        <w:t>peer</w:t>
      </w:r>
      <w:r>
        <w:rPr>
          <w:rFonts w:cs="Open Sans"/>
        </w:rPr>
        <w:t xml:space="preserve"> </w:t>
      </w:r>
      <w:r w:rsidRPr="000F6C9D">
        <w:rPr>
          <w:rFonts w:cs="Open Sans"/>
        </w:rPr>
        <w:t>support and advocacy organisation</w:t>
      </w:r>
      <w:r>
        <w:t xml:space="preserve"> stated </w:t>
      </w:r>
      <w:r w:rsidR="3FA0F289">
        <w:t xml:space="preserve">that </w:t>
      </w:r>
      <w:r>
        <w:t xml:space="preserve">for some individuals with lived experience of variations in sex characteristics, </w:t>
      </w:r>
      <w:r w:rsidRPr="00EF3F94">
        <w:t xml:space="preserve">trauma and distrust </w:t>
      </w:r>
      <w:r>
        <w:t xml:space="preserve">of the medical and research establishment </w:t>
      </w:r>
      <w:r w:rsidRPr="00EF3F94">
        <w:t xml:space="preserve">is likely to stymie collection of consistent, reliable data over an extended period. </w:t>
      </w:r>
      <w:r>
        <w:t xml:space="preserve">The organisation reported </w:t>
      </w:r>
      <w:r w:rsidRPr="00EF3F94">
        <w:t>that</w:t>
      </w:r>
      <w:r>
        <w:t>, based on input from those with lived experience</w:t>
      </w:r>
      <w:r w:rsidRPr="00EF3F94">
        <w:t>:</w:t>
      </w:r>
    </w:p>
    <w:p w:rsidRPr="0077011E" w:rsidR="00452E54" w:rsidP="00452E54" w:rsidRDefault="00452E54" w14:paraId="0B62249C" w14:textId="77777777">
      <w:pPr>
        <w:ind w:left="720"/>
        <w:rPr>
          <w:sz w:val="22"/>
          <w:szCs w:val="22"/>
        </w:rPr>
      </w:pPr>
      <w:r w:rsidRPr="0077011E">
        <w:rPr>
          <w:sz w:val="22"/>
          <w:szCs w:val="22"/>
        </w:rPr>
        <w:t>Many intersex people are not willing to disclose personal information for research purposes.</w:t>
      </w:r>
    </w:p>
    <w:p w:rsidRPr="0077011E" w:rsidR="00452E54" w:rsidP="00452E54" w:rsidRDefault="00452E54" w14:paraId="4F231D5B" w14:textId="77777777">
      <w:pPr>
        <w:ind w:left="720"/>
        <w:rPr>
          <w:sz w:val="22"/>
          <w:szCs w:val="22"/>
        </w:rPr>
      </w:pPr>
      <w:r w:rsidRPr="0077011E">
        <w:rPr>
          <w:sz w:val="22"/>
          <w:szCs w:val="22"/>
        </w:rPr>
        <w:t>Disclosure is traumatic. Each time it requires revisiting harmful experiences.</w:t>
      </w:r>
    </w:p>
    <w:p w:rsidRPr="0077011E" w:rsidR="00452E54" w:rsidP="00452E54" w:rsidRDefault="00452E54" w14:paraId="112A1E1A" w14:textId="77777777">
      <w:pPr>
        <w:ind w:left="720"/>
        <w:rPr>
          <w:sz w:val="22"/>
          <w:szCs w:val="22"/>
        </w:rPr>
      </w:pPr>
      <w:r w:rsidRPr="0077011E">
        <w:rPr>
          <w:sz w:val="22"/>
          <w:szCs w:val="22"/>
        </w:rPr>
        <w:t>Our trust in researchers and scientific or medical research has been abused time and again.</w:t>
      </w:r>
      <w:r w:rsidRPr="00AD07F6">
        <w:rPr>
          <w:sz w:val="20"/>
          <w:szCs w:val="20"/>
          <w:vertAlign w:val="superscript"/>
        </w:rPr>
        <w:endnoteReference w:id="793"/>
      </w:r>
    </w:p>
    <w:p w:rsidRPr="00EF3F94" w:rsidR="00452E54" w:rsidP="00452E54" w:rsidRDefault="00452E54" w14:paraId="17D19075" w14:textId="6F01049F">
      <w:r w:rsidRPr="00EF3F94">
        <w:t xml:space="preserve">The </w:t>
      </w:r>
      <w:r>
        <w:t>organisation</w:t>
      </w:r>
      <w:r w:rsidRPr="00EF3F94">
        <w:t xml:space="preserve"> stated that</w:t>
      </w:r>
      <w:r>
        <w:t xml:space="preserve"> it</w:t>
      </w:r>
    </w:p>
    <w:p w:rsidR="00452E54" w:rsidP="00452E54" w:rsidRDefault="00452E54" w14:paraId="5D9F9724" w14:textId="4CE55608">
      <w:pPr>
        <w:ind w:left="720"/>
        <w:rPr>
          <w:sz w:val="22"/>
          <w:szCs w:val="22"/>
        </w:rPr>
      </w:pPr>
      <w:r w:rsidRPr="0077011E">
        <w:rPr>
          <w:sz w:val="22"/>
          <w:szCs w:val="22"/>
        </w:rPr>
        <w:t xml:space="preserve">rejects research aimed at confirming the efficacy of current clinical interventions that does not take into account, or is conducted at the expense of investigating of the true effects of past (and continuing) interventions. As such, the </w:t>
      </w:r>
      <w:r w:rsidRPr="0077011E" w:rsidR="6BA5D77F">
        <w:rPr>
          <w:sz w:val="22"/>
          <w:szCs w:val="22"/>
        </w:rPr>
        <w:t>[</w:t>
      </w:r>
      <w:r w:rsidRPr="00FF7322" w:rsidR="6BA5D77F">
        <w:rPr>
          <w:i/>
          <w:iCs/>
          <w:sz w:val="22"/>
          <w:szCs w:val="22"/>
        </w:rPr>
        <w:t>organisation</w:t>
      </w:r>
      <w:r w:rsidRPr="0077011E" w:rsidR="6BA5D77F">
        <w:rPr>
          <w:sz w:val="22"/>
          <w:szCs w:val="22"/>
        </w:rPr>
        <w:t>]</w:t>
      </w:r>
      <w:r w:rsidRPr="0077011E">
        <w:rPr>
          <w:sz w:val="22"/>
          <w:szCs w:val="22"/>
        </w:rPr>
        <w:t xml:space="preserve"> </w:t>
      </w:r>
      <w:r>
        <w:rPr>
          <w:rFonts w:cs="Open Sans"/>
          <w:sz w:val="22"/>
          <w:szCs w:val="22"/>
        </w:rPr>
        <w:t>…</w:t>
      </w:r>
      <w:r w:rsidRPr="0077011E">
        <w:rPr>
          <w:sz w:val="22"/>
          <w:szCs w:val="22"/>
        </w:rPr>
        <w:t xml:space="preserve"> calls for greater community based participatory research.</w:t>
      </w:r>
      <w:r w:rsidRPr="00AD07F6">
        <w:rPr>
          <w:sz w:val="20"/>
          <w:szCs w:val="20"/>
          <w:vertAlign w:val="superscript"/>
        </w:rPr>
        <w:endnoteReference w:id="794"/>
      </w:r>
    </w:p>
    <w:p w:rsidRPr="00EF3F94" w:rsidR="00452E54" w:rsidP="005A6BBF" w:rsidRDefault="00452E54" w14:paraId="4E763A96" w14:textId="77777777">
      <w:pPr>
        <w:pStyle w:val="Heading3"/>
        <w:numPr>
          <w:ilvl w:val="2"/>
          <w:numId w:val="83"/>
        </w:numPr>
        <w:ind w:left="851"/>
      </w:pPr>
      <w:bookmarkStart w:name="_Toc80614241" w:id="624"/>
      <w:bookmarkStart w:name="_Toc85541506" w:id="625"/>
      <w:r w:rsidRPr="00EF3F94">
        <w:t>Who should be responsible for data collection?</w:t>
      </w:r>
      <w:bookmarkEnd w:id="624"/>
      <w:bookmarkEnd w:id="625"/>
    </w:p>
    <w:p w:rsidR="00452E54" w:rsidP="00452E54" w:rsidRDefault="00452E54" w14:paraId="28B265A9" w14:textId="77777777">
      <w:r>
        <w:t>Clinical stakeholders called for the creation of a national databank of information about individuals with variations in sex characteristics.</w:t>
      </w:r>
      <w:r w:rsidRPr="0117CC5D">
        <w:rPr>
          <w:rStyle w:val="EndnoteReference"/>
        </w:rPr>
        <w:endnoteReference w:id="795"/>
      </w:r>
      <w:r>
        <w:t xml:space="preserve"> </w:t>
      </w:r>
    </w:p>
    <w:p w:rsidR="00452E54" w:rsidP="00452E54" w:rsidRDefault="00452E54" w14:paraId="5EF2BDB7" w14:textId="77777777">
      <w:r>
        <w:lastRenderedPageBreak/>
        <w:t>Other</w:t>
      </w:r>
      <w:r w:rsidRPr="00EF3F94">
        <w:t xml:space="preserve"> contributors </w:t>
      </w:r>
      <w:r>
        <w:t xml:space="preserve">also </w:t>
      </w:r>
      <w:r w:rsidRPr="00EF3F94">
        <w:t xml:space="preserve">advocated for the establishment of a national databank to </w:t>
      </w:r>
      <w:r>
        <w:t xml:space="preserve">collect and share </w:t>
      </w:r>
      <w:r w:rsidRPr="00EF3F94">
        <w:t>data</w:t>
      </w:r>
      <w:r>
        <w:t xml:space="preserve"> about medical interventions</w:t>
      </w:r>
      <w:r w:rsidRPr="00EF3F94">
        <w:t>.</w:t>
      </w:r>
      <w:r w:rsidRPr="005E779B">
        <w:rPr>
          <w:rStyle w:val="EndnoteReference"/>
          <w:sz w:val="22"/>
          <w:szCs w:val="22"/>
        </w:rPr>
        <w:endnoteReference w:id="796"/>
      </w:r>
      <w:r w:rsidRPr="00EF3F94">
        <w:t xml:space="preserve">  </w:t>
      </w:r>
    </w:p>
    <w:p w:rsidRPr="00EF3F94" w:rsidR="00452E54" w:rsidP="00452E54" w:rsidRDefault="00452E54" w14:paraId="2164ED99" w14:textId="77777777">
      <w:r>
        <w:t>Some stakeholders</w:t>
      </w:r>
      <w:r w:rsidRPr="00EF3F94">
        <w:t xml:space="preserve"> expressed </w:t>
      </w:r>
      <w:r>
        <w:t xml:space="preserve">a </w:t>
      </w:r>
      <w:r w:rsidRPr="00EF3F94">
        <w:t xml:space="preserve">willingness to assist in the development of </w:t>
      </w:r>
      <w:r>
        <w:t>a databank. However,</w:t>
      </w:r>
      <w:r w:rsidRPr="00EF3F94">
        <w:t xml:space="preserve"> there was a general view that primary responsibility for </w:t>
      </w:r>
      <w:r>
        <w:t xml:space="preserve">such an initiative should </w:t>
      </w:r>
      <w:r w:rsidRPr="00EF3F94">
        <w:t>rest with government</w:t>
      </w:r>
      <w:r>
        <w:t xml:space="preserve"> and government agencies</w:t>
      </w:r>
      <w:r w:rsidRPr="00EF3F94">
        <w:t>.</w:t>
      </w:r>
      <w:r w:rsidRPr="005E779B">
        <w:rPr>
          <w:sz w:val="20"/>
          <w:szCs w:val="20"/>
          <w:vertAlign w:val="superscript"/>
        </w:rPr>
        <w:endnoteReference w:id="797"/>
      </w:r>
      <w:r w:rsidRPr="00D33441">
        <w:t xml:space="preserve"> </w:t>
      </w:r>
    </w:p>
    <w:p w:rsidR="00452E54" w:rsidP="00452E54" w:rsidRDefault="00452E54" w14:paraId="37FBD170" w14:textId="77777777">
      <w:r>
        <w:t>A clinical stakeholder stated that the</w:t>
      </w:r>
      <w:r w:rsidRPr="00EF3F94">
        <w:t xml:space="preserve"> institution hosting the databank would need to be selected with care, </w:t>
      </w:r>
      <w:r>
        <w:t>to</w:t>
      </w:r>
      <w:r w:rsidRPr="00EF3F94">
        <w:t xml:space="preserve"> enjoy the trust and confidence of all stakeholders.</w:t>
      </w:r>
      <w:r w:rsidRPr="005E779B">
        <w:rPr>
          <w:sz w:val="20"/>
          <w:szCs w:val="20"/>
          <w:vertAlign w:val="superscript"/>
        </w:rPr>
        <w:endnoteReference w:id="798"/>
      </w:r>
      <w:r w:rsidRPr="00CB7603">
        <w:t xml:space="preserve"> </w:t>
      </w:r>
      <w:r>
        <w:t>Contributors across the board highlighted the need for adequate funding to support comprehensive data collection.</w:t>
      </w:r>
    </w:p>
    <w:p w:rsidRPr="00EF3F94" w:rsidR="00452E54" w:rsidP="00452E54" w:rsidRDefault="00452E54" w14:paraId="529E7AC5" w14:textId="77777777">
      <w:r>
        <w:t xml:space="preserve">One peer support and advocacy organisation </w:t>
      </w:r>
      <w:r w:rsidRPr="00EF3F94">
        <w:t>argue</w:t>
      </w:r>
      <w:r>
        <w:t>d</w:t>
      </w:r>
      <w:r w:rsidRPr="00EF3F94">
        <w:t xml:space="preserve"> that research </w:t>
      </w:r>
      <w:r>
        <w:t>should</w:t>
      </w:r>
      <w:r w:rsidRPr="00EF3F94">
        <w:t xml:space="preserve"> be led by those with lived experience of being born with variations in sex characteristics.</w:t>
      </w:r>
      <w:r w:rsidRPr="005E779B">
        <w:rPr>
          <w:sz w:val="22"/>
          <w:szCs w:val="22"/>
          <w:vertAlign w:val="superscript"/>
        </w:rPr>
        <w:endnoteReference w:id="799"/>
      </w:r>
      <w:r w:rsidRPr="00EF3F94">
        <w:t xml:space="preserve">  </w:t>
      </w:r>
    </w:p>
    <w:p w:rsidR="00452E54" w:rsidP="005A6BBF" w:rsidRDefault="00452E54" w14:paraId="24D8C38A" w14:textId="77777777">
      <w:pPr>
        <w:pStyle w:val="Heading3"/>
        <w:numPr>
          <w:ilvl w:val="2"/>
          <w:numId w:val="83"/>
        </w:numPr>
        <w:ind w:left="851"/>
      </w:pPr>
      <w:bookmarkStart w:name="_Toc80614242" w:id="626"/>
      <w:bookmarkStart w:name="_Toc85541507" w:id="627"/>
      <w:r>
        <w:t>Towards better data</w:t>
      </w:r>
      <w:bookmarkEnd w:id="626"/>
      <w:bookmarkEnd w:id="627"/>
      <w:r>
        <w:t xml:space="preserve"> </w:t>
      </w:r>
    </w:p>
    <w:p w:rsidRPr="00F23DF2" w:rsidR="00452E54" w:rsidP="00452E54" w:rsidRDefault="00452E54" w14:paraId="2AD25528" w14:textId="38F49347">
      <w:pPr>
        <w:rPr>
          <w:b/>
          <w:bCs/>
        </w:rPr>
      </w:pPr>
      <w:r w:rsidRPr="00F23DF2">
        <w:rPr>
          <w:b/>
          <w:bCs/>
        </w:rPr>
        <w:t xml:space="preserve">Recommendation </w:t>
      </w:r>
      <w:r>
        <w:rPr>
          <w:b/>
          <w:bCs/>
        </w:rPr>
        <w:t>1</w:t>
      </w:r>
      <w:r w:rsidR="00FB4293">
        <w:rPr>
          <w:b/>
          <w:bCs/>
        </w:rPr>
        <w:t>1</w:t>
      </w:r>
      <w:r w:rsidRPr="00F23DF2">
        <w:rPr>
          <w:b/>
          <w:bCs/>
        </w:rPr>
        <w:t>: The Australian Government should facilitate the establishment of a national databa</w:t>
      </w:r>
      <w:r>
        <w:rPr>
          <w:b/>
          <w:bCs/>
        </w:rPr>
        <w:t xml:space="preserve">nk </w:t>
      </w:r>
      <w:r w:rsidRPr="00F23DF2">
        <w:rPr>
          <w:b/>
          <w:bCs/>
        </w:rPr>
        <w:t>to assist research on:</w:t>
      </w:r>
    </w:p>
    <w:p w:rsidR="00452E54" w:rsidP="00452E54" w:rsidRDefault="00452E54" w14:paraId="6219B912" w14:textId="77777777">
      <w:pPr>
        <w:pStyle w:val="ListParagraph"/>
        <w:numPr>
          <w:ilvl w:val="0"/>
          <w:numId w:val="78"/>
        </w:numPr>
        <w:rPr>
          <w:b/>
          <w:bCs/>
        </w:rPr>
      </w:pPr>
      <w:r>
        <w:rPr>
          <w:b/>
          <w:bCs/>
        </w:rPr>
        <w:t xml:space="preserve"> </w:t>
      </w:r>
      <w:r w:rsidRPr="00CF7BA8">
        <w:rPr>
          <w:b/>
          <w:bCs/>
        </w:rPr>
        <w:t>the</w:t>
      </w:r>
      <w:r w:rsidRPr="00CF7BA8" w:rsidDel="00CE539D">
        <w:rPr>
          <w:b/>
          <w:bCs/>
        </w:rPr>
        <w:t xml:space="preserve"> </w:t>
      </w:r>
      <w:r>
        <w:rPr>
          <w:b/>
          <w:bCs/>
        </w:rPr>
        <w:t>frequency</w:t>
      </w:r>
      <w:r w:rsidRPr="00CF7BA8">
        <w:rPr>
          <w:b/>
          <w:bCs/>
        </w:rPr>
        <w:t xml:space="preserve"> of variations in sex characteristics, including specific variations </w:t>
      </w:r>
    </w:p>
    <w:p w:rsidR="00452E54" w:rsidP="00452E54" w:rsidRDefault="00452E54" w14:paraId="0FDDC3B4" w14:textId="77777777">
      <w:pPr>
        <w:pStyle w:val="ListParagraph"/>
        <w:numPr>
          <w:ilvl w:val="0"/>
          <w:numId w:val="78"/>
        </w:numPr>
        <w:rPr>
          <w:b/>
          <w:bCs/>
        </w:rPr>
      </w:pPr>
      <w:r w:rsidRPr="00CF7BA8">
        <w:rPr>
          <w:b/>
          <w:bCs/>
        </w:rPr>
        <w:t>the short-, medium-, and long-term effects of medical interventions and non-intervention</w:t>
      </w:r>
      <w:r>
        <w:rPr>
          <w:b/>
          <w:bCs/>
        </w:rPr>
        <w:t>.</w:t>
      </w:r>
    </w:p>
    <w:p w:rsidRPr="00080EBC" w:rsidR="00452E54" w:rsidP="00452E54" w:rsidRDefault="00452E54" w14:paraId="49A993E7" w14:textId="7AC603D9">
      <w:pPr>
        <w:rPr>
          <w:b/>
          <w:bCs/>
        </w:rPr>
      </w:pPr>
      <w:r w:rsidRPr="00080EBC">
        <w:rPr>
          <w:b/>
          <w:bCs/>
        </w:rPr>
        <w:t xml:space="preserve">Recommendation </w:t>
      </w:r>
      <w:r>
        <w:rPr>
          <w:b/>
          <w:bCs/>
        </w:rPr>
        <w:t>1</w:t>
      </w:r>
      <w:r w:rsidR="00B95C41">
        <w:rPr>
          <w:b/>
          <w:bCs/>
        </w:rPr>
        <w:t>2</w:t>
      </w:r>
      <w:r w:rsidRPr="00080EBC">
        <w:rPr>
          <w:b/>
          <w:bCs/>
        </w:rPr>
        <w:t>: The Australian Government and state and territory governments should fund and facilitate collaborative research that is co-designed by community organisations led by people born with variations of sex characteristics, including:</w:t>
      </w:r>
    </w:p>
    <w:p w:rsidR="00452E54" w:rsidP="00452E54" w:rsidRDefault="00452E54" w14:paraId="099BD1A6" w14:textId="77777777">
      <w:pPr>
        <w:pStyle w:val="ListParagraph"/>
        <w:numPr>
          <w:ilvl w:val="0"/>
          <w:numId w:val="79"/>
        </w:numPr>
        <w:rPr>
          <w:b/>
          <w:bCs/>
        </w:rPr>
      </w:pPr>
      <w:r w:rsidRPr="00166D57">
        <w:rPr>
          <w:b/>
          <w:bCs/>
        </w:rPr>
        <w:t>medical, psychological, health and wellbeing research, across the lifespan, that affirms human rights norms and helps people born with variations of sex characteristics to flourish</w:t>
      </w:r>
    </w:p>
    <w:p w:rsidR="00452E54" w:rsidP="00452E54" w:rsidRDefault="00452E54" w14:paraId="39C680C8" w14:textId="77777777">
      <w:pPr>
        <w:pStyle w:val="ListParagraph"/>
        <w:numPr>
          <w:ilvl w:val="0"/>
          <w:numId w:val="79"/>
        </w:numPr>
        <w:rPr>
          <w:b/>
          <w:bCs/>
        </w:rPr>
      </w:pPr>
      <w:r w:rsidRPr="00166D57">
        <w:rPr>
          <w:b/>
          <w:bCs/>
        </w:rPr>
        <w:t>socio-economic research to tackle stigma and disadvantage, including emerging issues such as social exclusion in schooling and employment</w:t>
      </w:r>
    </w:p>
    <w:p w:rsidR="00452E54" w:rsidP="00452E54" w:rsidRDefault="00452E54" w14:paraId="0F474A55" w14:textId="0087FAE7">
      <w:pPr>
        <w:pStyle w:val="ListParagraph"/>
        <w:numPr>
          <w:ilvl w:val="0"/>
          <w:numId w:val="79"/>
        </w:numPr>
        <w:rPr>
          <w:b/>
          <w:bCs/>
        </w:rPr>
      </w:pPr>
      <w:r w:rsidRPr="00166D57">
        <w:rPr>
          <w:b/>
          <w:bCs/>
        </w:rPr>
        <w:lastRenderedPageBreak/>
        <w:t>any research that investigates the circumstances and needs of all sexual and gender minorities should meet the above design standards and</w:t>
      </w:r>
      <w:r>
        <w:rPr>
          <w:b/>
          <w:bCs/>
        </w:rPr>
        <w:t xml:space="preserve"> </w:t>
      </w:r>
      <w:r w:rsidRPr="00166D57">
        <w:rPr>
          <w:b/>
          <w:bCs/>
        </w:rPr>
        <w:t>disaggregate data on people born with variations of sex characteristics.</w:t>
      </w:r>
    </w:p>
    <w:p w:rsidR="00452E54" w:rsidP="00452E54" w:rsidRDefault="00452E54" w14:paraId="3CFB51E8" w14:textId="7B6B2613">
      <w:r>
        <w:t xml:space="preserve">The </w:t>
      </w:r>
      <w:r w:rsidRPr="000A6C75">
        <w:t>Senate Community Affairs References Committee</w:t>
      </w:r>
      <w:r w:rsidRPr="00525E99">
        <w:t xml:space="preserve">’s </w:t>
      </w:r>
      <w:r w:rsidR="00690665">
        <w:t xml:space="preserve">second </w:t>
      </w:r>
      <w:r w:rsidRPr="00525E99">
        <w:t>2013 report observed that ‘there is a serious shortage of quality information, not only about medical treatment, but about the non-medical dimensions of intersex life’.</w:t>
      </w:r>
      <w:r w:rsidRPr="0117CC5D">
        <w:rPr>
          <w:rStyle w:val="EndnoteReference"/>
        </w:rPr>
        <w:endnoteReference w:id="800"/>
      </w:r>
      <w:r>
        <w:t xml:space="preserve"> The Senate Committee recommended that </w:t>
      </w:r>
    </w:p>
    <w:p w:rsidRPr="00525E99" w:rsidR="00452E54" w:rsidP="00452E54" w:rsidRDefault="00452E54" w14:paraId="1081FF82" w14:textId="77777777">
      <w:pPr>
        <w:pStyle w:val="NormalIndent"/>
        <w:rPr>
          <w:sz w:val="22"/>
          <w:szCs w:val="22"/>
        </w:rPr>
      </w:pPr>
      <w:r w:rsidRPr="00525E99">
        <w:rPr>
          <w:sz w:val="22"/>
          <w:szCs w:val="22"/>
        </w:rPr>
        <w:t>the Commonwealth Government support the establishment of an intersex patient registry and directly fund research that includes a long-term prospective study of clinical outcomes for intersex patients.</w:t>
      </w:r>
      <w:r w:rsidRPr="0117CC5D">
        <w:rPr>
          <w:rStyle w:val="EndnoteReference"/>
        </w:rPr>
        <w:endnoteReference w:id="801"/>
      </w:r>
    </w:p>
    <w:p w:rsidR="00452E54" w:rsidP="00452E54" w:rsidRDefault="00452E54" w14:paraId="6633E9FA" w14:textId="2BF70846">
      <w:r>
        <w:t xml:space="preserve">The need for better data collection to assist research and optimal </w:t>
      </w:r>
      <w:r w:rsidR="001A3C42">
        <w:t xml:space="preserve">care </w:t>
      </w:r>
      <w:r>
        <w:t xml:space="preserve">appears to remain. In the Commission’s view, there are strong arguments that a </w:t>
      </w:r>
      <w:r w:rsidRPr="00242245">
        <w:t xml:space="preserve">national </w:t>
      </w:r>
      <w:r>
        <w:t>databank</w:t>
      </w:r>
      <w:r w:rsidRPr="00242245">
        <w:t xml:space="preserve"> or registry </w:t>
      </w:r>
      <w:r>
        <w:t xml:space="preserve">should be created </w:t>
      </w:r>
      <w:r w:rsidRPr="00242245">
        <w:t>to record</w:t>
      </w:r>
      <w:r>
        <w:t xml:space="preserve"> important data about the nature and outcome of medical interventions. Lack of data may also be a </w:t>
      </w:r>
      <w:r w:rsidR="00BD2FCB">
        <w:t xml:space="preserve">relevant </w:t>
      </w:r>
      <w:r>
        <w:t xml:space="preserve">factor in human rights analysis where </w:t>
      </w:r>
      <w:r w:rsidR="00BD2FCB">
        <w:t xml:space="preserve">considering whether </w:t>
      </w:r>
      <w:r>
        <w:t xml:space="preserve">medical interventions </w:t>
      </w:r>
      <w:r w:rsidR="00BD2FCB">
        <w:t>may</w:t>
      </w:r>
      <w:r>
        <w:t xml:space="preserve"> be carried out without individual consent. Where there is a lack of data demonstrating the health benefits of intervention, it is difficult to characterise them as being</w:t>
      </w:r>
      <w:r w:rsidRPr="00B154EF">
        <w:rPr>
          <w:i/>
          <w:iCs/>
        </w:rPr>
        <w:t xml:space="preserve"> </w:t>
      </w:r>
      <w:r>
        <w:t>necessary and proportionate to avoid serious and irreparable harm.</w:t>
      </w:r>
      <w:r w:rsidRPr="0117CC5D">
        <w:rPr>
          <w:rStyle w:val="EndnoteReference"/>
        </w:rPr>
        <w:endnoteReference w:id="802"/>
      </w:r>
      <w:r w:rsidRPr="00486CA0">
        <w:rPr>
          <w:sz w:val="20"/>
          <w:szCs w:val="20"/>
        </w:rPr>
        <w:t xml:space="preserve"> </w:t>
      </w:r>
      <w:r>
        <w:t xml:space="preserve">This may have implications for decision making about interventions, including in future applications for authorisation. </w:t>
      </w:r>
    </w:p>
    <w:p w:rsidR="00452E54" w:rsidP="00452E54" w:rsidRDefault="00452E54" w14:paraId="70A40E29" w14:textId="77777777">
      <w:r>
        <w:t>The Commission suggests that data should be collected on, at least, the following matters:</w:t>
      </w:r>
    </w:p>
    <w:p w:rsidRPr="00EF3F94" w:rsidR="00452E54" w:rsidP="00452E54" w:rsidRDefault="00452E54" w14:paraId="60C01BC6" w14:textId="77777777">
      <w:pPr>
        <w:numPr>
          <w:ilvl w:val="0"/>
          <w:numId w:val="72"/>
        </w:numPr>
      </w:pPr>
      <w:r>
        <w:t>frequency</w:t>
      </w:r>
      <w:r w:rsidRPr="00EF3F94">
        <w:t xml:space="preserve"> of variations in sex characteristics, including of specific variations, associated phenotypes and their long-term outcomes</w:t>
      </w:r>
    </w:p>
    <w:p w:rsidRPr="00EF3F94" w:rsidR="00452E54" w:rsidP="00452E54" w:rsidRDefault="00452E54" w14:paraId="44F675E3" w14:textId="37179913">
      <w:pPr>
        <w:numPr>
          <w:ilvl w:val="0"/>
          <w:numId w:val="72"/>
        </w:numPr>
      </w:pPr>
      <w:r w:rsidRPr="00EF3F94">
        <w:t>short</w:t>
      </w:r>
      <w:r w:rsidR="00642B7A">
        <w:t>-</w:t>
      </w:r>
      <w:r w:rsidRPr="00EF3F94">
        <w:t>, medium</w:t>
      </w:r>
      <w:r w:rsidR="00642B7A">
        <w:t>-</w:t>
      </w:r>
      <w:r w:rsidR="00484B29">
        <w:t>,</w:t>
      </w:r>
      <w:r w:rsidRPr="00EF3F94">
        <w:t xml:space="preserve"> and long</w:t>
      </w:r>
      <w:r>
        <w:t>-</w:t>
      </w:r>
      <w:r w:rsidRPr="00EF3F94">
        <w:t>term effects of intervention and non-intervention</w:t>
      </w:r>
    </w:p>
    <w:p w:rsidRPr="000B4187" w:rsidR="00452E54" w:rsidP="00452E54" w:rsidRDefault="00452E54" w14:paraId="3E156214" w14:textId="1F5839A8">
      <w:pPr>
        <w:numPr>
          <w:ilvl w:val="0"/>
          <w:numId w:val="72"/>
        </w:numPr>
      </w:pPr>
      <w:r w:rsidRPr="00EF3F94">
        <w:t>consequences of deferred intervention</w:t>
      </w:r>
    </w:p>
    <w:p w:rsidR="00452E54" w:rsidP="00452E54" w:rsidRDefault="00452E54" w14:paraId="55606039" w14:textId="56EDD10A">
      <w:pPr>
        <w:numPr>
          <w:ilvl w:val="0"/>
          <w:numId w:val="72"/>
        </w:numPr>
      </w:pPr>
      <w:r>
        <w:lastRenderedPageBreak/>
        <w:t xml:space="preserve">psychosocial, sexual and general medical dimensions, to provide comprehensive evidence of whole-of-life impacts. </w:t>
      </w:r>
    </w:p>
    <w:p w:rsidR="00452E54" w:rsidP="00452E54" w:rsidRDefault="00452E54" w14:paraId="6D584511" w14:textId="77777777">
      <w:r>
        <w:rPr>
          <w:bCs/>
          <w:szCs w:val="26"/>
        </w:rPr>
        <w:t>In order f</w:t>
      </w:r>
      <w:r w:rsidRPr="00EF3F94">
        <w:t>or reliable, high</w:t>
      </w:r>
      <w:r>
        <w:t>-</w:t>
      </w:r>
      <w:r w:rsidRPr="00EF3F94">
        <w:t xml:space="preserve">quality longitudinal data to be collected, adults with lived experience of </w:t>
      </w:r>
      <w:r>
        <w:t xml:space="preserve">variations </w:t>
      </w:r>
      <w:r w:rsidRPr="00EF3F94">
        <w:t xml:space="preserve">will need to </w:t>
      </w:r>
      <w:r>
        <w:t xml:space="preserve">choose </w:t>
      </w:r>
      <w:r w:rsidRPr="00EF3F94">
        <w:t xml:space="preserve">to engage with and to trust in researchers and medical professionals. </w:t>
      </w:r>
      <w:r>
        <w:t>A</w:t>
      </w:r>
      <w:r w:rsidRPr="00EF3F94">
        <w:t xml:space="preserve"> great deal of preparatory work will need to be undertaken over a lengthy period by all stakeholder groups to build the kinds of relationships necessary for this to be possible.</w:t>
      </w:r>
      <w:r>
        <w:t xml:space="preserve"> The Commission supports the development of community and clinical co-designed research to help gain trust and participation of people with lived experience. </w:t>
      </w:r>
    </w:p>
    <w:p w:rsidR="00452E54" w:rsidP="00452E54" w:rsidRDefault="00452E54" w14:paraId="6E5E9FA0" w14:textId="77777777">
      <w:r>
        <w:t xml:space="preserve">There are many issues that would need to be addressed in order to establish a national databank. Importantly, adequate funding from government would be essential. </w:t>
      </w:r>
    </w:p>
    <w:p w:rsidR="00452E54" w:rsidP="00452E54" w:rsidRDefault="00452E54" w14:paraId="3F1EA01B" w14:textId="274C3D6B">
      <w:r>
        <w:t xml:space="preserve">How such a databank should be established and where it </w:t>
      </w:r>
      <w:r w:rsidRPr="007454A4">
        <w:t>should be located are open questions. Issues surrounding the establishment of a databank could be considered by the multidisciplinary expert group (see Recommendation 6). There may also be a role for the National Health and Medical Research Council</w:t>
      </w:r>
      <w:r>
        <w:t>, as</w:t>
      </w:r>
      <w:r w:rsidRPr="00A90135">
        <w:t xml:space="preserve"> the key driver of health and medical research in Australia.</w:t>
      </w:r>
      <w:r>
        <w:t xml:space="preserve"> </w:t>
      </w:r>
    </w:p>
    <w:p w:rsidR="00452E54" w:rsidP="00452E54" w:rsidRDefault="00452E54" w14:paraId="14F103B4" w14:textId="77777777">
      <w:r>
        <w:t>There should be robust consultation to ensure that any databank meets the expectations of people with lived experience.</w:t>
      </w:r>
      <w:r w:rsidRPr="00183064">
        <w:t xml:space="preserve"> </w:t>
      </w:r>
      <w:r>
        <w:t>Such consultation should address, among other things, whether individuals should have the right to opt-out from having personal information recorded on the databank. A databank would need to have strong privacy protection and ethics approval mechanisms.</w:t>
      </w:r>
    </w:p>
    <w:p w:rsidR="00452E54" w:rsidP="00452E54" w:rsidRDefault="00452E54" w14:paraId="7D27C656" w14:textId="3B3B417E">
      <w:r>
        <w:rPr>
          <w:rFonts w:cs="Open Sans"/>
          <w:color w:val="000000"/>
        </w:rPr>
        <w:t>The development of such a databa</w:t>
      </w:r>
      <w:r w:rsidR="005B68D6">
        <w:rPr>
          <w:rFonts w:cs="Open Sans"/>
          <w:color w:val="000000"/>
        </w:rPr>
        <w:t>nk</w:t>
      </w:r>
      <w:r>
        <w:rPr>
          <w:rFonts w:cs="Open Sans"/>
          <w:color w:val="000000"/>
        </w:rPr>
        <w:t xml:space="preserve"> should be tasked to the </w:t>
      </w:r>
      <w:r w:rsidRPr="00A4039E">
        <w:rPr>
          <w:rFonts w:eastAsia="Calibri" w:cs="Open Sans"/>
        </w:rPr>
        <w:t xml:space="preserve">national multidisciplinary expert group </w:t>
      </w:r>
      <w:r>
        <w:rPr>
          <w:rFonts w:eastAsia="Calibri" w:cs="Open Sans"/>
        </w:rPr>
        <w:t xml:space="preserve">that is responsible for the development of the </w:t>
      </w:r>
      <w:r w:rsidRPr="00A4039E">
        <w:rPr>
          <w:rFonts w:eastAsia="Times New Roman" w:cs="Open Sans"/>
          <w:i/>
          <w:iCs/>
        </w:rPr>
        <w:t xml:space="preserve">National Guidelines on medical interventions </w:t>
      </w:r>
      <w:r>
        <w:rPr>
          <w:rFonts w:eastAsia="Times New Roman" w:cs="Open Sans"/>
          <w:i/>
          <w:iCs/>
        </w:rPr>
        <w:t>for</w:t>
      </w:r>
      <w:r w:rsidRPr="00A4039E">
        <w:rPr>
          <w:rFonts w:eastAsia="Times New Roman" w:cs="Open Sans"/>
          <w:i/>
          <w:iCs/>
        </w:rPr>
        <w:t xml:space="preserve"> people born with variations of sex characteristics</w:t>
      </w:r>
      <w:r>
        <w:rPr>
          <w:rFonts w:eastAsia="Times New Roman" w:cs="Open Sans"/>
          <w:i/>
          <w:iCs/>
        </w:rPr>
        <w:t xml:space="preserve"> </w:t>
      </w:r>
      <w:r>
        <w:rPr>
          <w:rFonts w:eastAsia="Times New Roman" w:cs="Open Sans"/>
        </w:rPr>
        <w:t xml:space="preserve">(see Recommendation 6). </w:t>
      </w:r>
    </w:p>
    <w:p w:rsidR="00452E54" w:rsidP="00452E54" w:rsidRDefault="00452E54" w14:paraId="79F0C90D" w14:textId="77777777">
      <w:pPr>
        <w:pStyle w:val="AHRCHeading2"/>
      </w:pPr>
      <w:bookmarkStart w:name="_Toc31795954" w:id="628"/>
      <w:bookmarkStart w:name="_Toc80614243" w:id="629"/>
      <w:bookmarkStart w:name="_Toc85541508" w:id="630"/>
      <w:r>
        <w:t>Responding to those harmed by past practices</w:t>
      </w:r>
      <w:bookmarkEnd w:id="628"/>
      <w:bookmarkEnd w:id="629"/>
      <w:bookmarkEnd w:id="630"/>
      <w:r>
        <w:t xml:space="preserve"> </w:t>
      </w:r>
    </w:p>
    <w:p w:rsidR="00452E54" w:rsidP="00452E54" w:rsidRDefault="00452E54" w14:paraId="255DE2A6" w14:textId="77777777">
      <w:pPr>
        <w:rPr>
          <w:rFonts w:cs="Open Sans"/>
        </w:rPr>
      </w:pPr>
      <w:r>
        <w:rPr>
          <w:rFonts w:cs="Open Sans"/>
        </w:rPr>
        <w:t xml:space="preserve">People born with variations in sex characteristics’ experiences are outlined in Chapter 3 – Lived experience. In the submissions describing their experiences, some expressed their views on the need for redress for past harms. Other contributors, such as human rights agencies, also expressed their views on what redress they believe is needed to address past harms. </w:t>
      </w:r>
    </w:p>
    <w:p w:rsidRPr="00D661E9" w:rsidR="00452E54" w:rsidP="00452E54" w:rsidRDefault="00452E54" w14:paraId="1DCCB593" w14:textId="77777777">
      <w:pPr>
        <w:rPr>
          <w:rFonts w:cs="Open Sans"/>
        </w:rPr>
      </w:pPr>
      <w:r w:rsidRPr="00D661E9">
        <w:rPr>
          <w:rFonts w:cs="Open Sans"/>
        </w:rPr>
        <w:lastRenderedPageBreak/>
        <w:t xml:space="preserve">Options </w:t>
      </w:r>
      <w:r>
        <w:rPr>
          <w:rFonts w:cs="Open Sans"/>
        </w:rPr>
        <w:t>proposed</w:t>
      </w:r>
      <w:r w:rsidRPr="00D661E9">
        <w:rPr>
          <w:rFonts w:cs="Open Sans"/>
        </w:rPr>
        <w:t xml:space="preserve"> include:</w:t>
      </w:r>
    </w:p>
    <w:p w:rsidRPr="00D661E9" w:rsidR="00452E54" w:rsidP="00452E54" w:rsidRDefault="00452E54" w14:paraId="515E95E1" w14:textId="77777777">
      <w:pPr>
        <w:pStyle w:val="ListParagraph"/>
        <w:numPr>
          <w:ilvl w:val="0"/>
          <w:numId w:val="76"/>
        </w:numPr>
        <w:rPr>
          <w:rFonts w:cs="Open Sans"/>
        </w:rPr>
      </w:pPr>
      <w:r w:rsidRPr="00D661E9">
        <w:rPr>
          <w:rFonts w:cs="Open Sans"/>
        </w:rPr>
        <w:t>apology from both governments and institutions</w:t>
      </w:r>
      <w:r w:rsidRPr="0117CC5D">
        <w:rPr>
          <w:rStyle w:val="EndnoteReference"/>
          <w:rFonts w:cs="Open Sans"/>
        </w:rPr>
        <w:endnoteReference w:id="803"/>
      </w:r>
    </w:p>
    <w:p w:rsidRPr="00D661E9" w:rsidR="00452E54" w:rsidP="00452E54" w:rsidRDefault="00452E54" w14:paraId="34A8AB89" w14:textId="77777777">
      <w:pPr>
        <w:pStyle w:val="ListParagraph"/>
        <w:numPr>
          <w:ilvl w:val="0"/>
          <w:numId w:val="76"/>
        </w:numPr>
        <w:rPr>
          <w:rFonts w:cs="Open Sans"/>
        </w:rPr>
      </w:pPr>
      <w:r w:rsidRPr="00D661E9">
        <w:rPr>
          <w:rFonts w:cs="Open Sans"/>
        </w:rPr>
        <w:t>direct personal responses, such as those offered to survivors of institutional child sexual abuse, where desired</w:t>
      </w:r>
      <w:r w:rsidRPr="0117CC5D">
        <w:rPr>
          <w:rStyle w:val="EndnoteReference"/>
          <w:rFonts w:cs="Open Sans"/>
        </w:rPr>
        <w:endnoteReference w:id="804"/>
      </w:r>
    </w:p>
    <w:p w:rsidRPr="00D661E9" w:rsidR="00452E54" w:rsidP="00452E54" w:rsidRDefault="00452E54" w14:paraId="45C97598" w14:textId="77777777">
      <w:pPr>
        <w:pStyle w:val="ListParagraph"/>
        <w:numPr>
          <w:ilvl w:val="0"/>
          <w:numId w:val="76"/>
        </w:numPr>
        <w:rPr>
          <w:rFonts w:cs="Open Sans"/>
        </w:rPr>
      </w:pPr>
      <w:r w:rsidRPr="00D661E9">
        <w:rPr>
          <w:rFonts w:cs="Open Sans"/>
        </w:rPr>
        <w:t>reparation, redress and life-long financial support for ongoing reparative treatment required by virtue of non-consensual intervention</w:t>
      </w:r>
      <w:r w:rsidRPr="0117CC5D">
        <w:rPr>
          <w:rStyle w:val="EndnoteReference"/>
          <w:rFonts w:cs="Open Sans"/>
        </w:rPr>
        <w:endnoteReference w:id="805"/>
      </w:r>
    </w:p>
    <w:p w:rsidRPr="00D661E9" w:rsidR="00452E54" w:rsidP="00452E54" w:rsidRDefault="00452E54" w14:paraId="5CB1255A" w14:textId="77777777">
      <w:pPr>
        <w:pStyle w:val="ListParagraph"/>
        <w:numPr>
          <w:ilvl w:val="0"/>
          <w:numId w:val="76"/>
        </w:numPr>
        <w:rPr>
          <w:rFonts w:cs="Open Sans"/>
        </w:rPr>
      </w:pPr>
      <w:r w:rsidRPr="00D661E9">
        <w:rPr>
          <w:rFonts w:cs="Open Sans"/>
        </w:rPr>
        <w:t>life-long access to counselling for individuals and family members, where desired</w:t>
      </w:r>
      <w:r w:rsidRPr="0117CC5D">
        <w:rPr>
          <w:rStyle w:val="EndnoteReference"/>
          <w:rFonts w:cs="Open Sans"/>
        </w:rPr>
        <w:endnoteReference w:id="806"/>
      </w:r>
    </w:p>
    <w:p w:rsidRPr="00D661E9" w:rsidR="00452E54" w:rsidP="00452E54" w:rsidRDefault="00452E54" w14:paraId="12F2E56F" w14:textId="77777777">
      <w:pPr>
        <w:pStyle w:val="ListParagraph"/>
        <w:numPr>
          <w:ilvl w:val="0"/>
          <w:numId w:val="76"/>
        </w:numPr>
        <w:rPr>
          <w:rFonts w:cs="Open Sans"/>
        </w:rPr>
      </w:pPr>
      <w:r w:rsidRPr="00D661E9">
        <w:rPr>
          <w:rFonts w:cs="Open Sans"/>
        </w:rPr>
        <w:t>no statute of limitations on civil or criminal litigation.</w:t>
      </w:r>
      <w:r w:rsidRPr="0117CC5D">
        <w:rPr>
          <w:rStyle w:val="EndnoteReference"/>
          <w:rFonts w:cs="Open Sans"/>
        </w:rPr>
        <w:endnoteReference w:id="807"/>
      </w:r>
    </w:p>
    <w:p w:rsidR="00452E54" w:rsidP="00452E54" w:rsidRDefault="00452E54" w14:paraId="0B5890D8" w14:textId="77777777">
      <w:pPr>
        <w:rPr>
          <w:rFonts w:cs="Open Sans"/>
        </w:rPr>
      </w:pPr>
      <w:r>
        <w:rPr>
          <w:rFonts w:cs="Open Sans"/>
        </w:rPr>
        <w:t xml:space="preserve">These are important contributions. The Commission also notes the remarks to Australia by the UN </w:t>
      </w:r>
      <w:r w:rsidRPr="00F42EC9">
        <w:rPr>
          <w:rFonts w:cs="Open Sans"/>
        </w:rPr>
        <w:t>Committee on the Rights of Persons with Disabilities (2019)</w:t>
      </w:r>
      <w:r>
        <w:rPr>
          <w:rFonts w:cs="Open Sans"/>
        </w:rPr>
        <w:t xml:space="preserve"> and the </w:t>
      </w:r>
      <w:r w:rsidRPr="008C0113">
        <w:rPr>
          <w:rFonts w:cs="Open Sans"/>
        </w:rPr>
        <w:t>UN Committee on the Elimination of Discrimination Against Women (2018)</w:t>
      </w:r>
      <w:r>
        <w:rPr>
          <w:rFonts w:cs="Open Sans"/>
        </w:rPr>
        <w:t xml:space="preserve"> calling for provision of redress.</w:t>
      </w:r>
      <w:r w:rsidRPr="0117CC5D">
        <w:rPr>
          <w:rStyle w:val="EndnoteReference"/>
          <w:rFonts w:cs="Open Sans"/>
        </w:rPr>
        <w:endnoteReference w:id="808"/>
      </w:r>
      <w:r w:rsidRPr="00E954D9">
        <w:rPr>
          <w:rFonts w:cs="Open Sans"/>
          <w:sz w:val="20"/>
          <w:szCs w:val="20"/>
        </w:rPr>
        <w:t xml:space="preserve"> </w:t>
      </w:r>
      <w:r>
        <w:rPr>
          <w:rFonts w:cs="Open Sans"/>
        </w:rPr>
        <w:t xml:space="preserve">The right to an effective remedy is also provided for in the </w:t>
      </w:r>
      <w:r w:rsidRPr="00B523A4">
        <w:rPr>
          <w:rFonts w:cs="Open Sans"/>
          <w:i/>
          <w:iCs/>
        </w:rPr>
        <w:t>International Covenant on Civil and Political Rights</w:t>
      </w:r>
      <w:r>
        <w:rPr>
          <w:rFonts w:cs="Open Sans"/>
        </w:rPr>
        <w:t>.</w:t>
      </w:r>
      <w:r w:rsidRPr="0117CC5D">
        <w:rPr>
          <w:rStyle w:val="EndnoteReference"/>
          <w:rFonts w:cs="Open Sans"/>
        </w:rPr>
        <w:endnoteReference w:id="809"/>
      </w:r>
    </w:p>
    <w:p w:rsidR="00452E54" w:rsidP="00452E54" w:rsidRDefault="00452E54" w14:paraId="5FB966D0" w14:textId="77777777">
      <w:pPr>
        <w:rPr>
          <w:rFonts w:cs="Open Sans"/>
        </w:rPr>
      </w:pPr>
      <w:r>
        <w:rPr>
          <w:rFonts w:cs="Open Sans"/>
        </w:rPr>
        <w:t xml:space="preserve">In the Consultation Paper the Commission did not ask any questions relating to views of stakeholders on redress measures for past harms. As a result, the Commission is not a position to have a fulsome understanding of the community’s views on the need for redress, other than the few comments above. In the absence of comprehensive input across the range of stakeholders, it would be premature for the Commission to express a view on appropriate redress measures. </w:t>
      </w:r>
      <w:r>
        <w:rPr>
          <w:rFonts w:eastAsia="Times New Roman"/>
        </w:rPr>
        <w:t>Any model for redress would need to consider the specifics of harms caused and the most appropriate way of remedying them.</w:t>
      </w:r>
    </w:p>
    <w:p w:rsidR="00452E54" w:rsidP="00452E54" w:rsidRDefault="00452E54" w14:paraId="66AA2A2D" w14:textId="77777777">
      <w:r>
        <w:rPr>
          <w:rFonts w:cs="Open Sans"/>
        </w:rPr>
        <w:t>The Commission is sympathetic to an appropriate body exploring this issue, with a view to engaging all relevant stakeholders. The Australian Law Reform Commission might be such a body.</w:t>
      </w:r>
    </w:p>
    <w:p w:rsidRPr="00BC28F0" w:rsidR="007A5D0B" w:rsidP="00740A25" w:rsidRDefault="007A5D0B" w14:paraId="1DAB71EA" w14:textId="77777777"/>
    <w:bookmarkEnd w:id="485"/>
    <w:p w:rsidR="005C4CC3" w:rsidP="008C0259" w:rsidRDefault="005C4CC3" w14:paraId="70B32A38" w14:textId="77777777">
      <w:pPr>
        <w:rPr>
          <w:rFonts w:cs="Open Sans"/>
        </w:rPr>
      </w:pPr>
    </w:p>
    <w:bookmarkEnd w:id="162"/>
    <w:p w:rsidRPr="008F68C2" w:rsidR="002052F0" w:rsidP="002052F0" w:rsidRDefault="002052F0" w14:paraId="37387955" w14:textId="77777777"/>
    <w:sectPr w:rsidRPr="008F68C2" w:rsidR="002052F0" w:rsidSect="00E16DDD">
      <w:headerReference w:type="even" r:id="rId19"/>
      <w:headerReference w:type="default" r:id="rId20"/>
      <w:footerReference w:type="even" r:id="rId21"/>
      <w:footerReference w:type="default" r:id="rId22"/>
      <w:headerReference w:type="first" r:id="rId23"/>
      <w:footerReference w:type="first" r:id="rId24"/>
      <w:endnotePr>
        <w:numFmt w:val="decimal"/>
      </w:endnotePr>
      <w:pgSz w:w="11906" w:h="16838" w:orient="portrait" w:code="9"/>
      <w:pgMar w:top="1134" w:right="1418" w:bottom="1134" w:left="1418" w:header="907" w:footer="283"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6AC0" w:rsidP="00F14C6D" w:rsidRDefault="00D06AC0" w14:paraId="68BC3E2A" w14:textId="77777777">
      <w:r>
        <w:separator/>
      </w:r>
    </w:p>
  </w:endnote>
  <w:endnote w:type="continuationSeparator" w:id="0">
    <w:p w:rsidR="00D06AC0" w:rsidP="00F14C6D" w:rsidRDefault="00D06AC0" w14:paraId="43010E21" w14:textId="77777777">
      <w:r>
        <w:continuationSeparator/>
      </w:r>
    </w:p>
  </w:endnote>
  <w:endnote w:type="continuationNotice" w:id="1">
    <w:p w:rsidR="00D06AC0" w:rsidRDefault="00D06AC0" w14:paraId="6A458FCE" w14:textId="77777777">
      <w:pPr>
        <w:spacing w:before="0" w:after="0"/>
      </w:pPr>
    </w:p>
  </w:endnote>
  <w:endnote w:id="2">
    <w:p w:rsidRPr="00A0638C" w:rsidR="00AF61DF" w:rsidRDefault="00AF61DF" w14:paraId="39EEF341" w14:textId="15C2C36C">
      <w:pPr>
        <w:pStyle w:val="EndnoteText"/>
        <w:rPr>
          <w:lang w:val="en-US"/>
        </w:rPr>
      </w:pPr>
      <w:r>
        <w:rPr>
          <w:rStyle w:val="EndnoteReference"/>
        </w:rPr>
        <w:endnoteRef/>
      </w:r>
      <w:r>
        <w:t xml:space="preserve"> </w:t>
      </w:r>
      <w:r>
        <w:rPr>
          <w:lang w:val="en-US"/>
        </w:rPr>
        <w:t xml:space="preserve">Submission 57, Intersex Inquiry. </w:t>
      </w:r>
    </w:p>
  </w:endnote>
  <w:endnote w:id="3">
    <w:p w:rsidRPr="00B24D48" w:rsidR="006D1CB7" w:rsidP="006D1CB7" w:rsidRDefault="006D1CB7" w14:paraId="00B33776" w14:textId="77777777">
      <w:pPr>
        <w:pStyle w:val="EndnoteText"/>
        <w:rPr>
          <w:lang w:val="en-US"/>
        </w:rPr>
      </w:pPr>
      <w:r>
        <w:rPr>
          <w:rStyle w:val="EndnoteReference"/>
        </w:rPr>
        <w:endnoteRef/>
      </w:r>
      <w:r>
        <w:t xml:space="preserve"> </w:t>
      </w:r>
      <w:r w:rsidRPr="00B24D48">
        <w:t xml:space="preserve">Black et al, </w:t>
      </w:r>
      <w:r w:rsidRPr="009C26A1">
        <w:rPr>
          <w:i/>
          <w:iCs/>
        </w:rPr>
        <w:t>Darlington Statement</w:t>
      </w:r>
      <w:r w:rsidRPr="00B24D48">
        <w:t xml:space="preserve"> (10 March 2017) </w:t>
      </w:r>
      <w:r>
        <w:t>&lt;</w:t>
      </w:r>
      <w:hyperlink w:history="1" r:id="rId1">
        <w:r w:rsidRPr="004B1E11">
          <w:rPr>
            <w:rStyle w:val="Hyperlink"/>
          </w:rPr>
          <w:t>https://darlington.org.au/statement</w:t>
        </w:r>
      </w:hyperlink>
      <w:r>
        <w:t>&gt;.</w:t>
      </w:r>
    </w:p>
  </w:endnote>
  <w:endnote w:id="4">
    <w:p w:rsidR="006D1CB7" w:rsidP="006D1CB7" w:rsidRDefault="006D1CB7" w14:paraId="7663620F" w14:textId="77777777">
      <w:pPr>
        <w:pStyle w:val="EndnoteText"/>
      </w:pPr>
      <w:r w:rsidRPr="1A25A707">
        <w:rPr>
          <w:rStyle w:val="EndnoteReference"/>
        </w:rPr>
        <w:endnoteRef/>
      </w:r>
      <w:r>
        <w:t xml:space="preserve"> Australian Human Rights Commission, </w:t>
      </w:r>
      <w:r w:rsidRPr="1A25A707">
        <w:rPr>
          <w:i/>
          <w:iCs/>
        </w:rPr>
        <w:t>Resilient Individuals: Sexual Orientation, Gender Identity &amp; Intersex Rights</w:t>
      </w:r>
      <w:r>
        <w:t xml:space="preserve"> (2015) &lt;</w:t>
      </w:r>
      <w:hyperlink r:id="rId2">
        <w:r w:rsidRPr="1A25A707">
          <w:rPr>
            <w:rStyle w:val="Hyperlink"/>
          </w:rPr>
          <w:t>https://www.humanrights.gov.au/sites/default/files/document/publication/SOGII%20Rights%20Report%202015_Web_Version.pdf</w:t>
        </w:r>
      </w:hyperlink>
      <w:r>
        <w:t>&gt;.</w:t>
      </w:r>
    </w:p>
  </w:endnote>
  <w:endnote w:id="5">
    <w:p w:rsidR="006D1CB7" w:rsidP="006D1CB7" w:rsidRDefault="006D1CB7" w14:paraId="5DB5E27E" w14:textId="77777777">
      <w:pPr>
        <w:pStyle w:val="EndnoteText"/>
      </w:pPr>
      <w:r w:rsidRPr="1A25A707">
        <w:rPr>
          <w:rStyle w:val="EndnoteReference"/>
        </w:rPr>
        <w:endnoteRef/>
      </w:r>
      <w:r>
        <w:t xml:space="preserve"> Australian Human Rights Commission, </w:t>
      </w:r>
      <w:r w:rsidRPr="1A25A707">
        <w:rPr>
          <w:i/>
          <w:iCs/>
        </w:rPr>
        <w:t>Surgery on Intersex Infants and Human Rights</w:t>
      </w:r>
      <w:r>
        <w:t xml:space="preserve"> (July 2009) &lt;</w:t>
      </w:r>
      <w:hyperlink r:id="rId3">
        <w:r w:rsidRPr="1A25A707">
          <w:rPr>
            <w:rStyle w:val="Hyperlink"/>
          </w:rPr>
          <w:t>https://www.humanrights.gov.au/surgery-intersex-infants-and-human-rights-2009</w:t>
        </w:r>
      </w:hyperlink>
      <w:r>
        <w:t xml:space="preserve">&gt;. </w:t>
      </w:r>
    </w:p>
  </w:endnote>
  <w:endnote w:id="6">
    <w:p w:rsidR="006D1CB7" w:rsidP="006D1CB7" w:rsidRDefault="006D1CB7" w14:paraId="25BEE9B2" w14:textId="77777777">
      <w:pPr>
        <w:pStyle w:val="EndnoteText"/>
      </w:pPr>
      <w:r w:rsidRPr="1A25A707">
        <w:rPr>
          <w:rStyle w:val="EndnoteReference"/>
        </w:rPr>
        <w:endnoteRef/>
      </w:r>
      <w:r>
        <w:t xml:space="preserve"> See, for example, Australian Human Rights Commission, </w:t>
      </w:r>
      <w:r w:rsidRPr="1A25A707">
        <w:rPr>
          <w:i/>
          <w:iCs/>
        </w:rPr>
        <w:t xml:space="preserve">Information for List of Issues </w:t>
      </w:r>
      <w:r>
        <w:rPr>
          <w:i/>
          <w:iCs/>
        </w:rPr>
        <w:t>–</w:t>
      </w:r>
      <w:r w:rsidRPr="1A25A707">
        <w:rPr>
          <w:i/>
          <w:iCs/>
        </w:rPr>
        <w:t xml:space="preserve"> Australia</w:t>
      </w:r>
      <w:r>
        <w:t>, Submission to UN Committee on Economic, Social and Cultural Rights (29 August 2016) &lt;</w:t>
      </w:r>
      <w:hyperlink r:id="rId4">
        <w:r w:rsidRPr="1A25A707">
          <w:rPr>
            <w:rStyle w:val="Hyperlink"/>
          </w:rPr>
          <w:t>https://rightstalk.humanrights.gov.au/sites/default/files/AHRC_ICESCR_LOI_2016.pdf</w:t>
        </w:r>
      </w:hyperlink>
      <w:r w:rsidRPr="1A25A707">
        <w:rPr>
          <w:rStyle w:val="Hyperlink"/>
        </w:rPr>
        <w:t>&gt;</w:t>
      </w:r>
      <w:r>
        <w:t>.</w:t>
      </w:r>
    </w:p>
  </w:endnote>
  <w:endnote w:id="7">
    <w:p w:rsidR="006D1CB7" w:rsidP="006D1CB7" w:rsidRDefault="006D1CB7" w14:paraId="2818170D" w14:textId="77777777">
      <w:pPr>
        <w:pStyle w:val="EndnoteText"/>
      </w:pPr>
      <w:r w:rsidRPr="1A25A707">
        <w:rPr>
          <w:rStyle w:val="EndnoteReference"/>
        </w:rPr>
        <w:endnoteRef/>
      </w:r>
      <w:r>
        <w:t xml:space="preserve"> Senate Community Affairs References Committee, Parliament of Australia</w:t>
      </w:r>
      <w:r w:rsidRPr="1A25A707">
        <w:rPr>
          <w:i/>
          <w:iCs/>
        </w:rPr>
        <w:t>, Involuntary or coerced sterilisation of intersex people in Australia</w:t>
      </w:r>
      <w:r>
        <w:t xml:space="preserve"> (2013) &lt;</w:t>
      </w:r>
      <w:hyperlink r:id="rId5">
        <w:r w:rsidRPr="1A25A707">
          <w:rPr>
            <w:rStyle w:val="Hyperlink"/>
          </w:rPr>
          <w:t>http://www.aph.gov.au/Parliamentary_Business/Committees/Senate/Community_Affairs/Involuntary_Sterilisation/Sec_Report/~/media/Committees/Senate/committee/clac_ctte/involuntary_sterilisation/second_report/report.ashx</w:t>
        </w:r>
      </w:hyperlink>
      <w:r>
        <w:t>&gt;.</w:t>
      </w:r>
    </w:p>
  </w:endnote>
  <w:endnote w:id="8">
    <w:p w:rsidRPr="005F60F8" w:rsidR="006D1CB7" w:rsidP="006D1CB7" w:rsidRDefault="006D1CB7" w14:paraId="3F3908D7" w14:textId="77777777">
      <w:pPr>
        <w:pStyle w:val="EndnoteText"/>
        <w:rPr>
          <w:lang w:val="en-US"/>
        </w:rPr>
      </w:pPr>
      <w:r>
        <w:rPr>
          <w:rStyle w:val="EndnoteReference"/>
        </w:rPr>
        <w:endnoteRef/>
      </w:r>
      <w:r>
        <w:t xml:space="preserve"> </w:t>
      </w:r>
      <w:r w:rsidRPr="002F7590">
        <w:t xml:space="preserve">Commonwealth, </w:t>
      </w:r>
      <w:r w:rsidRPr="002F7590">
        <w:rPr>
          <w:i/>
          <w:iCs/>
        </w:rPr>
        <w:t xml:space="preserve">Parliamentary Debates, </w:t>
      </w:r>
      <w:r w:rsidRPr="002F7590">
        <w:t xml:space="preserve">Senate, 17 June 2015, 3755-3769 (Senator Fifield). At </w:t>
      </w:r>
      <w:r>
        <w:t>&lt;</w:t>
      </w:r>
      <w:hyperlink w:history="1" r:id="rId6">
        <w:r w:rsidRPr="001F32D3">
          <w:rPr>
            <w:rStyle w:val="Hyperlink"/>
          </w:rPr>
          <w:t>http://parlinfo.aph.gov.au/parlInfo/search/display/display.w3p;query=Id%3A%22chamber%2Fhansards%2Fb72114df-d068-4aeb-8fd0-833d5a01f955%2F0164%22;src1=sm1</w:t>
        </w:r>
      </w:hyperlink>
      <w:r>
        <w:rPr>
          <w:rStyle w:val="Hyperlink"/>
        </w:rPr>
        <w:t>&gt;</w:t>
      </w:r>
      <w:r w:rsidRPr="002F7590">
        <w:t>.</w:t>
      </w:r>
    </w:p>
  </w:endnote>
  <w:endnote w:id="9">
    <w:p w:rsidRPr="008C66DE" w:rsidR="006D1CB7" w:rsidP="006D1CB7" w:rsidRDefault="006D1CB7" w14:paraId="0A150603" w14:textId="77777777">
      <w:pPr>
        <w:pStyle w:val="EndnoteText"/>
      </w:pPr>
      <w:r>
        <w:rPr>
          <w:rStyle w:val="EndnoteReference"/>
        </w:rPr>
        <w:endnoteRef/>
      </w:r>
      <w:r>
        <w:t xml:space="preserve"> </w:t>
      </w:r>
      <w:r w:rsidRPr="00A74489">
        <w:t xml:space="preserve">Commonwealth, </w:t>
      </w:r>
      <w:r w:rsidRPr="00A74489">
        <w:rPr>
          <w:i/>
          <w:iCs/>
        </w:rPr>
        <w:t xml:space="preserve">Parliamentary Debates, </w:t>
      </w:r>
      <w:r w:rsidRPr="00A74489">
        <w:t xml:space="preserve">Senate, 17 June 2015, 3755-3769 (Senator Fifield). At </w:t>
      </w:r>
      <w:r>
        <w:t>&lt;</w:t>
      </w:r>
      <w:hyperlink w:history="1" r:id="rId7">
        <w:r w:rsidRPr="001F32D3">
          <w:rPr>
            <w:rStyle w:val="Hyperlink"/>
          </w:rPr>
          <w:t>http://parlinfo.aph.gov.au/parlInfo/search/display/display.w3p;query=Id%3A%22chamber%2Fhansards%2Fb72114df-d068-4aeb-8fd0-833d5a01f955%2F0164%22;src1=sm1</w:t>
        </w:r>
      </w:hyperlink>
      <w:r>
        <w:t>&gt;</w:t>
      </w:r>
      <w:r w:rsidRPr="00A74489">
        <w:t>.</w:t>
      </w:r>
    </w:p>
  </w:endnote>
  <w:endnote w:id="10">
    <w:p w:rsidRPr="00C34D46" w:rsidR="006D1CB7" w:rsidP="006D1CB7" w:rsidRDefault="006D1CB7" w14:paraId="639455C3" w14:textId="77777777">
      <w:pPr>
        <w:pStyle w:val="EndnoteText"/>
      </w:pPr>
      <w:r>
        <w:rPr>
          <w:rStyle w:val="EndnoteReference"/>
        </w:rPr>
        <w:endnoteRef/>
      </w:r>
      <w:r>
        <w:t xml:space="preserve"> &lt;</w:t>
      </w:r>
      <w:hyperlink w:history="1" r:id="rId8">
        <w:r w:rsidRPr="00C34D46">
          <w:rPr>
            <w:rStyle w:val="Hyperlink"/>
          </w:rPr>
          <w:t>https://www2.health.vic.gov.au/about/publications/Factsheets/i-am-equal</w:t>
        </w:r>
      </w:hyperlink>
      <w:r>
        <w:t>&gt;</w:t>
      </w:r>
    </w:p>
  </w:endnote>
  <w:endnote w:id="11">
    <w:p w:rsidR="006D1CB7" w:rsidP="006D1CB7" w:rsidRDefault="006D1CB7" w14:paraId="4CAB0E47" w14:textId="77777777">
      <w:pPr>
        <w:pStyle w:val="EndnoteText"/>
        <w:rPr>
          <w:lang w:val="en-US"/>
        </w:rPr>
      </w:pPr>
      <w:r w:rsidRPr="1A25A707">
        <w:rPr>
          <w:rStyle w:val="EndnoteReference"/>
        </w:rPr>
        <w:endnoteRef/>
      </w:r>
      <w:r>
        <w:t xml:space="preserve"> Australian Human Rights Commission, </w:t>
      </w:r>
      <w:r w:rsidRPr="1A25A707">
        <w:rPr>
          <w:i/>
          <w:iCs/>
        </w:rPr>
        <w:t>Consultation Paper on Protecting the Human Rights of People Born with Variations in Sex Characteristics in the context of Medical Interventions</w:t>
      </w:r>
      <w:r>
        <w:t xml:space="preserve"> (2018) &lt; </w:t>
      </w:r>
      <w:hyperlink r:id="rId9">
        <w:r w:rsidRPr="1A25A707">
          <w:rPr>
            <w:rStyle w:val="Hyperlink"/>
          </w:rPr>
          <w:t>https://humanrights.gov.au/our-work/lgbti/projects/protecting-human-rights-people-born-variations-sex-characteristics-context</w:t>
        </w:r>
      </w:hyperlink>
      <w:r>
        <w:t xml:space="preserve">&gt;. </w:t>
      </w:r>
    </w:p>
  </w:endnote>
  <w:endnote w:id="12">
    <w:p w:rsidR="006D1CB7" w:rsidP="006D1CB7" w:rsidRDefault="006D1CB7" w14:paraId="594F9DF9" w14:textId="77777777">
      <w:pPr>
        <w:pStyle w:val="EndnoteText"/>
      </w:pPr>
      <w:r>
        <w:rPr>
          <w:rStyle w:val="EndnoteReference"/>
        </w:rPr>
        <w:endnoteRef/>
      </w:r>
      <w:r>
        <w:t xml:space="preserve"> The shorthand form of ‘Intersex Inquiry’ is used in the notes to refer to these submissions and to interviews conducted.</w:t>
      </w:r>
    </w:p>
  </w:endnote>
  <w:endnote w:id="13">
    <w:p w:rsidRPr="00111CC1" w:rsidR="006D1CB7" w:rsidP="006D1CB7" w:rsidRDefault="006D1CB7" w14:paraId="5E6C2DAD" w14:textId="77777777">
      <w:pPr>
        <w:pStyle w:val="EndnoteText"/>
        <w:rPr>
          <w:lang w:val="en-US"/>
        </w:rPr>
      </w:pPr>
      <w:r>
        <w:rPr>
          <w:rStyle w:val="EndnoteReference"/>
        </w:rPr>
        <w:endnoteRef/>
      </w:r>
      <w:r>
        <w:t xml:space="preserve"> National Health and Medical Research Council, </w:t>
      </w:r>
      <w:r w:rsidRPr="00154897">
        <w:rPr>
          <w:i/>
        </w:rPr>
        <w:t>National Statement on Ethical Conduct in Human Research</w:t>
      </w:r>
      <w:r w:rsidRPr="00154897">
        <w:t xml:space="preserve">, and the </w:t>
      </w:r>
      <w:r w:rsidRPr="00154897">
        <w:rPr>
          <w:i/>
        </w:rPr>
        <w:t>Australian Code for the Responsible Conduct of Research</w:t>
      </w:r>
      <w:r>
        <w:rPr>
          <w:i/>
        </w:rPr>
        <w:t xml:space="preserve">, </w:t>
      </w:r>
      <w:r w:rsidRPr="00714C39">
        <w:rPr>
          <w:i/>
          <w:lang w:val="en-US"/>
        </w:rPr>
        <w:t>National Statement on Ethical Conduct in Human Research</w:t>
      </w:r>
      <w:r>
        <w:rPr>
          <w:iCs/>
          <w:lang w:val="en-US"/>
        </w:rPr>
        <w:t>, E72,</w:t>
      </w:r>
      <w:r w:rsidRPr="00714C39">
        <w:rPr>
          <w:i/>
          <w:lang w:val="en-US"/>
        </w:rPr>
        <w:t xml:space="preserve"> </w:t>
      </w:r>
      <w:r w:rsidRPr="00267BBF">
        <w:rPr>
          <w:iCs/>
          <w:lang w:val="en-US"/>
        </w:rPr>
        <w:t>2007</w:t>
      </w:r>
      <w:r>
        <w:rPr>
          <w:iCs/>
          <w:lang w:val="en-US"/>
        </w:rPr>
        <w:t xml:space="preserve"> </w:t>
      </w:r>
      <w:r w:rsidRPr="00267BBF">
        <w:rPr>
          <w:iCs/>
          <w:lang w:val="en-US"/>
        </w:rPr>
        <w:t>(Updated 2018)</w:t>
      </w:r>
      <w:r>
        <w:rPr>
          <w:iCs/>
          <w:lang w:val="en-US"/>
        </w:rPr>
        <w:t xml:space="preserve"> &lt;</w:t>
      </w:r>
      <w:hyperlink w:history="1" r:id="rId10">
        <w:r w:rsidRPr="00E30CB9">
          <w:rPr>
            <w:rStyle w:val="Hyperlink"/>
          </w:rPr>
          <w:t>www.nhmrc.gov.au/guidelines/publications/e72</w:t>
        </w:r>
      </w:hyperlink>
      <w:r>
        <w:rPr>
          <w:rStyle w:val="A3"/>
        </w:rPr>
        <w:t xml:space="preserve">&gt;. </w:t>
      </w:r>
    </w:p>
  </w:endnote>
  <w:endnote w:id="14">
    <w:p w:rsidRPr="00F52FD9" w:rsidR="006D1CB7" w:rsidP="006D1CB7" w:rsidRDefault="006D1CB7" w14:paraId="772125FA" w14:textId="77777777">
      <w:pPr>
        <w:pStyle w:val="EndnoteText"/>
      </w:pPr>
      <w:r>
        <w:rPr>
          <w:rStyle w:val="EndnoteReference"/>
        </w:rPr>
        <w:endnoteRef/>
      </w:r>
      <w:r>
        <w:t xml:space="preserve"> </w:t>
      </w:r>
      <w:r w:rsidRPr="00F52FD9">
        <w:t xml:space="preserve">Male circumcision does not fall within this as is it not an intervention addressing a sex characteristic that departs from medical norms of female or male bodies. </w:t>
      </w:r>
    </w:p>
    <w:p w:rsidR="006D1CB7" w:rsidP="004E4E09" w:rsidRDefault="006D1CB7" w14:paraId="4DBAE9BF" w14:textId="77777777">
      <w:pPr>
        <w:pStyle w:val="EndnoteText"/>
        <w:ind w:left="0" w:firstLine="0"/>
      </w:pPr>
    </w:p>
  </w:endnote>
  <w:endnote w:id="15">
    <w:p w:rsidRPr="00672C36" w:rsidR="00265E7E" w:rsidP="00265E7E" w:rsidRDefault="00265E7E" w14:paraId="6AE80A62" w14:textId="77777777">
      <w:pPr>
        <w:pStyle w:val="EndnoteText"/>
        <w:rPr>
          <w:rFonts w:cs="Open Sans"/>
        </w:rPr>
      </w:pPr>
      <w:r w:rsidRPr="00672C36">
        <w:rPr>
          <w:rStyle w:val="EndnoteReference"/>
          <w:rFonts w:cs="Open Sans"/>
        </w:rPr>
        <w:endnoteRef/>
      </w:r>
      <w:r w:rsidRPr="00672C36">
        <w:rPr>
          <w:rFonts w:cs="Open Sans"/>
        </w:rPr>
        <w:t xml:space="preserve"> Submission 45, </w:t>
      </w:r>
      <w:r>
        <w:rPr>
          <w:rFonts w:cs="Open Sans"/>
          <w:i/>
          <w:iCs/>
        </w:rPr>
        <w:t>Intersex Inquiry</w:t>
      </w:r>
      <w:r>
        <w:rPr>
          <w:rFonts w:cs="Open Sans"/>
        </w:rPr>
        <w:t>,</w:t>
      </w:r>
      <w:r>
        <w:rPr>
          <w:rFonts w:cs="Open Sans"/>
          <w:i/>
          <w:iCs/>
        </w:rPr>
        <w:t xml:space="preserve"> </w:t>
      </w:r>
      <w:r w:rsidRPr="00672C36">
        <w:rPr>
          <w:rFonts w:cs="Open Sans"/>
        </w:rPr>
        <w:t>3.</w:t>
      </w:r>
    </w:p>
  </w:endnote>
  <w:endnote w:id="16">
    <w:p w:rsidRPr="00672C36" w:rsidR="00E4455B" w:rsidP="00E4455B" w:rsidRDefault="00E4455B" w14:paraId="7DA34017" w14:textId="77777777">
      <w:pPr>
        <w:pStyle w:val="EndnoteText"/>
        <w:rPr>
          <w:rFonts w:cs="Open Sans"/>
        </w:rPr>
      </w:pPr>
      <w:r w:rsidRPr="00672C36">
        <w:rPr>
          <w:rStyle w:val="EndnoteReference"/>
          <w:rFonts w:cs="Open Sans"/>
        </w:rPr>
        <w:endnoteRef/>
      </w:r>
      <w:r w:rsidRPr="00672C36">
        <w:rPr>
          <w:rFonts w:cs="Open Sans"/>
        </w:rPr>
        <w:t xml:space="preserve"> Australasian Paediatric Endocrine Group, Submission 20, </w:t>
      </w:r>
      <w:r>
        <w:rPr>
          <w:rFonts w:cs="Open Sans"/>
          <w:i/>
          <w:iCs/>
        </w:rPr>
        <w:t>Intersex Inquiry</w:t>
      </w:r>
      <w:r>
        <w:rPr>
          <w:rFonts w:cs="Open Sans"/>
        </w:rPr>
        <w:t xml:space="preserve">; </w:t>
      </w:r>
      <w:r w:rsidRPr="00672C36">
        <w:rPr>
          <w:rFonts w:cs="Open Sans"/>
        </w:rPr>
        <w:t xml:space="preserve">Submission 35, </w:t>
      </w:r>
      <w:r>
        <w:rPr>
          <w:rFonts w:cs="Open Sans"/>
          <w:i/>
          <w:iCs/>
        </w:rPr>
        <w:t>Intersex Inquiry</w:t>
      </w:r>
      <w:r w:rsidRPr="00672C36">
        <w:rPr>
          <w:rFonts w:cs="Open Sans"/>
        </w:rPr>
        <w:t>,</w:t>
      </w:r>
      <w:r>
        <w:rPr>
          <w:rFonts w:cs="Open Sans"/>
          <w:i/>
        </w:rPr>
        <w:t xml:space="preserve"> </w:t>
      </w:r>
      <w:r w:rsidRPr="00672C36">
        <w:rPr>
          <w:rFonts w:cs="Open Sans"/>
        </w:rPr>
        <w:t>4, which refers to some of the limitation of the approach taken to collecting data on sex and gender by the Australian Bureau of Statistics, as described at &lt;</w:t>
      </w:r>
      <w:hyperlink w:history="1" r:id="rId11">
        <w:r w:rsidRPr="00672C36">
          <w:rPr>
            <w:rStyle w:val="Hyperlink"/>
            <w:rFonts w:cs="Open Sans"/>
          </w:rPr>
          <w:t>http://www.abs.gov.au/websitedbs/D3310114.nsf/home/ABS+Response+to+Sex+and+Gender+Guidelines</w:t>
        </w:r>
      </w:hyperlink>
      <w:r w:rsidRPr="00672C36">
        <w:rPr>
          <w:rFonts w:cs="Open Sans"/>
        </w:rPr>
        <w:t xml:space="preserve">&gt;. </w:t>
      </w:r>
    </w:p>
  </w:endnote>
  <w:endnote w:id="17">
    <w:p w:rsidRPr="00672C36" w:rsidR="00E4455B" w:rsidP="00E4455B" w:rsidRDefault="00E4455B" w14:paraId="7ADEA538" w14:textId="77777777">
      <w:pPr>
        <w:pStyle w:val="EndnoteText"/>
        <w:rPr>
          <w:rFonts w:cs="Open Sans"/>
          <w:lang w:val="en-US"/>
        </w:rPr>
      </w:pPr>
      <w:r w:rsidRPr="00672C36">
        <w:rPr>
          <w:rStyle w:val="EndnoteReference"/>
          <w:rFonts w:cs="Open Sans"/>
        </w:rPr>
        <w:endnoteRef/>
      </w:r>
      <w:r w:rsidRPr="00672C36">
        <w:rPr>
          <w:rFonts w:cs="Open Sans"/>
        </w:rPr>
        <w:t xml:space="preserve"> </w:t>
      </w:r>
      <w:r w:rsidRPr="00672C36">
        <w:rPr>
          <w:rFonts w:cs="Open Sans"/>
          <w:lang w:val="en-US"/>
        </w:rPr>
        <w:t xml:space="preserve">Submission 68, </w:t>
      </w:r>
      <w:r>
        <w:rPr>
          <w:rFonts w:cs="Open Sans"/>
          <w:i/>
          <w:iCs/>
        </w:rPr>
        <w:t>Intersex Inquiry</w:t>
      </w:r>
      <w:r>
        <w:rPr>
          <w:rFonts w:cs="Open Sans"/>
        </w:rPr>
        <w:t>,</w:t>
      </w:r>
      <w:r>
        <w:rPr>
          <w:rFonts w:cs="Open Sans"/>
          <w:i/>
          <w:iCs/>
        </w:rPr>
        <w:t xml:space="preserve"> </w:t>
      </w:r>
      <w:r w:rsidRPr="00672C36">
        <w:rPr>
          <w:rFonts w:cs="Open Sans"/>
          <w:lang w:val="en-US"/>
        </w:rPr>
        <w:t xml:space="preserve">1-2. </w:t>
      </w:r>
    </w:p>
  </w:endnote>
  <w:endnote w:id="18">
    <w:p w:rsidRPr="00672C36" w:rsidR="00E4455B" w:rsidP="00E4455B" w:rsidRDefault="00E4455B" w14:paraId="4A7540B7" w14:textId="77777777">
      <w:pPr>
        <w:pStyle w:val="EndnoteText"/>
        <w:rPr>
          <w:rFonts w:cs="Open Sans"/>
        </w:rPr>
      </w:pPr>
      <w:r w:rsidRPr="00672C36">
        <w:rPr>
          <w:rStyle w:val="EndnoteReference"/>
          <w:rFonts w:cs="Open Sans"/>
        </w:rPr>
        <w:endnoteRef/>
      </w:r>
      <w:r w:rsidRPr="00672C36">
        <w:rPr>
          <w:rFonts w:cs="Open Sans"/>
        </w:rPr>
        <w:t xml:space="preserve"> Submission 68, </w:t>
      </w:r>
      <w:r>
        <w:rPr>
          <w:rFonts w:cs="Open Sans"/>
          <w:i/>
          <w:iCs/>
        </w:rPr>
        <w:t>Intersex Inquiry</w:t>
      </w:r>
      <w:r>
        <w:rPr>
          <w:rFonts w:cs="Open Sans"/>
        </w:rPr>
        <w:t>,</w:t>
      </w:r>
      <w:r>
        <w:rPr>
          <w:rFonts w:cs="Open Sans"/>
          <w:i/>
          <w:iCs/>
        </w:rPr>
        <w:t xml:space="preserve"> </w:t>
      </w:r>
      <w:r w:rsidRPr="00672C36">
        <w:rPr>
          <w:rFonts w:cs="Open Sans"/>
        </w:rPr>
        <w:t>5; Submission 61,</w:t>
      </w:r>
      <w:r w:rsidRPr="00A66742">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5.</w:t>
      </w:r>
    </w:p>
  </w:endnote>
  <w:endnote w:id="19">
    <w:p w:rsidR="00C10F24" w:rsidP="00C10F24" w:rsidRDefault="00C10F24" w14:paraId="2C232215" w14:textId="77777777">
      <w:pPr>
        <w:pStyle w:val="EndnoteText"/>
      </w:pPr>
      <w:r>
        <w:rPr>
          <w:rStyle w:val="EndnoteReference"/>
        </w:rPr>
        <w:endnoteRef/>
      </w:r>
      <w:r>
        <w:t xml:space="preserve"> </w:t>
      </w:r>
      <w:r w:rsidRPr="008B2BC6">
        <w:rPr>
          <w:i/>
          <w:iCs/>
        </w:rPr>
        <w:t xml:space="preserve">Convention Against Torture and Other Cruel, Inhuman or Degrading Treatment or Punishment, opened for signature 10 December 1984, 1465 UNTS 85 (entered into force 26 June 1987) art 2(1); </w:t>
      </w:r>
      <w:r w:rsidRPr="003B7930">
        <w:t>ICCPR arts 6,7, 8, 11,15, 16.</w:t>
      </w:r>
    </w:p>
  </w:endnote>
  <w:endnote w:id="20">
    <w:p w:rsidRPr="00EB5C1B" w:rsidR="00C10F24" w:rsidP="00C10F24" w:rsidRDefault="00C10F24" w14:paraId="5ADF4310" w14:textId="77777777">
      <w:pPr>
        <w:pStyle w:val="EndnoteText"/>
        <w:ind w:left="0" w:firstLine="0"/>
        <w:rPr>
          <w:rFonts w:cs="Open Sans"/>
        </w:rPr>
      </w:pPr>
      <w:r>
        <w:rPr>
          <w:rStyle w:val="EndnoteReference"/>
        </w:rPr>
        <w:endnoteRef/>
      </w:r>
      <w:r>
        <w:t xml:space="preserve"> </w:t>
      </w:r>
      <w:r w:rsidRPr="4C9DBF03">
        <w:rPr>
          <w:rFonts w:cs="Open Sans"/>
        </w:rPr>
        <w:fldChar w:fldCharType="begin"/>
      </w:r>
      <w:r w:rsidRPr="4C9DBF03">
        <w:rPr>
          <w:rFonts w:cs="Open Sans"/>
        </w:rPr>
        <w:instrText xml:space="preserve"> ADDIN ZOTERO_ITEM CSL_CITATION {"citationID":"u0YhGJoe","properties":{"formattedCitation":"United Nations Economic and Social Council, {\\i{}Siracusa Principles on the Limitation and Derogation Provisions in the International Covenant on Civil and Political Rights} UN Doc E/CN.4/1985/4, Annex (1985).; United Nations Human Rights Committee, {\\i{}General Comment No. 31 [80]: The Nature of the General Legal Obligation Imposed on States Parties to the Covenant}, UN Doc CCPR/C/21/Rev.1/Add. 13 (26 May 2004)6.","plainCitation":"United Nations Economic and Social Council, Siracusa Principles on the Limitation and Derogation Provisions in the International Covenant on Civil and Political Rights UN Doc E/CN.4/1985/4, Annex (1985).; United Nations Human Rights Committee, General Comment No. 31 [80]: The Nature of the General Legal Obligation Imposed on States Parties to the Covenant, UN Doc CCPR/C/21/Rev.1/Add. 13 (26 May 2004)6.","noteIndex":37},"citationItems":[{"id":274,"uris":["http://zotero.org/groups/1703699/items/LD4WSYPR"],"uri":["http://zotero.org/groups/1703699/items/LD4WSYPR"],"itemData":{"id":274,"type":"bill","title":"United Nations Economic and Social Council, &lt;i&gt;Siracusa Principles on the Limitation and Derogation Provisions in the International Covenant on Civil and Political Rights&lt;/i&gt; UN Doc E/CN.4/1985/4, Annex (1985)."},"label":"page"},{"id":1590,"uris":["http://zotero.org/groups/1703699/items/83BPNU7Q"],"uri":["http://zotero.org/groups/1703699/items/83BPNU7Q"],"itemData":{"id":1590,"type":"bill","title":"United Nations Human Rights Committee, &lt;i&gt;General Comment No. 31 [80]: The Nature of the General Legal Obligation Imposed on States Parties to the Covenant&lt;/i&gt;, UN Doc CCPR/C/21/Rev.1/Add. 13 (26 May 2004)"},"label":"page","suffix":"6"}],"schema":"https://github.com/citation-style-language/schema/raw/master/csl-citation.json"} </w:instrText>
      </w:r>
      <w:r w:rsidRPr="4C9DBF03">
        <w:rPr>
          <w:rFonts w:cs="Open Sans"/>
        </w:rPr>
        <w:fldChar w:fldCharType="separate"/>
      </w:r>
      <w:r w:rsidRPr="00C04C41">
        <w:rPr>
          <w:rFonts w:cs="Open Sans"/>
        </w:rPr>
        <w:t xml:space="preserve">United Nations Economic and Social Council, </w:t>
      </w:r>
      <w:r w:rsidRPr="4C9DBF03">
        <w:rPr>
          <w:rFonts w:cs="Open Sans"/>
          <w:i/>
          <w:iCs/>
        </w:rPr>
        <w:t>Siracusa Principles on the Limitation and Derogation Provisions in the International Covenant on Civil and Political Rights</w:t>
      </w:r>
      <w:r w:rsidRPr="00CE39B9">
        <w:rPr>
          <w:rFonts w:cs="Open Sans"/>
        </w:rPr>
        <w:t xml:space="preserve"> UN Doc E/CN.4/1985/4, Annex (1985)</w:t>
      </w:r>
      <w:r>
        <w:rPr>
          <w:rFonts w:cs="Open Sans"/>
        </w:rPr>
        <w:t xml:space="preserve"> (ICCPR)</w:t>
      </w:r>
      <w:r w:rsidRPr="00A309D1">
        <w:rPr>
          <w:rFonts w:cs="Open Sans"/>
        </w:rPr>
        <w:t>; United Nations Human Rights Committ</w:t>
      </w:r>
      <w:r w:rsidRPr="00CE39B9">
        <w:rPr>
          <w:rFonts w:cs="Open Sans"/>
        </w:rPr>
        <w:t xml:space="preserve">ee, </w:t>
      </w:r>
      <w:r w:rsidRPr="4C9DBF03">
        <w:rPr>
          <w:rFonts w:cs="Open Sans"/>
          <w:i/>
          <w:iCs/>
        </w:rPr>
        <w:t>General Comment No. 31 [80]: The Nature of the General Legal Obligation Imposed on States Parties to the Covenant</w:t>
      </w:r>
      <w:r w:rsidRPr="00CE39B9">
        <w:rPr>
          <w:rFonts w:cs="Open Sans"/>
        </w:rPr>
        <w:t>, UN Doc CCPR/C/21/Rev.1/Add. 13 (26 May 2004) 6.</w:t>
      </w:r>
      <w:r w:rsidRPr="4C9DBF03">
        <w:rPr>
          <w:rFonts w:cs="Open Sans"/>
        </w:rPr>
        <w:fldChar w:fldCharType="end"/>
      </w:r>
    </w:p>
  </w:endnote>
  <w:endnote w:id="21">
    <w:p w:rsidR="00C10F24" w:rsidP="00C10F24" w:rsidRDefault="00C10F24" w14:paraId="421CA8EF" w14:textId="77777777">
      <w:pPr>
        <w:pStyle w:val="EndnoteText"/>
      </w:pPr>
      <w:r>
        <w:rPr>
          <w:rStyle w:val="EndnoteReference"/>
        </w:rPr>
        <w:endnoteRef/>
      </w:r>
      <w:r>
        <w:t xml:space="preserve"> </w:t>
      </w:r>
      <w:r w:rsidRPr="4C9DBF03">
        <w:rPr>
          <w:i/>
          <w:iCs/>
        </w:rPr>
        <w:t>International Covenant on Civil and Political Rights</w:t>
      </w:r>
      <w:r w:rsidRPr="00F90401">
        <w:t xml:space="preserve">, opened for signature 16 December 1966, 999 UNTS 171 (entered into force 23 March 1976) arts 2(1), 3, 24(1) and 26; </w:t>
      </w:r>
      <w:r w:rsidRPr="4C9DBF03">
        <w:rPr>
          <w:i/>
          <w:iCs/>
        </w:rPr>
        <w:t>International Covenant on Economic, Social and Cultural Rights</w:t>
      </w:r>
      <w:r w:rsidRPr="4C9DBF03">
        <w:t xml:space="preserve">, opened for signature 16 December 1966, 993 UNTS 3 (entered into force 3 January 1976) art 2; </w:t>
      </w:r>
      <w:r w:rsidRPr="4C9DBF03">
        <w:rPr>
          <w:i/>
          <w:iCs/>
        </w:rPr>
        <w:t>Convention on the Rights of the Child</w:t>
      </w:r>
      <w:r w:rsidRPr="00F90401">
        <w:t xml:space="preserve">, opened for signature 20 November 1989, 1577 UNTS 3 (entered into force 2 September 1990) art 2(1); </w:t>
      </w:r>
      <w:r w:rsidRPr="4C9DBF03">
        <w:rPr>
          <w:i/>
          <w:iCs/>
        </w:rPr>
        <w:t>Universal Declaration of Human Rights</w:t>
      </w:r>
      <w:r w:rsidRPr="00F90401">
        <w:t>, GA Res 217A (III), UN GAOR, 3</w:t>
      </w:r>
      <w:r w:rsidRPr="00F90401">
        <w:rPr>
          <w:vertAlign w:val="superscript"/>
        </w:rPr>
        <w:t>rd</w:t>
      </w:r>
      <w:r w:rsidRPr="00F90401">
        <w:t xml:space="preserve"> sess, 183</w:t>
      </w:r>
      <w:r w:rsidRPr="00F90401">
        <w:rPr>
          <w:vertAlign w:val="superscript"/>
        </w:rPr>
        <w:t>rd</w:t>
      </w:r>
      <w:r w:rsidRPr="00F90401">
        <w:t xml:space="preserve"> plen mtg, UN Doc A/810 (10 December 1948) arts 2 and 7.</w:t>
      </w:r>
    </w:p>
  </w:endnote>
  <w:endnote w:id="22">
    <w:p w:rsidR="00C10F24" w:rsidP="00C10F24" w:rsidRDefault="00C10F24" w14:paraId="6089B6C8" w14:textId="77777777">
      <w:pPr>
        <w:pStyle w:val="EndnoteText"/>
        <w:rPr>
          <w:rFonts w:cs="Open Sans"/>
        </w:rPr>
      </w:pPr>
      <w:r w:rsidRPr="676F1596">
        <w:rPr>
          <w:rStyle w:val="EndnoteReference"/>
          <w:rFonts w:cs="Open Sans"/>
        </w:rPr>
        <w:endnoteRef/>
      </w:r>
      <w:r w:rsidRPr="676F1596">
        <w:rPr>
          <w:rFonts w:cs="Open Sans"/>
        </w:rPr>
        <w:t xml:space="preserve"> </w:t>
      </w:r>
      <w:r w:rsidRPr="676F1596">
        <w:rPr>
          <w:rFonts w:cs="Open Sans"/>
          <w:i/>
          <w:iCs/>
          <w:color w:val="000000" w:themeColor="text1"/>
        </w:rPr>
        <w:t xml:space="preserve">Convention on the Rights of Persons with Disabilities, </w:t>
      </w:r>
      <w:r w:rsidRPr="676F1596">
        <w:rPr>
          <w:rFonts w:cs="Open Sans"/>
          <w:color w:val="000000" w:themeColor="text1"/>
        </w:rPr>
        <w:t xml:space="preserve">opened for signature 30 March 2007, 2515 UNTS 3 (entered into force 3 May 2008) art 16; </w:t>
      </w:r>
      <w:r w:rsidRPr="676F1596">
        <w:rPr>
          <w:rFonts w:cs="Open Sans"/>
          <w:i/>
          <w:iCs/>
        </w:rPr>
        <w:t>Convention on the Rights of the Child</w:t>
      </w:r>
      <w:r w:rsidRPr="676F1596">
        <w:rPr>
          <w:rFonts w:cs="Open Sans"/>
        </w:rPr>
        <w:t>, opened for signature 20 November 1989, 1577 UNTS 3 (entered into force 2 September 1990) art 19.</w:t>
      </w:r>
    </w:p>
  </w:endnote>
  <w:endnote w:id="23">
    <w:p w:rsidR="00C10F24" w:rsidP="00C10F24" w:rsidRDefault="00C10F24" w14:paraId="1E360E52" w14:textId="77777777">
      <w:pPr>
        <w:pStyle w:val="EndnoteText"/>
        <w:rPr>
          <w:rFonts w:cs="Open Sans"/>
        </w:rPr>
      </w:pPr>
      <w:r w:rsidRPr="676F1596">
        <w:rPr>
          <w:rStyle w:val="EndnoteReference"/>
          <w:rFonts w:cs="Open Sans"/>
        </w:rPr>
        <w:endnoteRef/>
      </w:r>
      <w:r w:rsidRPr="676F1596">
        <w:rPr>
          <w:rFonts w:cs="Open Sans"/>
        </w:rPr>
        <w:t xml:space="preserve"> </w:t>
      </w:r>
      <w:r w:rsidRPr="676F1596">
        <w:rPr>
          <w:rFonts w:cs="Open Sans"/>
          <w:i/>
          <w:iCs/>
        </w:rPr>
        <w:t>Convention on the Rights of the Child</w:t>
      </w:r>
      <w:r w:rsidRPr="676F1596">
        <w:rPr>
          <w:rFonts w:cs="Open Sans"/>
        </w:rPr>
        <w:t xml:space="preserve">, opened for signature 20 November 1989, 1577 UNTS 3 (entered into force 2 September 1990) art 16(1); </w:t>
      </w:r>
      <w:r w:rsidRPr="676F1596">
        <w:rPr>
          <w:rFonts w:cs="Open Sans"/>
          <w:i/>
          <w:iCs/>
        </w:rPr>
        <w:t>International Covenant on Civil and Political Rights</w:t>
      </w:r>
      <w:r w:rsidRPr="676F1596">
        <w:rPr>
          <w:rFonts w:cs="Open Sans"/>
        </w:rPr>
        <w:t xml:space="preserve">, opened for signature 16 December 1966, 999 UNTS 171 (entered into force 23 March 1976) art 17(1); </w:t>
      </w:r>
      <w:r w:rsidRPr="676F1596">
        <w:rPr>
          <w:rFonts w:cs="Open Sans"/>
          <w:i/>
          <w:iCs/>
        </w:rPr>
        <w:t>Universal Declaration of Human Rights</w:t>
      </w:r>
      <w:r w:rsidRPr="676F1596">
        <w:rPr>
          <w:rFonts w:cs="Open Sans"/>
        </w:rPr>
        <w:t>, GA Res 217A (III), UN GAOR, 3</w:t>
      </w:r>
      <w:r w:rsidRPr="676F1596">
        <w:rPr>
          <w:rFonts w:cs="Open Sans"/>
          <w:vertAlign w:val="superscript"/>
        </w:rPr>
        <w:t>rd</w:t>
      </w:r>
      <w:r w:rsidRPr="676F1596">
        <w:rPr>
          <w:rFonts w:cs="Open Sans"/>
        </w:rPr>
        <w:t xml:space="preserve"> sess, 183</w:t>
      </w:r>
      <w:r w:rsidRPr="676F1596">
        <w:rPr>
          <w:rFonts w:cs="Open Sans"/>
          <w:vertAlign w:val="superscript"/>
        </w:rPr>
        <w:t>rd</w:t>
      </w:r>
      <w:r w:rsidRPr="676F1596">
        <w:rPr>
          <w:rFonts w:cs="Open Sans"/>
        </w:rPr>
        <w:t xml:space="preserve"> plen mtg, UN Doc A/810 (10 December 1948) art 12.</w:t>
      </w:r>
    </w:p>
  </w:endnote>
  <w:endnote w:id="24">
    <w:p w:rsidR="00C10F24" w:rsidP="00C10F24" w:rsidRDefault="00C10F24" w14:paraId="1AD01657" w14:textId="77777777">
      <w:pPr>
        <w:pStyle w:val="EndnoteText"/>
        <w:rPr>
          <w:rFonts w:cs="Open Sans"/>
        </w:rPr>
      </w:pPr>
      <w:r w:rsidRPr="676F1596">
        <w:rPr>
          <w:rStyle w:val="EndnoteReference"/>
          <w:rFonts w:cs="Open Sans"/>
        </w:rPr>
        <w:endnoteRef/>
      </w:r>
      <w:r w:rsidRPr="676F1596">
        <w:rPr>
          <w:rFonts w:cs="Open Sans"/>
        </w:rPr>
        <w:t xml:space="preserve"> </w:t>
      </w:r>
      <w:r w:rsidRPr="676F1596">
        <w:rPr>
          <w:rFonts w:cs="Open Sans"/>
          <w:i/>
          <w:iCs/>
        </w:rPr>
        <w:t>International Covenant on Civil and Political Rights</w:t>
      </w:r>
      <w:r w:rsidRPr="676F1596">
        <w:rPr>
          <w:rFonts w:cs="Open Sans"/>
        </w:rPr>
        <w:t xml:space="preserve">, opened for signature 16 December 1966, 999 UNTS 171 (entered into force 23 March 1976) art 23(2); </w:t>
      </w:r>
      <w:r w:rsidRPr="676F1596">
        <w:rPr>
          <w:rFonts w:cs="Open Sans"/>
          <w:i/>
          <w:iCs/>
        </w:rPr>
        <w:t>Universal Declaration of Human Rights</w:t>
      </w:r>
      <w:r w:rsidRPr="676F1596">
        <w:rPr>
          <w:rFonts w:cs="Open Sans"/>
        </w:rPr>
        <w:t>, GA Res 217A (III), UN GAOR, 3</w:t>
      </w:r>
      <w:r w:rsidRPr="676F1596">
        <w:rPr>
          <w:rFonts w:cs="Open Sans"/>
          <w:vertAlign w:val="superscript"/>
        </w:rPr>
        <w:t>rd</w:t>
      </w:r>
      <w:r w:rsidRPr="676F1596">
        <w:rPr>
          <w:rFonts w:cs="Open Sans"/>
        </w:rPr>
        <w:t xml:space="preserve"> sess, 183</w:t>
      </w:r>
      <w:r w:rsidRPr="676F1596">
        <w:rPr>
          <w:rFonts w:cs="Open Sans"/>
          <w:vertAlign w:val="superscript"/>
        </w:rPr>
        <w:t>rd</w:t>
      </w:r>
      <w:r w:rsidRPr="676F1596">
        <w:rPr>
          <w:rFonts w:cs="Open Sans"/>
        </w:rPr>
        <w:t xml:space="preserve"> plen mtg, UN Doc A/810 (10 December 1948) art 16(1).</w:t>
      </w:r>
    </w:p>
  </w:endnote>
  <w:endnote w:id="25">
    <w:p w:rsidR="00C10F24" w:rsidP="00C10F24" w:rsidRDefault="00C10F24" w14:paraId="3BF5C413" w14:textId="77777777">
      <w:pPr>
        <w:pStyle w:val="EndnoteText"/>
        <w:rPr>
          <w:rFonts w:cs="Open Sans"/>
        </w:rPr>
      </w:pPr>
      <w:r w:rsidRPr="676F1596">
        <w:rPr>
          <w:rStyle w:val="EndnoteReference"/>
          <w:rFonts w:cs="Open Sans"/>
        </w:rPr>
        <w:endnoteRef/>
      </w:r>
      <w:r w:rsidRPr="676F1596">
        <w:rPr>
          <w:rFonts w:cs="Open Sans"/>
        </w:rPr>
        <w:t xml:space="preserve"> Article 5 of the </w:t>
      </w:r>
      <w:r w:rsidRPr="00216F3E">
        <w:rPr>
          <w:i/>
          <w:iCs/>
        </w:rPr>
        <w:t>Convention on the Elimination of All Forms of Discrimination against Women</w:t>
      </w:r>
      <w:r>
        <w:t xml:space="preserve"> </w:t>
      </w:r>
      <w:r w:rsidRPr="676F1596">
        <w:rPr>
          <w:rFonts w:cs="Open Sans"/>
        </w:rPr>
        <w:t>calls for the elimination of practices emanating from gender stereotypes. Contributors viewed this as relevant because of the justification for early intervention on the basis of making a child’s body look more stereotypically feminine or more stereotypically masculine</w:t>
      </w:r>
      <w:r>
        <w:rPr>
          <w:rFonts w:cs="Open Sans"/>
        </w:rPr>
        <w:t>: see</w:t>
      </w:r>
      <w:r w:rsidRPr="676F1596">
        <w:rPr>
          <w:rFonts w:cs="Open Sans"/>
        </w:rPr>
        <w:t xml:space="preserve"> Submission 36</w:t>
      </w:r>
      <w:r>
        <w:rPr>
          <w:rFonts w:cs="Open Sans"/>
        </w:rPr>
        <w:t xml:space="preserve">, </w:t>
      </w:r>
      <w:r>
        <w:rPr>
          <w:rFonts w:cs="Open Sans"/>
          <w:i/>
          <w:iCs/>
        </w:rPr>
        <w:t>Intersex Inquiry</w:t>
      </w:r>
      <w:r w:rsidRPr="676F1596">
        <w:rPr>
          <w:rFonts w:cs="Open Sans"/>
        </w:rPr>
        <w:t xml:space="preserve">; Submission 37, </w:t>
      </w:r>
      <w:r>
        <w:rPr>
          <w:rFonts w:cs="Open Sans"/>
          <w:i/>
          <w:iCs/>
        </w:rPr>
        <w:t>Intersex Inquiry</w:t>
      </w:r>
      <w:r>
        <w:rPr>
          <w:rFonts w:cs="Open Sans"/>
        </w:rPr>
        <w:t>;</w:t>
      </w:r>
      <w:r w:rsidRPr="676F1596">
        <w:rPr>
          <w:rFonts w:cs="Open Sans"/>
        </w:rPr>
        <w:t xml:space="preserve"> Submission 70</w:t>
      </w:r>
      <w:r>
        <w:rPr>
          <w:rFonts w:cs="Open Sans"/>
        </w:rPr>
        <w:t xml:space="preserve">, </w:t>
      </w:r>
      <w:r>
        <w:rPr>
          <w:rFonts w:cs="Open Sans"/>
          <w:i/>
          <w:iCs/>
        </w:rPr>
        <w:t>Intersex Inquiry</w:t>
      </w:r>
      <w:r w:rsidRPr="676F1596">
        <w:rPr>
          <w:rFonts w:cs="Open Sans"/>
        </w:rPr>
        <w:t>, 1; Submission 33</w:t>
      </w:r>
      <w:r>
        <w:rPr>
          <w:rFonts w:cs="Open Sans"/>
        </w:rPr>
        <w:t xml:space="preserve">, </w:t>
      </w:r>
      <w:r>
        <w:rPr>
          <w:rFonts w:cs="Open Sans"/>
          <w:i/>
          <w:iCs/>
        </w:rPr>
        <w:t>Intersex Inquiry</w:t>
      </w:r>
      <w:r w:rsidRPr="676F1596">
        <w:rPr>
          <w:rFonts w:cs="Open Sans"/>
        </w:rPr>
        <w:t>; Submission 38</w:t>
      </w:r>
      <w:r>
        <w:rPr>
          <w:rFonts w:cs="Open Sans"/>
        </w:rPr>
        <w:t xml:space="preserve">, </w:t>
      </w:r>
      <w:r>
        <w:rPr>
          <w:rFonts w:cs="Open Sans"/>
          <w:i/>
          <w:iCs/>
        </w:rPr>
        <w:t>Intersex Inquiry</w:t>
      </w:r>
      <w:r w:rsidRPr="676F1596">
        <w:rPr>
          <w:rFonts w:cs="Open Sans"/>
        </w:rPr>
        <w:t xml:space="preserve">. Attention was drawn, in particular, to </w:t>
      </w:r>
      <w:r>
        <w:rPr>
          <w:rFonts w:cs="Open Sans"/>
        </w:rPr>
        <w:t xml:space="preserve">art </w:t>
      </w:r>
      <w:r w:rsidRPr="676F1596">
        <w:rPr>
          <w:rFonts w:cs="Open Sans"/>
        </w:rPr>
        <w:t xml:space="preserve">2 of the </w:t>
      </w:r>
      <w:r w:rsidRPr="00545B13">
        <w:rPr>
          <w:rFonts w:cs="Open Sans"/>
          <w:i/>
          <w:iCs/>
        </w:rPr>
        <w:t>Convention on the Rights of the Child</w:t>
      </w:r>
      <w:r w:rsidRPr="676F1596">
        <w:rPr>
          <w:rFonts w:cs="Open Sans"/>
        </w:rPr>
        <w:t xml:space="preserve">, which prohibits discrimination against children; </w:t>
      </w:r>
      <w:r>
        <w:rPr>
          <w:rFonts w:cs="Open Sans"/>
        </w:rPr>
        <w:t xml:space="preserve">art </w:t>
      </w:r>
      <w:r w:rsidRPr="676F1596">
        <w:rPr>
          <w:rFonts w:cs="Open Sans"/>
        </w:rPr>
        <w:t xml:space="preserve">3.1, which emphasises the primacy of the child’s best interests; </w:t>
      </w:r>
      <w:r>
        <w:rPr>
          <w:rFonts w:cs="Open Sans"/>
        </w:rPr>
        <w:t>art</w:t>
      </w:r>
      <w:r w:rsidRPr="676F1596">
        <w:rPr>
          <w:rFonts w:cs="Open Sans"/>
        </w:rPr>
        <w:t xml:space="preserve"> 12, which confers on children the right to express their views and participate in decision-making</w:t>
      </w:r>
      <w:r>
        <w:rPr>
          <w:rFonts w:cs="Open Sans"/>
        </w:rPr>
        <w:t>;</w:t>
      </w:r>
      <w:r w:rsidRPr="676F1596">
        <w:rPr>
          <w:rFonts w:cs="Open Sans"/>
        </w:rPr>
        <w:t xml:space="preserve"> </w:t>
      </w:r>
      <w:r>
        <w:rPr>
          <w:rFonts w:cs="Open Sans"/>
        </w:rPr>
        <w:t>art</w:t>
      </w:r>
      <w:r w:rsidRPr="676F1596">
        <w:rPr>
          <w:rFonts w:cs="Open Sans"/>
        </w:rPr>
        <w:t xml:space="preserve"> 16, which confers on children the right to a private life; </w:t>
      </w:r>
      <w:r>
        <w:rPr>
          <w:rFonts w:cs="Open Sans"/>
        </w:rPr>
        <w:t>art</w:t>
      </w:r>
      <w:r w:rsidRPr="676F1596">
        <w:rPr>
          <w:rFonts w:cs="Open Sans"/>
        </w:rPr>
        <w:t xml:space="preserve"> 18.2, which requires states to support parents and guardians in fulfilling their responsibilities to their children. Article 2 of the </w:t>
      </w:r>
      <w:r w:rsidRPr="00545B13">
        <w:rPr>
          <w:rFonts w:cs="Open Sans"/>
          <w:i/>
          <w:iCs/>
        </w:rPr>
        <w:t>International Covenant on Economic, Social and Cultural Rights</w:t>
      </w:r>
      <w:r w:rsidRPr="676F1596">
        <w:rPr>
          <w:rFonts w:cs="Open Sans"/>
        </w:rPr>
        <w:t>, prohibiting discrimination of any kind on any ground including sex, which has been interpreted to also include</w:t>
      </w:r>
      <w:r>
        <w:rPr>
          <w:rFonts w:cs="Open Sans"/>
        </w:rPr>
        <w:t xml:space="preserve"> ‘</w:t>
      </w:r>
      <w:r w:rsidRPr="676F1596">
        <w:rPr>
          <w:rFonts w:cs="Open Sans"/>
        </w:rPr>
        <w:t>not only physiological characteristics but also the social construction of gender stereotypes, prejudices and expected roles’</w:t>
      </w:r>
      <w:r>
        <w:rPr>
          <w:rFonts w:cs="Open Sans"/>
        </w:rPr>
        <w:t>:</w:t>
      </w:r>
      <w:r w:rsidRPr="676F1596">
        <w:rPr>
          <w:rFonts w:cs="Open Sans"/>
        </w:rPr>
        <w:t xml:space="preserve"> cited in Submission 41,</w:t>
      </w:r>
      <w:r>
        <w:rPr>
          <w:rFonts w:cs="Open Sans"/>
        </w:rPr>
        <w:t xml:space="preserve"> </w:t>
      </w:r>
      <w:r>
        <w:rPr>
          <w:rFonts w:cs="Open Sans"/>
          <w:i/>
          <w:iCs/>
        </w:rPr>
        <w:t>Intersex Inquiry</w:t>
      </w:r>
      <w:r w:rsidRPr="00545B13">
        <w:rPr>
          <w:rFonts w:cs="Open Sans"/>
        </w:rPr>
        <w:t>,</w:t>
      </w:r>
      <w:r w:rsidRPr="676F1596">
        <w:rPr>
          <w:rFonts w:cs="Open Sans"/>
        </w:rPr>
        <w:t xml:space="preserve"> 10. Submission 56</w:t>
      </w:r>
      <w:r>
        <w:rPr>
          <w:rFonts w:cs="Open Sans"/>
        </w:rPr>
        <w:t xml:space="preserve">, </w:t>
      </w:r>
      <w:r>
        <w:rPr>
          <w:rFonts w:cs="Open Sans"/>
          <w:i/>
          <w:iCs/>
        </w:rPr>
        <w:t>Intersex Inquiry</w:t>
      </w:r>
      <w:r w:rsidRPr="676F1596">
        <w:rPr>
          <w:rFonts w:cs="Open Sans"/>
        </w:rPr>
        <w:t xml:space="preserve">, 5, noted that non-consensual medical treatment can constitute torture or inhumane treatment within the meaning of </w:t>
      </w:r>
      <w:r>
        <w:rPr>
          <w:rFonts w:cs="Open Sans"/>
        </w:rPr>
        <w:t xml:space="preserve">the </w:t>
      </w:r>
      <w:r w:rsidRPr="003D543B">
        <w:rPr>
          <w:rFonts w:cs="Open Sans"/>
          <w:i/>
          <w:iCs/>
        </w:rPr>
        <w:t>Convention against Torture and Other Cruel, Inhuman or Degrading Treatment or Punishment</w:t>
      </w:r>
      <w:r w:rsidRPr="676F1596">
        <w:rPr>
          <w:rFonts w:cs="Open Sans"/>
        </w:rPr>
        <w:t>.</w:t>
      </w:r>
      <w:r>
        <w:rPr>
          <w:rFonts w:cs="Open Sans"/>
        </w:rPr>
        <w:t xml:space="preserve"> </w:t>
      </w:r>
      <w:r w:rsidRPr="676F1596">
        <w:rPr>
          <w:rFonts w:cs="Open Sans"/>
        </w:rPr>
        <w:t>Submission 32</w:t>
      </w:r>
      <w:r>
        <w:rPr>
          <w:rFonts w:cs="Open Sans"/>
        </w:rPr>
        <w:t xml:space="preserve">, </w:t>
      </w:r>
      <w:r>
        <w:rPr>
          <w:rFonts w:cs="Open Sans"/>
          <w:i/>
          <w:iCs/>
        </w:rPr>
        <w:t>Intersex Inquiry</w:t>
      </w:r>
      <w:r w:rsidRPr="676F1596">
        <w:rPr>
          <w:rFonts w:cs="Open Sans"/>
        </w:rPr>
        <w:t xml:space="preserve">, 8, </w:t>
      </w:r>
      <w:r>
        <w:rPr>
          <w:rFonts w:cs="Open Sans"/>
        </w:rPr>
        <w:t xml:space="preserve">highlighted that </w:t>
      </w:r>
      <w:r w:rsidRPr="676F1596">
        <w:rPr>
          <w:rFonts w:cs="Open Sans"/>
        </w:rPr>
        <w:t>‘the CRPD provides a critical human rights conceptualisation of “disability” that is specifically relevant to human rights conceptions of “intersex”</w:t>
      </w:r>
      <w:r>
        <w:rPr>
          <w:rFonts w:cs="Open Sans"/>
        </w:rPr>
        <w:t>’</w:t>
      </w:r>
      <w:r w:rsidRPr="676F1596">
        <w:rPr>
          <w:rFonts w:cs="Open Sans"/>
        </w:rPr>
        <w:t xml:space="preserve">.  </w:t>
      </w:r>
    </w:p>
  </w:endnote>
  <w:endnote w:id="26">
    <w:p w:rsidR="00C10F24" w:rsidP="00C10F24" w:rsidRDefault="00C10F24" w14:paraId="5E6FD6C8" w14:textId="77777777">
      <w:pPr>
        <w:pStyle w:val="EndnoteText"/>
      </w:pPr>
      <w:r>
        <w:rPr>
          <w:rStyle w:val="EndnoteReference"/>
        </w:rPr>
        <w:endnoteRef/>
      </w:r>
      <w:r>
        <w:t xml:space="preserve"> </w:t>
      </w:r>
      <w:r w:rsidRPr="000E7B11">
        <w:rPr>
          <w:rFonts w:eastAsia="Open Sans" w:cs="Open Sans"/>
        </w:rPr>
        <w:t xml:space="preserve">United Nations High Commissioner for Human Rights, </w:t>
      </w:r>
      <w:r w:rsidRPr="003D7223">
        <w:rPr>
          <w:rFonts w:eastAsia="Open Sans" w:cs="Open Sans"/>
          <w:i/>
          <w:iCs/>
        </w:rPr>
        <w:t>Background Note on Human Rights Violations against Intersex People</w:t>
      </w:r>
      <w:r>
        <w:rPr>
          <w:rFonts w:eastAsia="Open Sans" w:cs="Open Sans"/>
        </w:rPr>
        <w:t>,</w:t>
      </w:r>
      <w:r w:rsidRPr="003D7223">
        <w:rPr>
          <w:rFonts w:eastAsia="Open Sans" w:cs="Open Sans"/>
          <w:i/>
          <w:iCs/>
        </w:rPr>
        <w:t xml:space="preserve"> </w:t>
      </w:r>
      <w:r w:rsidRPr="005C2E7B">
        <w:rPr>
          <w:rFonts w:eastAsia="Open Sans" w:cs="Open Sans"/>
        </w:rPr>
        <w:t>37</w:t>
      </w:r>
      <w:r>
        <w:rPr>
          <w:rFonts w:eastAsia="Open Sans" w:cs="Open Sans"/>
        </w:rPr>
        <w:t>–</w:t>
      </w:r>
      <w:r w:rsidRPr="005C2E7B">
        <w:rPr>
          <w:rFonts w:eastAsia="Open Sans" w:cs="Open Sans"/>
        </w:rPr>
        <w:t>40</w:t>
      </w:r>
      <w:r w:rsidRPr="000E7B11">
        <w:rPr>
          <w:rFonts w:eastAsia="Open Sans" w:cs="Open Sans"/>
        </w:rPr>
        <w:t xml:space="preserve"> </w:t>
      </w:r>
      <w:r>
        <w:rPr>
          <w:rFonts w:eastAsia="Open Sans" w:cs="Open Sans"/>
        </w:rPr>
        <w:t>&lt;</w:t>
      </w:r>
      <w:hyperlink w:history="1" r:id="rId12">
        <w:r w:rsidRPr="001F32D3">
          <w:rPr>
            <w:rStyle w:val="Hyperlink"/>
            <w:rFonts w:eastAsia="Open Sans" w:cs="Open Sans"/>
          </w:rPr>
          <w:t>https://www.ohchr.org/Documents/Issues/Discrimination/LGBT/BackgroundNoteHumanRightsViolationsagainstIntersexPeople.pdf</w:t>
        </w:r>
      </w:hyperlink>
      <w:r>
        <w:rPr>
          <w:rFonts w:eastAsia="Open Sans" w:cs="Open Sans"/>
        </w:rPr>
        <w:t>&gt;.</w:t>
      </w:r>
    </w:p>
  </w:endnote>
  <w:endnote w:id="27">
    <w:p w:rsidR="00C10F24" w:rsidP="00C10F24" w:rsidRDefault="00C10F24" w14:paraId="038F943F" w14:textId="77777777">
      <w:pPr>
        <w:pStyle w:val="EndnoteText"/>
      </w:pPr>
      <w:r w:rsidRPr="676F1596">
        <w:rPr>
          <w:rStyle w:val="EndnoteReference"/>
        </w:rPr>
        <w:endnoteRef/>
      </w:r>
      <w:r w:rsidRPr="676F1596">
        <w:t xml:space="preserve"> Child Rights International Network, </w:t>
      </w:r>
      <w:r w:rsidRPr="001E3073">
        <w:rPr>
          <w:i/>
          <w:iCs/>
        </w:rPr>
        <w:t>Issues –</w:t>
      </w:r>
      <w:r w:rsidRPr="676F1596">
        <w:t xml:space="preserve"> </w:t>
      </w:r>
      <w:r w:rsidRPr="008F493A">
        <w:rPr>
          <w:i/>
          <w:iCs/>
        </w:rPr>
        <w:t>Bodily Integrity</w:t>
      </w:r>
      <w:r>
        <w:rPr>
          <w:i/>
          <w:iCs/>
        </w:rPr>
        <w:t xml:space="preserve"> </w:t>
      </w:r>
      <w:r>
        <w:t>&lt;</w:t>
      </w:r>
      <w:hyperlink w:history="1" r:id="rId13">
        <w:r w:rsidRPr="00080E8D">
          <w:rPr>
            <w:rStyle w:val="Hyperlink"/>
          </w:rPr>
          <w:t>https://home.crin.org/issues/bodily-integrity</w:t>
        </w:r>
      </w:hyperlink>
      <w:r>
        <w:t>&gt;</w:t>
      </w:r>
      <w:r w:rsidRPr="676F1596">
        <w:t xml:space="preserve">. </w:t>
      </w:r>
      <w:r>
        <w:t>As discussed in the next section, it is recognised in domestic and international human rights law that parents or guardians in certain circumstances may make decisions on behalf of a child, however, this is not open-ended.</w:t>
      </w:r>
    </w:p>
  </w:endnote>
  <w:endnote w:id="28">
    <w:p w:rsidRPr="00C0260C" w:rsidR="00C10F24" w:rsidP="00C10F24" w:rsidRDefault="00C10F24" w14:paraId="3636E358" w14:textId="77777777">
      <w:pPr>
        <w:pStyle w:val="EndnoteText"/>
        <w:rPr>
          <w:rFonts w:cs="Open Sans"/>
        </w:rPr>
      </w:pPr>
      <w:r w:rsidRPr="00C0260C">
        <w:rPr>
          <w:rStyle w:val="EndnoteReference"/>
          <w:rFonts w:cs="Open Sans"/>
        </w:rPr>
        <w:endnoteRef/>
      </w:r>
      <w:r w:rsidRPr="00C0260C">
        <w:rPr>
          <w:rFonts w:cs="Open Sans"/>
        </w:rPr>
        <w:t xml:space="preserve"> </w:t>
      </w:r>
      <w:r w:rsidRPr="00C0260C">
        <w:rPr>
          <w:rFonts w:cs="Open Sans"/>
          <w:i/>
          <w:color w:val="000000" w:themeColor="text1"/>
        </w:rPr>
        <w:t xml:space="preserve">Convention on the Rights of Persons with Disabilities (Disability Convention), </w:t>
      </w:r>
      <w:r w:rsidRPr="00C0260C">
        <w:rPr>
          <w:rFonts w:cs="Open Sans"/>
          <w:color w:val="000000" w:themeColor="text1"/>
        </w:rPr>
        <w:t xml:space="preserve">opened for signature 13 December 2006, 2515 UNTS 3 (entered into force 3 May 2008) </w:t>
      </w:r>
      <w:r>
        <w:rPr>
          <w:rFonts w:cs="Open Sans"/>
          <w:color w:val="000000" w:themeColor="text1"/>
        </w:rPr>
        <w:t>a</w:t>
      </w:r>
      <w:r w:rsidRPr="00C0260C">
        <w:rPr>
          <w:rFonts w:cs="Open Sans"/>
          <w:color w:val="000000" w:themeColor="text1"/>
        </w:rPr>
        <w:t>rt 17.</w:t>
      </w:r>
    </w:p>
  </w:endnote>
  <w:endnote w:id="29">
    <w:p w:rsidR="00C10F24" w:rsidP="00C10F24" w:rsidRDefault="00C10F24" w14:paraId="72BC721E" w14:textId="77777777">
      <w:pPr>
        <w:pStyle w:val="EndnoteText"/>
        <w:rPr>
          <w:rFonts w:cs="Open Sans"/>
        </w:rPr>
      </w:pPr>
      <w:r w:rsidRPr="676F1596">
        <w:rPr>
          <w:rStyle w:val="EndnoteReference"/>
          <w:rFonts w:cs="Open Sans"/>
        </w:rPr>
        <w:endnoteRef/>
      </w:r>
      <w:r w:rsidRPr="676F1596">
        <w:rPr>
          <w:rFonts w:cs="Open Sans"/>
        </w:rPr>
        <w:t xml:space="preserve"> See, for example, Human Rights Committee, </w:t>
      </w:r>
      <w:r w:rsidRPr="676F1596">
        <w:rPr>
          <w:rFonts w:cs="Open Sans"/>
          <w:i/>
          <w:iCs/>
        </w:rPr>
        <w:t>General Comment No 35: Article 9 (Liberty and Security of Person)</w:t>
      </w:r>
      <w:r w:rsidRPr="676F1596">
        <w:rPr>
          <w:rFonts w:cs="Open Sans"/>
        </w:rPr>
        <w:t xml:space="preserve">, 112th sess, UN Doc CCPR/C/GC/35 (16 December 2014) [3]; Human Rights Committee, </w:t>
      </w:r>
      <w:r w:rsidRPr="676F1596">
        <w:rPr>
          <w:rFonts w:cs="Open Sans"/>
          <w:i/>
          <w:iCs/>
        </w:rPr>
        <w:t>General Comment No 28: Article 3 (The Equality of Rights Between Men and Women)</w:t>
      </w:r>
      <w:r w:rsidRPr="676F1596">
        <w:rPr>
          <w:rFonts w:cs="Open Sans"/>
        </w:rPr>
        <w:t>, 68</w:t>
      </w:r>
      <w:r w:rsidRPr="676F1596">
        <w:rPr>
          <w:rFonts w:cs="Open Sans"/>
          <w:vertAlign w:val="superscript"/>
        </w:rPr>
        <w:t>th</w:t>
      </w:r>
      <w:r w:rsidRPr="676F1596">
        <w:rPr>
          <w:rFonts w:cs="Open Sans"/>
        </w:rPr>
        <w:t xml:space="preserve"> sess, UN Doc CCPR/C/21/Rev.1/Add.10 </w:t>
      </w:r>
      <w:r>
        <w:rPr>
          <w:rFonts w:cs="Open Sans"/>
        </w:rPr>
        <w:t xml:space="preserve">para </w:t>
      </w:r>
      <w:r w:rsidRPr="676F1596">
        <w:rPr>
          <w:rFonts w:cs="Open Sans"/>
        </w:rPr>
        <w:t>20.</w:t>
      </w:r>
    </w:p>
  </w:endnote>
  <w:endnote w:id="30">
    <w:p w:rsidR="00C10F24" w:rsidP="00C10F24" w:rsidRDefault="00C10F24" w14:paraId="4272F038" w14:textId="77777777">
      <w:pPr>
        <w:pStyle w:val="EndnoteText"/>
        <w:rPr>
          <w:rFonts w:ascii="Arial" w:hAnsi="Arial" w:cs="Arial"/>
        </w:rPr>
      </w:pPr>
      <w:r w:rsidRPr="676F1596">
        <w:rPr>
          <w:rStyle w:val="EndnoteReference"/>
          <w:rFonts w:cs="Open Sans"/>
        </w:rPr>
        <w:endnoteRef/>
      </w:r>
      <w:r w:rsidRPr="676F1596">
        <w:rPr>
          <w:rFonts w:cs="Open Sans"/>
        </w:rPr>
        <w:t xml:space="preserve"> See, for example, Committee on the Rights of the Child, </w:t>
      </w:r>
      <w:r w:rsidRPr="676F1596">
        <w:rPr>
          <w:rFonts w:cs="Open Sans"/>
          <w:i/>
          <w:iCs/>
        </w:rPr>
        <w:t xml:space="preserve">Concluding Observations on South Africa, </w:t>
      </w:r>
      <w:r w:rsidRPr="676F1596">
        <w:rPr>
          <w:rFonts w:cs="Open Sans"/>
        </w:rPr>
        <w:t xml:space="preserve">UN Doc CRC/C/ZAF/CO/2 (30 September 2016) [37]–[38]; </w:t>
      </w:r>
      <w:r w:rsidRPr="676F1596">
        <w:rPr>
          <w:rFonts w:eastAsia="Times New Roman" w:cs="Open Sans"/>
        </w:rPr>
        <w:t xml:space="preserve">Committee on Rights of Persons with Disabilities, </w:t>
      </w:r>
      <w:r w:rsidRPr="676F1596">
        <w:rPr>
          <w:rFonts w:eastAsia="Times New Roman" w:cs="Open Sans"/>
          <w:i/>
          <w:iCs/>
        </w:rPr>
        <w:t xml:space="preserve">Concluding observations on Italy, </w:t>
      </w:r>
      <w:r w:rsidRPr="676F1596">
        <w:rPr>
          <w:rFonts w:eastAsia="Times New Roman" w:cs="Open Sans"/>
        </w:rPr>
        <w:t>UN Doc CRPD/C/ITA/CO/1 (31 August 2016) [45]</w:t>
      </w:r>
      <w:r w:rsidRPr="676F1596">
        <w:rPr>
          <w:rFonts w:cs="Open Sans"/>
        </w:rPr>
        <w:t>–</w:t>
      </w:r>
      <w:r w:rsidRPr="676F1596">
        <w:rPr>
          <w:rFonts w:eastAsia="Times New Roman" w:cs="Open Sans"/>
        </w:rPr>
        <w:t xml:space="preserve">[46]; Committee on the Elimination of Discrimination against Women, </w:t>
      </w:r>
      <w:r w:rsidRPr="676F1596">
        <w:rPr>
          <w:rFonts w:eastAsia="Times New Roman" w:cs="Open Sans"/>
          <w:i/>
          <w:iCs/>
        </w:rPr>
        <w:t>Concluding observations on Switzerland</w:t>
      </w:r>
      <w:r w:rsidRPr="676F1596">
        <w:rPr>
          <w:rFonts w:eastAsia="Times New Roman" w:cs="Open Sans"/>
        </w:rPr>
        <w:t xml:space="preserve">, UN Doc CEDAW/C/CHE/CO/4-5 (18 November 2016) [25]; Committee against Torture, </w:t>
      </w:r>
      <w:r w:rsidRPr="676F1596">
        <w:rPr>
          <w:rFonts w:eastAsia="Times New Roman" w:cs="Open Sans"/>
          <w:i/>
          <w:iCs/>
        </w:rPr>
        <w:t>Concluding observations on France</w:t>
      </w:r>
      <w:r w:rsidRPr="676F1596">
        <w:rPr>
          <w:rFonts w:eastAsia="Times New Roman" w:cs="Open Sans"/>
        </w:rPr>
        <w:t>, UN Doc CAT/C/FRA /CO/7 (10 June 2016) [34]</w:t>
      </w:r>
      <w:r w:rsidRPr="676F1596">
        <w:rPr>
          <w:rFonts w:cs="Open Sans"/>
        </w:rPr>
        <w:t>–</w:t>
      </w:r>
      <w:r w:rsidRPr="676F1596">
        <w:rPr>
          <w:rFonts w:eastAsia="Times New Roman" w:cs="Open Sans"/>
        </w:rPr>
        <w:t xml:space="preserve">[35]; Committee on Economic, Social and Cultural Rights, </w:t>
      </w:r>
      <w:r w:rsidRPr="676F1596">
        <w:rPr>
          <w:rFonts w:eastAsia="Times New Roman" w:cs="Open Sans"/>
          <w:i/>
          <w:iCs/>
        </w:rPr>
        <w:t>Concluding observations on Germany</w:t>
      </w:r>
      <w:r w:rsidRPr="676F1596">
        <w:rPr>
          <w:rFonts w:eastAsia="Times New Roman" w:cs="Open Sans"/>
        </w:rPr>
        <w:t xml:space="preserve"> UN Doc E/C.12/ DEU/CO/5 (20 May 2011) [26].</w:t>
      </w:r>
    </w:p>
  </w:endnote>
  <w:endnote w:id="31">
    <w:p w:rsidR="00C10F24" w:rsidP="00C10F24" w:rsidRDefault="00C10F24" w14:paraId="4E766FFB" w14:textId="77777777">
      <w:pPr>
        <w:pStyle w:val="EndnoteText"/>
        <w:rPr>
          <w:rFonts w:cs="Open Sans"/>
        </w:rPr>
      </w:pPr>
      <w:r w:rsidRPr="676F1596">
        <w:rPr>
          <w:rStyle w:val="EndnoteReference"/>
          <w:rFonts w:cs="Open Sans"/>
        </w:rPr>
        <w:endnoteRef/>
      </w:r>
      <w:r w:rsidRPr="676F1596">
        <w:rPr>
          <w:rFonts w:cs="Open Sans"/>
        </w:rPr>
        <w:t xml:space="preserve"> Committee on the Rights of Persons with Disabilities, </w:t>
      </w:r>
      <w:r w:rsidRPr="676F1596">
        <w:rPr>
          <w:rFonts w:cs="Open Sans"/>
          <w:i/>
          <w:iCs/>
        </w:rPr>
        <w:t>Concluding observations on the combined second and third reports of Australia</w:t>
      </w:r>
      <w:r w:rsidRPr="676F1596">
        <w:rPr>
          <w:rFonts w:cs="Open Sans"/>
        </w:rPr>
        <w:t xml:space="preserve">, </w:t>
      </w:r>
      <w:r>
        <w:rPr>
          <w:rFonts w:cs="Open Sans"/>
        </w:rPr>
        <w:t xml:space="preserve">UN Doc </w:t>
      </w:r>
      <w:r w:rsidRPr="00DE30AA">
        <w:rPr>
          <w:rFonts w:cs="Open Sans"/>
        </w:rPr>
        <w:t xml:space="preserve">CRPD/C/AUS/CO/2-3 </w:t>
      </w:r>
      <w:r>
        <w:rPr>
          <w:rFonts w:cs="Open Sans"/>
        </w:rPr>
        <w:t>(</w:t>
      </w:r>
      <w:r w:rsidRPr="676F1596">
        <w:rPr>
          <w:rFonts w:cs="Open Sans"/>
        </w:rPr>
        <w:t>23 September 2019</w:t>
      </w:r>
      <w:r>
        <w:rPr>
          <w:rFonts w:cs="Open Sans"/>
        </w:rPr>
        <w:t>)</w:t>
      </w:r>
      <w:r w:rsidRPr="676F1596">
        <w:rPr>
          <w:rFonts w:cs="Open Sans"/>
        </w:rPr>
        <w:t xml:space="preserve"> </w:t>
      </w:r>
      <w:r>
        <w:rPr>
          <w:rFonts w:cs="Open Sans"/>
        </w:rPr>
        <w:t>[34b].</w:t>
      </w:r>
    </w:p>
  </w:endnote>
  <w:endnote w:id="32">
    <w:p w:rsidR="00C10F24" w:rsidP="00C10F24" w:rsidRDefault="00C10F24" w14:paraId="30B2CFA5" w14:textId="77777777">
      <w:pPr>
        <w:pStyle w:val="EndnoteText"/>
        <w:rPr>
          <w:rFonts w:cs="Open Sans"/>
        </w:rPr>
      </w:pPr>
      <w:r w:rsidRPr="676F1596">
        <w:rPr>
          <w:rStyle w:val="EndnoteReference"/>
          <w:rFonts w:cs="Open Sans"/>
        </w:rPr>
        <w:endnoteRef/>
      </w:r>
      <w:r w:rsidRPr="676F1596">
        <w:rPr>
          <w:rFonts w:cs="Open Sans"/>
        </w:rPr>
        <w:t xml:space="preserve"> Committee on the Rights of the Child, </w:t>
      </w:r>
      <w:r w:rsidRPr="676F1596">
        <w:rPr>
          <w:rFonts w:cs="Open Sans"/>
          <w:i/>
          <w:iCs/>
        </w:rPr>
        <w:t>Concluding Observations on the combined fifth and sixth periodic reports of Australia,</w:t>
      </w:r>
      <w:r w:rsidRPr="676F1596">
        <w:rPr>
          <w:rFonts w:cs="Open Sans"/>
        </w:rPr>
        <w:t xml:space="preserve"> </w:t>
      </w:r>
      <w:r>
        <w:rPr>
          <w:rFonts w:cs="Open Sans"/>
        </w:rPr>
        <w:t xml:space="preserve">UN Doc </w:t>
      </w:r>
      <w:r w:rsidRPr="00176453">
        <w:rPr>
          <w:rFonts w:cs="Open Sans"/>
        </w:rPr>
        <w:t>CRC/C/AUS/CO/5-6</w:t>
      </w:r>
      <w:r>
        <w:rPr>
          <w:rFonts w:cs="Open Sans"/>
        </w:rPr>
        <w:t xml:space="preserve"> (</w:t>
      </w:r>
      <w:r w:rsidRPr="676F1596">
        <w:rPr>
          <w:rFonts w:cs="Open Sans"/>
        </w:rPr>
        <w:t>30 September 2019</w:t>
      </w:r>
      <w:r>
        <w:rPr>
          <w:rFonts w:cs="Open Sans"/>
        </w:rPr>
        <w:t>) [31b].</w:t>
      </w:r>
    </w:p>
  </w:endnote>
  <w:endnote w:id="33">
    <w:p w:rsidR="00C10F24" w:rsidP="00C10F24" w:rsidRDefault="00C10F24" w14:paraId="56D4B027" w14:textId="77777777">
      <w:pPr>
        <w:pStyle w:val="EndnoteText"/>
      </w:pPr>
      <w:r w:rsidRPr="676F1596">
        <w:rPr>
          <w:rStyle w:val="EndnoteReference"/>
        </w:rPr>
        <w:endnoteRef/>
      </w:r>
      <w:r w:rsidRPr="676F1596">
        <w:t xml:space="preserve"> Committee on the Elimination of Discrimination Against Women, </w:t>
      </w:r>
      <w:r w:rsidRPr="003357B2">
        <w:rPr>
          <w:i/>
          <w:iCs/>
        </w:rPr>
        <w:t>Concluding Observations – Australia</w:t>
      </w:r>
      <w:r w:rsidRPr="676F1596">
        <w:t xml:space="preserve">, UN Doc: CEDAW/C/Aus/CO/8, </w:t>
      </w:r>
      <w:r>
        <w:t>(</w:t>
      </w:r>
      <w:r w:rsidRPr="676F1596">
        <w:t>25 July 2018</w:t>
      </w:r>
      <w:r>
        <w:t>)</w:t>
      </w:r>
      <w:r w:rsidRPr="676F1596">
        <w:t xml:space="preserve"> </w:t>
      </w:r>
      <w:r>
        <w:t>[</w:t>
      </w:r>
      <w:r w:rsidRPr="676F1596">
        <w:t>25</w:t>
      </w:r>
      <w:r>
        <w:t>]</w:t>
      </w:r>
      <w:r w:rsidRPr="676F1596">
        <w:t>.</w:t>
      </w:r>
    </w:p>
  </w:endnote>
  <w:endnote w:id="34">
    <w:p w:rsidR="00C10F24" w:rsidP="00C10F24" w:rsidRDefault="00C10F24" w14:paraId="38769F63" w14:textId="77777777">
      <w:pPr>
        <w:pStyle w:val="EndnoteText"/>
      </w:pPr>
      <w:r w:rsidRPr="676F1596">
        <w:rPr>
          <w:rStyle w:val="EndnoteReference"/>
        </w:rPr>
        <w:endnoteRef/>
      </w:r>
      <w:r w:rsidRPr="676F1596">
        <w:t xml:space="preserve"> </w:t>
      </w:r>
      <w:r w:rsidRPr="005B09AE">
        <w:t xml:space="preserve">Committee on the Elimination of Discrimination Against Women, </w:t>
      </w:r>
      <w:r w:rsidRPr="003357B2">
        <w:rPr>
          <w:i/>
          <w:iCs/>
        </w:rPr>
        <w:t>Concluding Observations – Australia</w:t>
      </w:r>
      <w:r w:rsidRPr="005B09AE">
        <w:t xml:space="preserve">, UN Doc: CEDAW/C/Aus/CO/8, </w:t>
      </w:r>
      <w:r>
        <w:t>(</w:t>
      </w:r>
      <w:r w:rsidRPr="005B09AE">
        <w:t>25 July 2018</w:t>
      </w:r>
      <w:r>
        <w:t>)</w:t>
      </w:r>
      <w:r w:rsidRPr="005B09AE">
        <w:t xml:space="preserve"> </w:t>
      </w:r>
      <w:r>
        <w:t>[</w:t>
      </w:r>
      <w:r w:rsidRPr="005B09AE">
        <w:t>26</w:t>
      </w:r>
      <w:r>
        <w:t>]</w:t>
      </w:r>
      <w:r w:rsidRPr="005B09AE">
        <w:t>.</w:t>
      </w:r>
    </w:p>
  </w:endnote>
  <w:endnote w:id="35">
    <w:p w:rsidRPr="00B609FE" w:rsidR="00C10F24" w:rsidP="00C10F24" w:rsidRDefault="00C10F24" w14:paraId="39CD5CED" w14:textId="77777777">
      <w:pPr>
        <w:pStyle w:val="EndnoteText"/>
        <w:rPr>
          <w:lang w:val="en-US"/>
        </w:rPr>
      </w:pPr>
      <w:r>
        <w:rPr>
          <w:rStyle w:val="EndnoteReference"/>
        </w:rPr>
        <w:endnoteRef/>
      </w:r>
      <w:r>
        <w:t xml:space="preserve"> </w:t>
      </w:r>
      <w:r w:rsidRPr="0079237F">
        <w:rPr>
          <w:rFonts w:cs="Open Sans"/>
        </w:rPr>
        <w:t xml:space="preserve">Human Rights Committee, </w:t>
      </w:r>
      <w:r w:rsidRPr="0079237F">
        <w:rPr>
          <w:rFonts w:cs="Open Sans"/>
          <w:i/>
        </w:rPr>
        <w:t>Concluding Observations on the sixth periodic report of Australia</w:t>
      </w:r>
      <w:r w:rsidRPr="0079237F">
        <w:rPr>
          <w:rFonts w:cs="Open Sans"/>
        </w:rPr>
        <w:t xml:space="preserve">, </w:t>
      </w:r>
      <w:r>
        <w:rPr>
          <w:rFonts w:cs="Open Sans"/>
        </w:rPr>
        <w:t xml:space="preserve">UN Doc: </w:t>
      </w:r>
      <w:r w:rsidRPr="00B609FE">
        <w:rPr>
          <w:rFonts w:cs="Open Sans"/>
        </w:rPr>
        <w:t xml:space="preserve">CCPR/C/AUS/CO/6 </w:t>
      </w:r>
      <w:r>
        <w:rPr>
          <w:rFonts w:cs="Open Sans"/>
        </w:rPr>
        <w:t>(</w:t>
      </w:r>
      <w:r w:rsidRPr="0079237F">
        <w:rPr>
          <w:rFonts w:cs="Open Sans"/>
        </w:rPr>
        <w:t>1 December 2017</w:t>
      </w:r>
      <w:r>
        <w:rPr>
          <w:rFonts w:cs="Open Sans"/>
        </w:rPr>
        <w:t>)</w:t>
      </w:r>
      <w:r w:rsidRPr="0079237F">
        <w:rPr>
          <w:rFonts w:cs="Open Sans"/>
        </w:rPr>
        <w:t xml:space="preserve"> </w:t>
      </w:r>
      <w:r>
        <w:rPr>
          <w:rFonts w:cs="Open Sans"/>
        </w:rPr>
        <w:t>paras 2</w:t>
      </w:r>
      <w:r w:rsidRPr="0079237F">
        <w:rPr>
          <w:rFonts w:cs="Open Sans"/>
        </w:rPr>
        <w:t>5</w:t>
      </w:r>
      <w:r>
        <w:rPr>
          <w:rFonts w:cs="Open Sans"/>
        </w:rPr>
        <w:t>–26.</w:t>
      </w:r>
    </w:p>
  </w:endnote>
  <w:endnote w:id="36">
    <w:p w:rsidR="00C10F24" w:rsidP="00C10F24" w:rsidRDefault="00C10F24" w14:paraId="1672C046" w14:textId="77777777">
      <w:pPr>
        <w:pStyle w:val="EndnoteText"/>
      </w:pPr>
      <w:r w:rsidRPr="676F1596">
        <w:rPr>
          <w:rStyle w:val="EndnoteReference"/>
        </w:rPr>
        <w:endnoteRef/>
      </w:r>
      <w:r w:rsidRPr="676F1596">
        <w:t xml:space="preserve"> Committee on Economic, Social and Cultural Rights, </w:t>
      </w:r>
      <w:r w:rsidRPr="00014EC5">
        <w:rPr>
          <w:i/>
          <w:iCs/>
        </w:rPr>
        <w:t>Concluding Observations- Australia</w:t>
      </w:r>
      <w:r w:rsidRPr="676F1596">
        <w:t xml:space="preserve">, UN Doc: E/C.12/AUS/CO/5 </w:t>
      </w:r>
      <w:r>
        <w:t>(</w:t>
      </w:r>
      <w:r w:rsidRPr="676F1596">
        <w:t>11 July 2017</w:t>
      </w:r>
      <w:r>
        <w:t xml:space="preserve">) para </w:t>
      </w:r>
      <w:r w:rsidRPr="676F1596">
        <w:t>49.</w:t>
      </w:r>
    </w:p>
  </w:endnote>
  <w:endnote w:id="37">
    <w:p w:rsidRPr="007A1CA6" w:rsidR="00C10F24" w:rsidP="00C10F24" w:rsidRDefault="00C10F24" w14:paraId="4B46FE8B" w14:textId="77777777">
      <w:pPr>
        <w:pStyle w:val="EndnoteText"/>
        <w:rPr>
          <w:lang w:val="en-US"/>
        </w:rPr>
      </w:pPr>
      <w:r>
        <w:rPr>
          <w:rStyle w:val="EndnoteReference"/>
        </w:rPr>
        <w:endnoteRef/>
      </w:r>
      <w:r>
        <w:t xml:space="preserve"> </w:t>
      </w:r>
      <w:r w:rsidRPr="00C0260C">
        <w:rPr>
          <w:rFonts w:cs="Open Sans"/>
          <w:i/>
        </w:rPr>
        <w:t>Convention on the Rights of the Child</w:t>
      </w:r>
      <w:r w:rsidRPr="00C0260C">
        <w:rPr>
          <w:rFonts w:cs="Open Sans"/>
        </w:rPr>
        <w:t>, opened for signature 20 November 1989, 1577 UNTS 3 (entered into force 2 September 1990).</w:t>
      </w:r>
    </w:p>
  </w:endnote>
  <w:endnote w:id="38">
    <w:p w:rsidR="00C10F24" w:rsidP="00C10F24" w:rsidRDefault="00C10F24" w14:paraId="7D9FEE6A" w14:textId="77777777">
      <w:pPr>
        <w:pStyle w:val="EndnoteText"/>
      </w:pPr>
      <w:r w:rsidRPr="676F1596">
        <w:rPr>
          <w:rStyle w:val="EndnoteReference"/>
        </w:rPr>
        <w:endnoteRef/>
      </w:r>
      <w:r>
        <w:t xml:space="preserve"> Anand Grover, </w:t>
      </w:r>
      <w:r w:rsidRPr="00E97002">
        <w:rPr>
          <w:i/>
          <w:iCs/>
        </w:rPr>
        <w:t xml:space="preserve">Special Rapporteur on the right of everyone to the enjoyment of the highest attainable standard of physical and mental health </w:t>
      </w:r>
      <w:r>
        <w:t>(2008-2014), UN Doc A/64/272 (10 August 2009) &lt;https://undocs.org/A/64/272&gt;.</w:t>
      </w:r>
    </w:p>
  </w:endnote>
  <w:endnote w:id="39">
    <w:p w:rsidRPr="00C0260C" w:rsidR="00C10F24" w:rsidP="00C10F24" w:rsidRDefault="00C10F24" w14:paraId="7B8A4321" w14:textId="77777777">
      <w:pPr>
        <w:pStyle w:val="EndnoteText"/>
        <w:rPr>
          <w:rFonts w:cs="Open Sans"/>
        </w:rPr>
      </w:pPr>
      <w:r w:rsidRPr="00C0260C">
        <w:rPr>
          <w:rStyle w:val="EndnoteReference"/>
          <w:rFonts w:cs="Open Sans"/>
        </w:rPr>
        <w:endnoteRef/>
      </w:r>
      <w:r w:rsidRPr="00C0260C">
        <w:rPr>
          <w:rFonts w:cs="Open Sans"/>
        </w:rPr>
        <w:t xml:space="preserve"> </w:t>
      </w:r>
      <w:r w:rsidRPr="00C0260C">
        <w:rPr>
          <w:rFonts w:cs="Open Sans"/>
          <w:i/>
        </w:rPr>
        <w:t>Convention on the Rights of the Child</w:t>
      </w:r>
      <w:r w:rsidRPr="00C0260C">
        <w:rPr>
          <w:rFonts w:cs="Open Sans"/>
        </w:rPr>
        <w:t>, opened for signature 20 November 1989, 1577 UNTS 3 (entered into force 2 September 1990).</w:t>
      </w:r>
    </w:p>
  </w:endnote>
  <w:endnote w:id="40">
    <w:p w:rsidRPr="004D2BDE" w:rsidR="00C10F24" w:rsidP="00C10F24" w:rsidRDefault="00C10F24" w14:paraId="023E351D" w14:textId="77777777">
      <w:pPr>
        <w:pStyle w:val="EndnoteText"/>
        <w:rPr>
          <w:rFonts w:ascii="Arial" w:hAnsi="Arial" w:cs="Arial"/>
        </w:rPr>
      </w:pPr>
      <w:r w:rsidRPr="00C0260C">
        <w:rPr>
          <w:rStyle w:val="EndnoteReference"/>
          <w:rFonts w:cs="Open Sans"/>
        </w:rPr>
        <w:endnoteRef/>
      </w:r>
      <w:r w:rsidRPr="00C0260C">
        <w:rPr>
          <w:rFonts w:cs="Open Sans"/>
        </w:rPr>
        <w:t xml:space="preserve"> Committee on the Rights of the Child, </w:t>
      </w:r>
      <w:r w:rsidRPr="00C0260C">
        <w:rPr>
          <w:rFonts w:cs="Open Sans"/>
          <w:i/>
        </w:rPr>
        <w:t>General Comment No 20 (2016) on the implementation of the rights of the child during adolescence</w:t>
      </w:r>
      <w:r w:rsidRPr="00C0260C">
        <w:rPr>
          <w:rFonts w:cs="Open Sans"/>
        </w:rPr>
        <w:t xml:space="preserve">, UN Doc CRC/C/GC/20 (6 December 2016) </w:t>
      </w:r>
      <w:r>
        <w:rPr>
          <w:rFonts w:cs="Open Sans"/>
        </w:rPr>
        <w:t xml:space="preserve">para </w:t>
      </w:r>
      <w:r w:rsidRPr="00C0260C">
        <w:rPr>
          <w:rFonts w:cs="Open Sans"/>
        </w:rPr>
        <w:t>34.</w:t>
      </w:r>
    </w:p>
  </w:endnote>
  <w:endnote w:id="41">
    <w:p w:rsidRPr="002039D1" w:rsidR="00C10F24" w:rsidP="00C10F24" w:rsidRDefault="00C10F24" w14:paraId="27885135" w14:textId="77777777">
      <w:pPr>
        <w:pStyle w:val="EndnoteText"/>
        <w:rPr>
          <w:rFonts w:cs="Open Sans"/>
        </w:rPr>
      </w:pPr>
      <w:r w:rsidRPr="002039D1">
        <w:rPr>
          <w:rStyle w:val="EndnoteReference"/>
          <w:rFonts w:cs="Open Sans"/>
        </w:rPr>
        <w:endnoteRef/>
      </w:r>
      <w:r w:rsidRPr="002039D1">
        <w:rPr>
          <w:rFonts w:cs="Open Sans"/>
        </w:rPr>
        <w:t xml:space="preserve"> See, for example, Committee on the Rights of the Child, </w:t>
      </w:r>
      <w:r w:rsidRPr="002039D1">
        <w:rPr>
          <w:rFonts w:cs="Open Sans"/>
          <w:i/>
        </w:rPr>
        <w:t>Concluding Observations on the Combined Fourth to Fifth Periodic Reports of Chile</w:t>
      </w:r>
      <w:r w:rsidRPr="002039D1">
        <w:rPr>
          <w:rFonts w:cs="Open Sans"/>
        </w:rPr>
        <w:t>, UN Doc CRC/C/CHL/CO/4-5 (29 October 2015);</w:t>
      </w:r>
      <w:r w:rsidRPr="002039D1">
        <w:rPr>
          <w:rFonts w:cs="Open Sans"/>
        </w:rPr>
        <w:br/>
      </w:r>
      <w:r w:rsidRPr="002039D1">
        <w:rPr>
          <w:rFonts w:cs="Open Sans"/>
        </w:rPr>
        <w:t xml:space="preserve">Committee on the Rights of the Child, </w:t>
      </w:r>
      <w:r w:rsidRPr="002039D1">
        <w:rPr>
          <w:rFonts w:cs="Open Sans"/>
          <w:i/>
        </w:rPr>
        <w:t>Concluding observations on the fifth periodic report of France</w:t>
      </w:r>
      <w:r w:rsidRPr="002039D1">
        <w:rPr>
          <w:rFonts w:cs="Open Sans"/>
        </w:rPr>
        <w:t>, UN Doc CRC/C/FRA/CO/5 (date 2016).</w:t>
      </w:r>
    </w:p>
  </w:endnote>
  <w:endnote w:id="42">
    <w:p w:rsidRPr="002039D1" w:rsidR="00C10F24" w:rsidP="00C10F24" w:rsidRDefault="00C10F24" w14:paraId="33A03686" w14:textId="77777777">
      <w:pPr>
        <w:pStyle w:val="EndnoteText"/>
        <w:rPr>
          <w:rFonts w:cs="Open Sans"/>
        </w:rPr>
      </w:pPr>
      <w:r w:rsidRPr="002039D1">
        <w:rPr>
          <w:rStyle w:val="EndnoteReference"/>
          <w:rFonts w:cs="Open Sans"/>
        </w:rPr>
        <w:endnoteRef/>
      </w:r>
      <w:r w:rsidRPr="002039D1">
        <w:rPr>
          <w:rFonts w:cs="Open Sans"/>
        </w:rPr>
        <w:t xml:space="preserve"> Committee on the Rights of the Child, </w:t>
      </w:r>
      <w:r w:rsidRPr="002039D1">
        <w:rPr>
          <w:rFonts w:cs="Open Sans"/>
          <w:i/>
        </w:rPr>
        <w:t>General Comment No 13: The Right of the Child to Freedom from all Forms of Violence</w:t>
      </w:r>
      <w:r w:rsidRPr="002039D1">
        <w:rPr>
          <w:rFonts w:cs="Open Sans"/>
        </w:rPr>
        <w:t xml:space="preserve">, UN Doc CRC/C/GC/13 (18 April 2011) </w:t>
      </w:r>
      <w:r>
        <w:rPr>
          <w:rFonts w:cs="Open Sans"/>
        </w:rPr>
        <w:t xml:space="preserve">para </w:t>
      </w:r>
      <w:r w:rsidRPr="002039D1">
        <w:rPr>
          <w:rFonts w:cs="Open Sans"/>
        </w:rPr>
        <w:t>29.</w:t>
      </w:r>
    </w:p>
  </w:endnote>
  <w:endnote w:id="43">
    <w:p w:rsidRPr="00AD6357" w:rsidR="00C10F24" w:rsidP="00C10F24" w:rsidRDefault="00C10F24" w14:paraId="24587C1D" w14:textId="77777777">
      <w:pPr>
        <w:pStyle w:val="EndnoteText"/>
        <w:rPr>
          <w:lang w:val="en-US"/>
        </w:rPr>
      </w:pPr>
      <w:r>
        <w:rPr>
          <w:rStyle w:val="EndnoteReference"/>
        </w:rPr>
        <w:endnoteRef/>
      </w:r>
      <w:r>
        <w:t xml:space="preserve"> </w:t>
      </w:r>
      <w:r w:rsidRPr="0077730E">
        <w:t xml:space="preserve">Committee on the Rights of the Child, </w:t>
      </w:r>
      <w:r w:rsidRPr="003357B2">
        <w:rPr>
          <w:i/>
          <w:iCs/>
        </w:rPr>
        <w:t>General comment No. 14 (2013) on the right of the child to have his or her best interests taken as a primary consideration (art. 3, para. 1)</w:t>
      </w:r>
      <w:r w:rsidRPr="0077730E">
        <w:t xml:space="preserve"> </w:t>
      </w:r>
      <w:r>
        <w:t xml:space="preserve">UN Doc </w:t>
      </w:r>
      <w:r w:rsidRPr="0077730E">
        <w:t>CRC /C/GC/14</w:t>
      </w:r>
      <w:r>
        <w:t xml:space="preserve"> (</w:t>
      </w:r>
      <w:r w:rsidRPr="0077730E">
        <w:t>29 May 2013</w:t>
      </w:r>
      <w:r>
        <w:t xml:space="preserve">) para 77. </w:t>
      </w:r>
    </w:p>
  </w:endnote>
  <w:endnote w:id="44">
    <w:p w:rsidRPr="00BA7BBD" w:rsidR="00C10F24" w:rsidP="00C10F24" w:rsidRDefault="00C10F24" w14:paraId="719E184F" w14:textId="77777777">
      <w:pPr>
        <w:pStyle w:val="EndnoteText"/>
        <w:rPr>
          <w:lang w:val="en-US"/>
        </w:rPr>
      </w:pPr>
      <w:r>
        <w:rPr>
          <w:rStyle w:val="EndnoteReference"/>
        </w:rPr>
        <w:endnoteRef/>
      </w:r>
      <w:r>
        <w:t xml:space="preserve"> </w:t>
      </w:r>
      <w:r w:rsidRPr="0077730E">
        <w:t xml:space="preserve">Committee on the Rights of the Child, </w:t>
      </w:r>
      <w:r w:rsidRPr="003357B2">
        <w:rPr>
          <w:i/>
          <w:iCs/>
        </w:rPr>
        <w:t>General comment No. 14 (2013) on the right of the child to have his or her best interests taken as a primary consideration (art. 3, para. 1)</w:t>
      </w:r>
      <w:r w:rsidRPr="0077730E">
        <w:t xml:space="preserve"> </w:t>
      </w:r>
      <w:r>
        <w:t xml:space="preserve">UN Doc </w:t>
      </w:r>
      <w:r w:rsidRPr="0077730E">
        <w:t>CRC /C/GC/14</w:t>
      </w:r>
      <w:r>
        <w:t xml:space="preserve"> (</w:t>
      </w:r>
      <w:r w:rsidRPr="0077730E">
        <w:t>29 May 2013</w:t>
      </w:r>
      <w:r>
        <w:t>) para 39.</w:t>
      </w:r>
    </w:p>
  </w:endnote>
  <w:endnote w:id="45">
    <w:p w:rsidRPr="00852474" w:rsidR="00BD373E" w:rsidRDefault="00BD373E" w14:paraId="06F57614" w14:textId="453EBFC8">
      <w:pPr>
        <w:pStyle w:val="EndnoteText"/>
        <w:rPr>
          <w:lang w:val="en-US"/>
        </w:rPr>
      </w:pPr>
      <w:r>
        <w:rPr>
          <w:rStyle w:val="EndnoteReference"/>
        </w:rPr>
        <w:endnoteRef/>
      </w:r>
      <w:r>
        <w:t xml:space="preserve"> </w:t>
      </w:r>
      <w:r w:rsidRPr="0077730E">
        <w:t xml:space="preserve">Committee on the Rights of the Child, </w:t>
      </w:r>
      <w:r w:rsidRPr="003357B2">
        <w:rPr>
          <w:i/>
          <w:iCs/>
        </w:rPr>
        <w:t>General comment No. 14 (2013) on the right of the child to have his or her best interests taken as a primary consideration (art. 3, para. 1)</w:t>
      </w:r>
      <w:r w:rsidRPr="0077730E">
        <w:t xml:space="preserve"> </w:t>
      </w:r>
      <w:r>
        <w:t xml:space="preserve">UN Doc </w:t>
      </w:r>
      <w:r w:rsidRPr="0077730E">
        <w:t>CRC /C/GC/14</w:t>
      </w:r>
      <w:r>
        <w:t xml:space="preserve"> (</w:t>
      </w:r>
      <w:r w:rsidRPr="0077730E">
        <w:t>29 May 2013</w:t>
      </w:r>
      <w:r>
        <w:t xml:space="preserve">) para </w:t>
      </w:r>
      <w:r w:rsidR="00B26F5B">
        <w:t>89</w:t>
      </w:r>
      <w:r>
        <w:t>.</w:t>
      </w:r>
    </w:p>
  </w:endnote>
  <w:endnote w:id="46">
    <w:p w:rsidR="00C10F24" w:rsidP="00C10F24" w:rsidRDefault="00C10F24" w14:paraId="750645F0" w14:textId="77777777">
      <w:pPr>
        <w:pStyle w:val="EndnoteText"/>
      </w:pPr>
      <w:r>
        <w:rPr>
          <w:rStyle w:val="EndnoteReference"/>
        </w:rPr>
        <w:endnoteRef/>
      </w:r>
      <w:r>
        <w:t xml:space="preserve"> Anand Grover, </w:t>
      </w:r>
      <w:r>
        <w:rPr>
          <w:i/>
          <w:iCs/>
        </w:rPr>
        <w:t>R</w:t>
      </w:r>
      <w:r w:rsidRPr="00DB69C8">
        <w:rPr>
          <w:i/>
          <w:iCs/>
        </w:rPr>
        <w:t xml:space="preserve">ight of everyone to the enjoyment of the highest attainable standard of physical and mental health </w:t>
      </w:r>
      <w:r>
        <w:t>UN Doc A/64/272 (10 August 2009) para 49.</w:t>
      </w:r>
    </w:p>
  </w:endnote>
  <w:endnote w:id="47">
    <w:p w:rsidRPr="00621383" w:rsidR="00C10F24" w:rsidP="00C10F24" w:rsidRDefault="00C10F24" w14:paraId="0CB60C37" w14:textId="77777777">
      <w:pPr>
        <w:pStyle w:val="EndnoteText"/>
        <w:rPr>
          <w:lang w:val="en-US"/>
        </w:rPr>
      </w:pPr>
      <w:r>
        <w:rPr>
          <w:rStyle w:val="EndnoteReference"/>
        </w:rPr>
        <w:endnoteRef/>
      </w:r>
      <w:r>
        <w:t xml:space="preserve"> Dainius Puras, </w:t>
      </w:r>
      <w:r w:rsidRPr="00236812">
        <w:rPr>
          <w:i/>
          <w:iCs/>
        </w:rPr>
        <w:t>Report on the right to health in early childhood: right to survival and development</w:t>
      </w:r>
      <w:r>
        <w:t>, UN doc</w:t>
      </w:r>
      <w:r w:rsidRPr="00B42A02">
        <w:t xml:space="preserve"> </w:t>
      </w:r>
      <w:r>
        <w:t>A/70/213 (30 July 2015) para 86.</w:t>
      </w:r>
    </w:p>
  </w:endnote>
  <w:endnote w:id="48">
    <w:p w:rsidRPr="005C418F" w:rsidR="00C10F24" w:rsidP="00C10F24" w:rsidRDefault="00C10F24" w14:paraId="3EFF4F8E" w14:textId="77777777">
      <w:pPr>
        <w:pStyle w:val="EndnoteText"/>
        <w:rPr>
          <w:rFonts w:cs="Open Sans"/>
        </w:rPr>
      </w:pPr>
      <w:r w:rsidRPr="005C418F">
        <w:rPr>
          <w:rStyle w:val="EndnoteReference"/>
          <w:rFonts w:cs="Open Sans"/>
        </w:rPr>
        <w:endnoteRef/>
      </w:r>
      <w:r w:rsidRPr="005C418F">
        <w:rPr>
          <w:rFonts w:cs="Open Sans"/>
        </w:rPr>
        <w:t xml:space="preserve"> See, for example, Committee Against Torture, </w:t>
      </w:r>
      <w:r w:rsidRPr="005C418F">
        <w:rPr>
          <w:rFonts w:cs="Open Sans"/>
          <w:i/>
        </w:rPr>
        <w:t>Concluding Observations on Germany</w:t>
      </w:r>
      <w:r w:rsidRPr="005C418F">
        <w:rPr>
          <w:rFonts w:cs="Open Sans"/>
        </w:rPr>
        <w:t xml:space="preserve">, UN Doc CAT/C/DEU/CO/5 (12 December 2011) [20]; Committee Against Torture, </w:t>
      </w:r>
      <w:r w:rsidRPr="005C418F">
        <w:rPr>
          <w:rFonts w:cs="Open Sans"/>
          <w:i/>
        </w:rPr>
        <w:t xml:space="preserve">Concluding Observations on Switzerland, </w:t>
      </w:r>
      <w:r w:rsidRPr="005C418F">
        <w:rPr>
          <w:rFonts w:cs="Open Sans"/>
        </w:rPr>
        <w:t>UN Doc</w:t>
      </w:r>
      <w:r w:rsidRPr="005C418F">
        <w:rPr>
          <w:rFonts w:cs="Open Sans"/>
          <w:i/>
        </w:rPr>
        <w:t xml:space="preserve"> </w:t>
      </w:r>
      <w:r w:rsidRPr="005C418F">
        <w:rPr>
          <w:rFonts w:cs="Open Sans"/>
        </w:rPr>
        <w:t xml:space="preserve">CAT/C/CHE/CO/7 (7 September 2015) </w:t>
      </w:r>
      <w:r>
        <w:rPr>
          <w:rFonts w:cs="Open Sans"/>
        </w:rPr>
        <w:t xml:space="preserve">para </w:t>
      </w:r>
      <w:r w:rsidRPr="005C418F">
        <w:rPr>
          <w:rFonts w:cs="Open Sans"/>
        </w:rPr>
        <w:t>20.</w:t>
      </w:r>
    </w:p>
  </w:endnote>
  <w:endnote w:id="49">
    <w:p w:rsidR="0117CC5D" w:rsidP="0117CC5D" w:rsidRDefault="0117CC5D" w14:paraId="257A70F4" w14:textId="77777777">
      <w:pPr>
        <w:pStyle w:val="EndnoteText"/>
        <w:rPr>
          <w:rFonts w:cs="Open Sans"/>
        </w:rPr>
      </w:pPr>
      <w:r w:rsidRPr="0117CC5D">
        <w:rPr>
          <w:rStyle w:val="EndnoteReference"/>
          <w:rFonts w:cs="Open Sans"/>
        </w:rPr>
        <w:endnoteRef/>
      </w:r>
      <w:r w:rsidRPr="0117CC5D">
        <w:rPr>
          <w:rFonts w:cs="Open Sans"/>
        </w:rPr>
        <w:t xml:space="preserve"> </w:t>
      </w:r>
      <w:r w:rsidRPr="0117CC5D">
        <w:rPr>
          <w:rFonts w:cs="Open Sans"/>
          <w:noProof/>
        </w:rPr>
        <w:t xml:space="preserve">Juan E Méndez, </w:t>
      </w:r>
      <w:r w:rsidRPr="0117CC5D">
        <w:rPr>
          <w:rFonts w:cs="Open Sans"/>
          <w:i/>
          <w:iCs/>
          <w:noProof/>
        </w:rPr>
        <w:t xml:space="preserve">Report of the Special Rapporteur on Torture and other Cruel, Inhuman or Degrading Treatment or Punishment, </w:t>
      </w:r>
      <w:r w:rsidRPr="0117CC5D">
        <w:rPr>
          <w:rFonts w:cs="Open Sans"/>
          <w:noProof/>
        </w:rPr>
        <w:t>UN Doc A/HRC/22/53 (1 February 2013) [88].</w:t>
      </w:r>
    </w:p>
  </w:endnote>
  <w:endnote w:id="50">
    <w:p w:rsidR="0117CC5D" w:rsidP="0117CC5D" w:rsidRDefault="0117CC5D" w14:paraId="49FA57DB" w14:textId="77777777">
      <w:pPr>
        <w:pStyle w:val="EndnoteText"/>
        <w:rPr>
          <w:rFonts w:cs="Open Sans"/>
        </w:rPr>
      </w:pPr>
      <w:r w:rsidRPr="0117CC5D">
        <w:rPr>
          <w:rStyle w:val="EndnoteReference"/>
          <w:rFonts w:cs="Open Sans"/>
        </w:rPr>
        <w:endnoteRef/>
      </w:r>
      <w:r w:rsidRPr="0117CC5D">
        <w:rPr>
          <w:rFonts w:cs="Open Sans"/>
        </w:rPr>
        <w:t xml:space="preserve"> </w:t>
      </w:r>
      <w:r w:rsidRPr="0117CC5D">
        <w:rPr>
          <w:rFonts w:cs="Open Sans"/>
          <w:noProof/>
        </w:rPr>
        <w:t>Juan E Méndez,</w:t>
      </w:r>
      <w:r w:rsidRPr="0117CC5D">
        <w:rPr>
          <w:rFonts w:cs="Open Sans"/>
          <w:i/>
          <w:iCs/>
          <w:noProof/>
        </w:rPr>
        <w:t xml:space="preserve"> Report of the Special Rapportuer on Torture and other Cruel, Inhuman or Degrading Treatment or Punishment</w:t>
      </w:r>
      <w:r w:rsidRPr="0117CC5D">
        <w:rPr>
          <w:rFonts w:cs="Open Sans"/>
          <w:noProof/>
        </w:rPr>
        <w:t>, 31</w:t>
      </w:r>
      <w:r w:rsidRPr="0117CC5D">
        <w:rPr>
          <w:rFonts w:cs="Open Sans"/>
          <w:noProof/>
          <w:vertAlign w:val="superscript"/>
        </w:rPr>
        <w:t>st</w:t>
      </w:r>
      <w:r w:rsidRPr="0117CC5D">
        <w:rPr>
          <w:rFonts w:cs="Open Sans"/>
          <w:noProof/>
        </w:rPr>
        <w:t xml:space="preserve"> sess, UN Doc A/HRC/31/57 (5 January 2016) [48] and [50].</w:t>
      </w:r>
    </w:p>
  </w:endnote>
  <w:endnote w:id="51">
    <w:p w:rsidR="0117CC5D" w:rsidP="0117CC5D" w:rsidRDefault="0117CC5D" w14:paraId="00AF3FC2" w14:textId="77777777">
      <w:pPr>
        <w:pStyle w:val="EndnoteText"/>
        <w:rPr>
          <w:rFonts w:cs="Open Sans"/>
        </w:rPr>
      </w:pPr>
      <w:r w:rsidRPr="0117CC5D">
        <w:rPr>
          <w:rStyle w:val="EndnoteReference"/>
          <w:rFonts w:cs="Open Sans"/>
        </w:rPr>
        <w:endnoteRef/>
      </w:r>
      <w:r w:rsidRPr="0117CC5D">
        <w:rPr>
          <w:rFonts w:cs="Open Sans"/>
        </w:rPr>
        <w:t xml:space="preserve"> Office of the High Commissioner on Human Rights, </w:t>
      </w:r>
      <w:r w:rsidRPr="0117CC5D">
        <w:rPr>
          <w:rFonts w:cs="Open Sans"/>
          <w:i/>
          <w:iCs/>
        </w:rPr>
        <w:t xml:space="preserve">Discriminated and made Vulnerable: Young LGBT and Intersex People need Recognition and Protection of their Rights, International Day Against Homophobia, Biphobia and Transphobia </w:t>
      </w:r>
      <w:r w:rsidRPr="0117CC5D">
        <w:rPr>
          <w:rFonts w:cs="Open Sans"/>
        </w:rPr>
        <w:t>(13 May 2015) &lt;</w:t>
      </w:r>
      <w:hyperlink r:id="rId14">
        <w:r w:rsidRPr="0117CC5D">
          <w:rPr>
            <w:rStyle w:val="Hyperlink"/>
            <w:rFonts w:cs="Open Sans"/>
          </w:rPr>
          <w:t>http://www.ohchr.org/EN/NewsEvents/Pages/DisplayNews.aspx?NewsID=15941&amp;LangID=E</w:t>
        </w:r>
      </w:hyperlink>
      <w:r w:rsidRPr="0117CC5D">
        <w:rPr>
          <w:rStyle w:val="Hyperlink"/>
          <w:rFonts w:cs="Open Sans"/>
        </w:rPr>
        <w:t>&gt;</w:t>
      </w:r>
      <w:r w:rsidRPr="0117CC5D">
        <w:rPr>
          <w:rFonts w:cs="Open Sans"/>
        </w:rPr>
        <w:t xml:space="preserve"> </w:t>
      </w:r>
    </w:p>
  </w:endnote>
  <w:endnote w:id="52">
    <w:p w:rsidR="00C10F24" w:rsidP="00C10F24" w:rsidRDefault="00C10F24" w14:paraId="639BCF8E" w14:textId="77777777">
      <w:pPr>
        <w:pStyle w:val="EndnoteText"/>
        <w:rPr>
          <w:rStyle w:val="Hyperlink"/>
        </w:rPr>
      </w:pPr>
      <w:r w:rsidRPr="005B09AE">
        <w:rPr>
          <w:rStyle w:val="EndnoteReference"/>
          <w:rFonts w:cs="Open Sans"/>
        </w:rPr>
        <w:endnoteRef/>
      </w:r>
      <w:r w:rsidRPr="005B09AE">
        <w:rPr>
          <w:sz w:val="18"/>
          <w:szCs w:val="18"/>
        </w:rPr>
        <w:t xml:space="preserve"> </w:t>
      </w:r>
      <w:r w:rsidRPr="005B09AE">
        <w:rPr>
          <w:rFonts w:cs="Open Sans"/>
        </w:rPr>
        <w:t xml:space="preserve">United Nations Committee against Torture, “Concluding Observations on the Sixth Periodic Report of Austria,” CAT/C/AUT/CO/6, January 27, 2016, </w:t>
      </w:r>
      <w:r>
        <w:rPr>
          <w:rFonts w:cs="Open Sans"/>
        </w:rPr>
        <w:t>&lt;</w:t>
      </w:r>
      <w:hyperlink w:history="1" r:id="rId15">
        <w:r w:rsidRPr="001F32D3">
          <w:rPr>
            <w:rStyle w:val="Hyperlink"/>
          </w:rPr>
          <w:t>http://tbinternet.ohchr.org/_layouts/treatybodyexternal/Download.aspx?symbolno=CAT/C/AUT/CO/6&amp;Lang=En</w:t>
        </w:r>
      </w:hyperlink>
      <w:r>
        <w:t>&gt;.</w:t>
      </w:r>
    </w:p>
  </w:endnote>
  <w:endnote w:id="53">
    <w:p w:rsidRPr="005C418F" w:rsidR="00C10F24" w:rsidP="00C10F24" w:rsidRDefault="00C10F24" w14:paraId="6B7653AC" w14:textId="77777777">
      <w:pPr>
        <w:pStyle w:val="EndnoteText"/>
        <w:rPr>
          <w:rFonts w:cs="Open Sans"/>
        </w:rPr>
      </w:pPr>
      <w:r w:rsidRPr="005C418F">
        <w:rPr>
          <w:rStyle w:val="EndnoteReference"/>
          <w:rFonts w:cs="Open Sans"/>
        </w:rPr>
        <w:endnoteRef/>
      </w:r>
      <w:r w:rsidRPr="005C418F">
        <w:rPr>
          <w:rFonts w:cs="Open Sans"/>
        </w:rPr>
        <w:t xml:space="preserve"> </w:t>
      </w:r>
      <w:bookmarkStart w:name="_Hlk25227202" w:id="59"/>
      <w:r w:rsidRPr="005C418F">
        <w:rPr>
          <w:rFonts w:cs="Open Sans"/>
        </w:rPr>
        <w:t xml:space="preserve">Committee against Torture, </w:t>
      </w:r>
      <w:r w:rsidRPr="005C418F">
        <w:rPr>
          <w:rFonts w:cs="Open Sans"/>
          <w:i/>
        </w:rPr>
        <w:t>List of Issues Prior to Submission of the Sixth Period Report of Australia</w:t>
      </w:r>
      <w:r w:rsidRPr="005C418F">
        <w:rPr>
          <w:rFonts w:cs="Open Sans"/>
        </w:rPr>
        <w:t>, UN Doc</w:t>
      </w:r>
      <w:r w:rsidRPr="005C418F">
        <w:rPr>
          <w:rFonts w:cs="Open Sans"/>
          <w:i/>
        </w:rPr>
        <w:t xml:space="preserve"> </w:t>
      </w:r>
      <w:r w:rsidRPr="005C418F">
        <w:rPr>
          <w:rFonts w:cs="Open Sans"/>
        </w:rPr>
        <w:t>CAT/C/AUS/QPR/6 (9 January 2017) [26].</w:t>
      </w:r>
      <w:bookmarkEnd w:id="59"/>
    </w:p>
  </w:endnote>
  <w:endnote w:id="54">
    <w:p w:rsidRPr="00FF57F6" w:rsidR="00C10F24" w:rsidP="00C10F24" w:rsidRDefault="00C10F24" w14:paraId="31BEACFF" w14:textId="77777777">
      <w:pPr>
        <w:pStyle w:val="EndnoteText"/>
        <w:rPr>
          <w:rFonts w:cs="Open Sans"/>
        </w:rPr>
      </w:pPr>
      <w:r w:rsidRPr="00FF57F6">
        <w:rPr>
          <w:rStyle w:val="EndnoteReference"/>
          <w:rFonts w:cs="Open Sans"/>
        </w:rPr>
        <w:endnoteRef/>
      </w:r>
      <w:r w:rsidRPr="00FF57F6">
        <w:rPr>
          <w:rFonts w:cs="Open Sans"/>
        </w:rPr>
        <w:t xml:space="preserve"> </w:t>
      </w:r>
      <w:r w:rsidRPr="00FF57F6">
        <w:rPr>
          <w:rFonts w:cs="Open Sans"/>
          <w:i/>
          <w:iCs/>
        </w:rPr>
        <w:t>International Covenant on Economic, Social and Cultural Rights</w:t>
      </w:r>
      <w:r w:rsidRPr="00FF57F6">
        <w:rPr>
          <w:rFonts w:cs="Open Sans"/>
          <w:iCs/>
        </w:rPr>
        <w:t>, opened for signature 16 December 1966, 993 UNTS 3 (entered into force 3 January 1976) art 12.</w:t>
      </w:r>
    </w:p>
  </w:endnote>
  <w:endnote w:id="55">
    <w:p w:rsidRPr="00FF57F6" w:rsidR="00C10F24" w:rsidP="00C10F24" w:rsidRDefault="00C10F24" w14:paraId="7AFF8CEC" w14:textId="77777777">
      <w:pPr>
        <w:pStyle w:val="EndnoteText"/>
        <w:rPr>
          <w:rFonts w:cs="Open Sans"/>
        </w:rPr>
      </w:pPr>
      <w:r w:rsidRPr="00FF57F6">
        <w:rPr>
          <w:rStyle w:val="EndnoteReference"/>
          <w:rFonts w:cs="Open Sans"/>
        </w:rPr>
        <w:endnoteRef/>
      </w:r>
      <w:r w:rsidRPr="00FF57F6">
        <w:rPr>
          <w:rFonts w:cs="Open Sans"/>
        </w:rPr>
        <w:t xml:space="preserve"> </w:t>
      </w:r>
      <w:r w:rsidRPr="00FF57F6">
        <w:rPr>
          <w:rFonts w:cs="Open Sans"/>
          <w:i/>
        </w:rPr>
        <w:t>Convention on the Rights of the Child</w:t>
      </w:r>
      <w:r w:rsidRPr="00FF57F6">
        <w:rPr>
          <w:rFonts w:cs="Open Sans"/>
        </w:rPr>
        <w:t>, opened for signature 20 November 1989, 1577 UNTS 3 (entered into force 2 September 1990) art 24.</w:t>
      </w:r>
    </w:p>
  </w:endnote>
  <w:endnote w:id="56">
    <w:p w:rsidRPr="00FF57F6" w:rsidR="00C10F24" w:rsidP="00C10F24" w:rsidRDefault="00C10F24" w14:paraId="38CE3538" w14:textId="77777777">
      <w:pPr>
        <w:pStyle w:val="EndnoteText"/>
        <w:rPr>
          <w:rFonts w:cs="Open Sans"/>
        </w:rPr>
      </w:pPr>
      <w:r w:rsidRPr="00FF57F6">
        <w:rPr>
          <w:rStyle w:val="EndnoteReference"/>
          <w:rFonts w:cs="Open Sans"/>
        </w:rPr>
        <w:endnoteRef/>
      </w:r>
      <w:r w:rsidRPr="00FF57F6">
        <w:rPr>
          <w:rFonts w:cs="Open Sans"/>
        </w:rPr>
        <w:t xml:space="preserve"> </w:t>
      </w:r>
      <w:r w:rsidRPr="00FF57F6">
        <w:rPr>
          <w:rFonts w:cs="Open Sans"/>
          <w:i/>
          <w:color w:val="000000" w:themeColor="text1"/>
        </w:rPr>
        <w:t xml:space="preserve">Convention on the Rights of Persons with Disabilities, </w:t>
      </w:r>
      <w:r w:rsidRPr="00FF57F6">
        <w:rPr>
          <w:rFonts w:cs="Open Sans"/>
          <w:color w:val="000000" w:themeColor="text1"/>
        </w:rPr>
        <w:t>opened for signature 30 March 2007, 2515 UNTS 3 (entered into force 3 May 2008) art 25.</w:t>
      </w:r>
    </w:p>
  </w:endnote>
  <w:endnote w:id="57">
    <w:p w:rsidRPr="004D2BDE" w:rsidR="00C10F24" w:rsidP="00C10F24" w:rsidRDefault="00C10F24" w14:paraId="59DC6601" w14:textId="77777777">
      <w:pPr>
        <w:pStyle w:val="EndnoteText"/>
        <w:rPr>
          <w:rFonts w:ascii="Arial" w:hAnsi="Arial" w:cs="Arial"/>
        </w:rPr>
      </w:pPr>
      <w:r w:rsidRPr="00FF57F6">
        <w:rPr>
          <w:rStyle w:val="EndnoteReference"/>
          <w:rFonts w:cs="Open Sans"/>
        </w:rPr>
        <w:endnoteRef/>
      </w:r>
      <w:r w:rsidRPr="00FF57F6">
        <w:rPr>
          <w:rFonts w:cs="Open Sans"/>
        </w:rPr>
        <w:t xml:space="preserve"> United Nations Education, Scientific and Cultural Organization, </w:t>
      </w:r>
      <w:r w:rsidRPr="00FF57F6">
        <w:rPr>
          <w:rFonts w:cs="Open Sans"/>
          <w:i/>
        </w:rPr>
        <w:t>Universal Declaration on Bioethics and Human Rights</w:t>
      </w:r>
      <w:r w:rsidRPr="00FF57F6">
        <w:rPr>
          <w:rFonts w:cs="Open Sans"/>
        </w:rPr>
        <w:t>, General Conference, 33</w:t>
      </w:r>
      <w:r w:rsidRPr="00FF57F6">
        <w:rPr>
          <w:rFonts w:cs="Open Sans"/>
          <w:vertAlign w:val="superscript"/>
        </w:rPr>
        <w:t>rd</w:t>
      </w:r>
      <w:r w:rsidRPr="00FF57F6">
        <w:rPr>
          <w:rFonts w:cs="Open Sans"/>
        </w:rPr>
        <w:t xml:space="preserve"> sess, vol 1 (3</w:t>
      </w:r>
      <w:r w:rsidRPr="00FF57F6">
        <w:rPr>
          <w:rFonts w:cs="Open Sans"/>
          <w:iCs/>
        </w:rPr>
        <w:t>–21 October 2005</w:t>
      </w:r>
      <w:r w:rsidRPr="00FF57F6">
        <w:rPr>
          <w:rFonts w:cs="Open Sans"/>
        </w:rPr>
        <w:t>) res 36,</w:t>
      </w:r>
      <w:r w:rsidRPr="00FF57F6">
        <w:rPr>
          <w:rFonts w:cs="Open Sans"/>
        </w:rPr>
        <w:fldChar w:fldCharType="begin"/>
      </w:r>
      <w:r w:rsidRPr="00FF57F6">
        <w:rPr>
          <w:rFonts w:cs="Open Sans"/>
        </w:rPr>
        <w:instrText xml:space="preserve"> ADDIN ZOTERO_ITEM CSL_CITATION {"citationID":"UPTgYW06","properties":{"formattedCitation":"{\\rtf UNESCO, \\uc0\\u8216{}Universal Declaration on Bioethics and Human Rights\\uc0\\u8217{} &lt;http://unesdoc.unesco.org/images/0014/001428/142825e.pdf#page=80&gt;.}","plainCitation":"UNESCO, ‘Universal Declaration on Bioethics and Human Rights’ &lt;http://unesdoc.unesco.org/images/0014/001428/142825e.pdf#page=80&gt;."},"citationItems":[{"id":1173,"uris":["http://zotero.org/users/4317530/items/YIKH4UQQ"],"uri":["http://zotero.org/users/4317530/items/YIKH4UQQ"],"itemData":{"id":1173,"type":"article","title":"Universal Declaration on Bioethics and Human Rights","URL":"http://unesdoc.unesco.org/images/0014/001428/142825e.pdf#page=80","author":[{"family":"UNESCO","given":""}],"issued":{"date-parts":[["2005",10,3]]},"accessed":{"date-parts":[["2018",1,5]]}}}],"schema":"https://github.com/citation-style-language/schema/raw/master/csl-citation.json"} </w:instrText>
      </w:r>
      <w:r w:rsidRPr="00FF57F6">
        <w:rPr>
          <w:rFonts w:cs="Open Sans"/>
        </w:rPr>
        <w:fldChar w:fldCharType="separate"/>
      </w:r>
      <w:r w:rsidRPr="00FF57F6">
        <w:rPr>
          <w:rFonts w:cs="Open Sans"/>
        </w:rPr>
        <w:t xml:space="preserve"> arts 6</w:t>
      </w:r>
      <w:r w:rsidRPr="00FF57F6">
        <w:rPr>
          <w:rFonts w:cs="Open Sans"/>
          <w:iCs/>
        </w:rPr>
        <w:t>–</w:t>
      </w:r>
      <w:r w:rsidRPr="00FF57F6">
        <w:rPr>
          <w:rFonts w:cs="Open Sans"/>
        </w:rPr>
        <w:t xml:space="preserve">7. </w:t>
      </w:r>
      <w:r>
        <w:rPr>
          <w:rFonts w:cs="Open Sans"/>
        </w:rPr>
        <w:t>&lt;</w:t>
      </w:r>
      <w:r w:rsidRPr="00FF57F6">
        <w:rPr>
          <w:rFonts w:cs="Open Sans"/>
        </w:rPr>
        <w:t>http://unesdoc.unesco.org/images/0014/001428/142825e.pdf#page=80</w:t>
      </w:r>
      <w:r w:rsidRPr="00FF57F6">
        <w:rPr>
          <w:rFonts w:cs="Open Sans"/>
        </w:rPr>
        <w:fldChar w:fldCharType="end"/>
      </w:r>
      <w:r>
        <w:rPr>
          <w:rFonts w:cs="Open Sans"/>
        </w:rPr>
        <w:t>&gt;.</w:t>
      </w:r>
    </w:p>
  </w:endnote>
  <w:endnote w:id="58">
    <w:p w:rsidR="00C10F24" w:rsidP="00C10F24" w:rsidRDefault="00C10F24" w14:paraId="77422B32" w14:textId="77777777">
      <w:pPr>
        <w:pStyle w:val="EndnoteText"/>
        <w:rPr>
          <w:rFonts w:cs="Open Sans"/>
          <w:lang w:val="en-US"/>
        </w:rPr>
      </w:pPr>
      <w:r w:rsidRPr="676F1596">
        <w:rPr>
          <w:rStyle w:val="EndnoteReference"/>
        </w:rPr>
        <w:endnoteRef/>
      </w:r>
      <w:r>
        <w:t xml:space="preserve"> United Nations General Assembly, </w:t>
      </w:r>
      <w:r w:rsidRPr="676F1596">
        <w:rPr>
          <w:i/>
          <w:iCs/>
        </w:rPr>
        <w:t>Report of the Special Rapporteur on the right of everyone to the enjoyment of the highest attainable standard of physical and mental health</w:t>
      </w:r>
      <w:r>
        <w:t>, 64th sess, UN doc A/64/272 (2009), para 23 &lt;https://undocs.org/A/64/272&gt;.</w:t>
      </w:r>
    </w:p>
  </w:endnote>
  <w:endnote w:id="59">
    <w:p w:rsidR="00C10F24" w:rsidP="00C10F24" w:rsidRDefault="00C10F24" w14:paraId="40802083" w14:textId="77777777">
      <w:pPr>
        <w:pStyle w:val="EndnoteText"/>
        <w:rPr>
          <w:rFonts w:ascii="Arial" w:hAnsi="Arial" w:eastAsia="Times New Roman" w:cs="Arial"/>
          <w:lang w:val="en-US"/>
        </w:rPr>
      </w:pPr>
      <w:r w:rsidRPr="676F1596">
        <w:rPr>
          <w:rStyle w:val="EndnoteReference"/>
        </w:rPr>
        <w:endnoteRef/>
      </w:r>
      <w:r>
        <w:t xml:space="preserve"> United Nations General Assembly, </w:t>
      </w:r>
      <w:r w:rsidRPr="676F1596">
        <w:rPr>
          <w:i/>
          <w:iCs/>
        </w:rPr>
        <w:t>Report of the Special Rapporteur on the right of everyone to the enjoyment of the highest attainable standard of physical and mental health,</w:t>
      </w:r>
      <w:r>
        <w:t xml:space="preserve"> 64th sess, UN doc A/64/272 (2009), para 23 &lt;https://undocs.org/A/64/272&gt;.</w:t>
      </w:r>
    </w:p>
  </w:endnote>
  <w:endnote w:id="60">
    <w:p w:rsidRPr="006A215A" w:rsidR="00C10F24" w:rsidP="006A215A" w:rsidRDefault="00C10F24" w14:paraId="0E6C2B78" w14:textId="2264B9E7">
      <w:pPr>
        <w:pStyle w:val="CommentText"/>
      </w:pPr>
      <w:r w:rsidRPr="005C6A85">
        <w:rPr>
          <w:rStyle w:val="EndnoteReference"/>
          <w:rFonts w:cs="Open Sans"/>
        </w:rPr>
        <w:endnoteRef/>
      </w:r>
      <w:r w:rsidRPr="005C6A85">
        <w:rPr>
          <w:rFonts w:cs="Open Sans"/>
        </w:rPr>
        <w:t xml:space="preserve"> International Commission of Jurists, </w:t>
      </w:r>
      <w:r w:rsidRPr="005C6A85">
        <w:rPr>
          <w:rFonts w:cs="Open Sans"/>
          <w:i/>
        </w:rPr>
        <w:t xml:space="preserve">Yogyakarta Principles </w:t>
      </w:r>
      <w:r>
        <w:rPr>
          <w:rFonts w:cs="Open Sans"/>
          <w:i/>
        </w:rPr>
        <w:t>–</w:t>
      </w:r>
      <w:r w:rsidRPr="005C6A85">
        <w:rPr>
          <w:rFonts w:cs="Open Sans"/>
          <w:i/>
        </w:rPr>
        <w:t xml:space="preserve"> Principles on the application of international human rights law in relation to sexual orientation and gender identity</w:t>
      </w:r>
      <w:r w:rsidRPr="005C6A85">
        <w:rPr>
          <w:rFonts w:cs="Open Sans"/>
        </w:rPr>
        <w:t xml:space="preserve"> (March 2007) 7</w:t>
      </w:r>
      <w:r w:rsidR="002731C9">
        <w:rPr>
          <w:rFonts w:cs="Open Sans"/>
        </w:rPr>
        <w:t xml:space="preserve">, was </w:t>
      </w:r>
      <w:r w:rsidR="006A215A">
        <w:rPr>
          <w:rFonts w:cs="Open Sans"/>
        </w:rPr>
        <w:t xml:space="preserve">adopted </w:t>
      </w:r>
      <w:r w:rsidR="006A215A">
        <w:t>by leading experts in international laws.</w:t>
      </w:r>
    </w:p>
  </w:endnote>
  <w:endnote w:id="61">
    <w:p w:rsidR="00C10F24" w:rsidP="00C10F24" w:rsidRDefault="00C10F24" w14:paraId="66CC40F4" w14:textId="77777777">
      <w:pPr>
        <w:pStyle w:val="EndnoteText"/>
        <w:rPr>
          <w:lang w:val="en-US"/>
        </w:rPr>
      </w:pPr>
      <w:r w:rsidRPr="005C6A85">
        <w:rPr>
          <w:rStyle w:val="EndnoteReference"/>
          <w:rFonts w:cs="Open Sans"/>
        </w:rPr>
        <w:endnoteRef/>
      </w:r>
      <w:r w:rsidRPr="005C6A85">
        <w:rPr>
          <w:rFonts w:cs="Open Sans"/>
        </w:rPr>
        <w:t xml:space="preserve"> The Yogyakarta Principles have since been referred to and used by a variety of international</w:t>
      </w:r>
      <w:r>
        <w:t xml:space="preserve"> and domestic decision-making bodies and courts, evidencing a growing acceptance that they reflect international human rights obligations; see for example Michael O’Flaherty, ‘The Yogyakarta Principles at Ten’ (2015) 33(4) </w:t>
      </w:r>
      <w:r w:rsidRPr="676F1596">
        <w:rPr>
          <w:i/>
          <w:iCs/>
        </w:rPr>
        <w:t>Nordic Journal of Human Rights</w:t>
      </w:r>
      <w:r>
        <w:t xml:space="preserve"> 280, 287–294.</w:t>
      </w:r>
    </w:p>
  </w:endnote>
  <w:endnote w:id="62">
    <w:p w:rsidRPr="0071288E" w:rsidR="001670D6" w:rsidRDefault="001670D6" w14:paraId="1EF629D8" w14:textId="28F7F6AA">
      <w:pPr>
        <w:pStyle w:val="EndnoteText"/>
        <w:rPr>
          <w:lang w:val="en-US"/>
        </w:rPr>
      </w:pPr>
      <w:r>
        <w:rPr>
          <w:rStyle w:val="EndnoteReference"/>
        </w:rPr>
        <w:endnoteRef/>
      </w:r>
      <w:r>
        <w:t xml:space="preserve"> </w:t>
      </w:r>
      <w:r w:rsidR="0071288E">
        <w:rPr>
          <w:i/>
          <w:iCs/>
        </w:rPr>
        <w:t xml:space="preserve">Sex Discrimination Act 1984 </w:t>
      </w:r>
      <w:r w:rsidR="0071288E">
        <w:t>(Cth</w:t>
      </w:r>
      <w:r w:rsidR="0084625A">
        <w:t>)</w:t>
      </w:r>
      <w:r w:rsidRPr="0084625A" w:rsidR="0084625A">
        <w:t xml:space="preserve"> </w:t>
      </w:r>
      <w:r w:rsidR="0084625A">
        <w:t>ss 5A</w:t>
      </w:r>
      <w:r w:rsidR="00646F5D">
        <w:rPr>
          <w:rFonts w:cs="Open Sans"/>
        </w:rPr>
        <w:t>–</w:t>
      </w:r>
      <w:r w:rsidR="0084625A">
        <w:t>5C.</w:t>
      </w:r>
      <w:r w:rsidR="0071288E">
        <w:t xml:space="preserve"> </w:t>
      </w:r>
    </w:p>
  </w:endnote>
  <w:endnote w:id="63">
    <w:p w:rsidR="00B445E3" w:rsidP="00534CEB" w:rsidRDefault="00C10F24" w14:paraId="2915B47B" w14:textId="759EA160">
      <w:pPr>
        <w:pStyle w:val="EndnoteText"/>
      </w:pPr>
      <w:r w:rsidRPr="676F1596">
        <w:rPr>
          <w:rStyle w:val="EndnoteReference"/>
        </w:rPr>
        <w:endnoteRef/>
      </w:r>
      <w:r>
        <w:t xml:space="preserve"> ARC International and International Service for Human Rights, </w:t>
      </w:r>
      <w:r w:rsidRPr="676F1596">
        <w:rPr>
          <w:i/>
          <w:iCs/>
        </w:rPr>
        <w:t>Yogyakarta Principles plus 10 – Additional principles and state obligations on the application of international human rights law in relation to sexual orientation, gender identity, gender expression and sex characteristics to complement the Yogyakarta Principles</w:t>
      </w:r>
      <w:r>
        <w:t xml:space="preserve"> (November 2017).</w:t>
      </w:r>
    </w:p>
    <w:p w:rsidR="00870612" w:rsidP="00C10F24" w:rsidRDefault="00870612" w14:paraId="3D4807BC" w14:textId="77777777">
      <w:pPr>
        <w:pStyle w:val="EndnoteText"/>
        <w:rPr>
          <w:lang w:val="en-US"/>
        </w:rPr>
      </w:pPr>
    </w:p>
  </w:endnote>
  <w:endnote w:id="64">
    <w:p w:rsidRPr="009A267C" w:rsidR="008C0259" w:rsidP="008C0259" w:rsidRDefault="008C0259" w14:paraId="7B3991A5" w14:textId="77777777">
      <w:pPr>
        <w:pStyle w:val="EndnoteText"/>
        <w:rPr>
          <w:rFonts w:cs="Open Sans"/>
        </w:rPr>
      </w:pPr>
      <w:r w:rsidRPr="009A267C">
        <w:rPr>
          <w:rStyle w:val="EndnoteReference"/>
          <w:rFonts w:cs="Open Sans"/>
        </w:rPr>
        <w:endnoteRef/>
      </w:r>
      <w:r w:rsidRPr="009A267C">
        <w:rPr>
          <w:rFonts w:cs="Open Sans"/>
        </w:rPr>
        <w:t xml:space="preserve"> The Commission conducted interviews with 13 people born with variations in sex characteristics, and four with parents and partners, received four submissions made by people with lived experience, four from parents, and received four submissions from support groups which collated the experience of their members.</w:t>
      </w:r>
    </w:p>
  </w:endnote>
  <w:endnote w:id="65">
    <w:p w:rsidRPr="009A267C" w:rsidR="008C0259" w:rsidP="008C0259" w:rsidRDefault="008C0259" w14:paraId="6A9557DB" w14:textId="77777777">
      <w:pPr>
        <w:pStyle w:val="EndnoteText"/>
        <w:rPr>
          <w:rFonts w:cs="Open Sans"/>
        </w:rPr>
      </w:pPr>
      <w:r w:rsidRPr="009A267C">
        <w:rPr>
          <w:rStyle w:val="EndnoteReference"/>
          <w:rFonts w:cs="Open Sans"/>
        </w:rPr>
        <w:endnoteRef/>
      </w:r>
      <w:r w:rsidRPr="009A267C">
        <w:rPr>
          <w:rFonts w:cs="Open Sans"/>
        </w:rPr>
        <w:t xml:space="preserve"> Intersex Human Rights Australia, Submission 40, </w:t>
      </w:r>
      <w:bookmarkStart w:name="_Hlk79580620" w:id="110"/>
      <w:r w:rsidRPr="009A267C">
        <w:rPr>
          <w:rFonts w:cs="Open Sans"/>
          <w:i/>
          <w:iCs/>
        </w:rPr>
        <w:t>Intersex Inquiry</w:t>
      </w:r>
      <w:r w:rsidRPr="009A267C">
        <w:rPr>
          <w:rFonts w:cs="Open Sans"/>
        </w:rPr>
        <w:t xml:space="preserve">, </w:t>
      </w:r>
      <w:bookmarkEnd w:id="110"/>
      <w:r w:rsidRPr="009A267C">
        <w:rPr>
          <w:rFonts w:cs="Open Sans"/>
        </w:rPr>
        <w:t xml:space="preserve">31, citing Morgan Carpenter submission to the </w:t>
      </w:r>
      <w:r w:rsidRPr="009A267C">
        <w:rPr>
          <w:rFonts w:cs="Open Sans"/>
          <w:i/>
        </w:rPr>
        <w:t xml:space="preserve">Religious </w:t>
      </w:r>
      <w:r w:rsidRPr="009A267C">
        <w:rPr>
          <w:rFonts w:cs="Open Sans"/>
          <w:i/>
          <w:iCs/>
        </w:rPr>
        <w:t xml:space="preserve">Freedom Review </w:t>
      </w:r>
      <w:r w:rsidRPr="009A267C">
        <w:rPr>
          <w:rFonts w:cs="Open Sans"/>
        </w:rPr>
        <w:t>(2018).</w:t>
      </w:r>
    </w:p>
  </w:endnote>
  <w:endnote w:id="66">
    <w:p w:rsidRPr="009A267C" w:rsidR="008C0259" w:rsidP="008C0259" w:rsidRDefault="008C0259" w14:paraId="7E586291" w14:textId="77777777">
      <w:pPr>
        <w:pStyle w:val="EndnoteText"/>
        <w:rPr>
          <w:rFonts w:cs="Open Sans"/>
        </w:rPr>
      </w:pPr>
      <w:r w:rsidRPr="009A267C">
        <w:rPr>
          <w:rStyle w:val="EndnoteReference"/>
          <w:rFonts w:cs="Open Sans"/>
        </w:rPr>
        <w:endnoteRef/>
      </w:r>
      <w:r w:rsidRPr="009A267C">
        <w:rPr>
          <w:rFonts w:cs="Open Sans"/>
        </w:rPr>
        <w:t xml:space="preserve"> Interview 10, </w:t>
      </w:r>
      <w:r w:rsidRPr="009A267C">
        <w:rPr>
          <w:rFonts w:cs="Open Sans"/>
          <w:i/>
          <w:iCs/>
        </w:rPr>
        <w:t>Intersex Inquiry</w:t>
      </w:r>
      <w:r w:rsidRPr="009A267C">
        <w:rPr>
          <w:rFonts w:cs="Open Sans"/>
        </w:rPr>
        <w:t xml:space="preserve">. </w:t>
      </w:r>
    </w:p>
  </w:endnote>
  <w:endnote w:id="67">
    <w:p w:rsidRPr="009A267C" w:rsidR="008C0259" w:rsidP="008C0259" w:rsidRDefault="008C0259" w14:paraId="1FCA581A" w14:textId="77777777">
      <w:pPr>
        <w:pStyle w:val="EndnoteText"/>
        <w:rPr>
          <w:rFonts w:cs="Open Sans"/>
          <w:lang w:val="en-US"/>
        </w:rPr>
      </w:pPr>
      <w:r w:rsidRPr="009A267C">
        <w:rPr>
          <w:rStyle w:val="EndnoteReference"/>
          <w:rFonts w:cs="Open Sans"/>
        </w:rPr>
        <w:endnoteRef/>
      </w:r>
      <w:r w:rsidRPr="009A267C">
        <w:rPr>
          <w:rFonts w:cs="Open Sans"/>
        </w:rPr>
        <w:t xml:space="preserve"> A Gender Agenda, Submission 52,</w:t>
      </w:r>
      <w:r w:rsidRPr="009A267C">
        <w:rPr>
          <w:rFonts w:cs="Open Sans"/>
          <w:i/>
          <w:iCs/>
        </w:rPr>
        <w:t xml:space="preserve"> Intersex Inquiry</w:t>
      </w:r>
      <w:r w:rsidRPr="009A267C">
        <w:rPr>
          <w:rFonts w:cs="Open Sans"/>
        </w:rPr>
        <w:t xml:space="preserve">, 9; </w:t>
      </w:r>
      <w:r w:rsidRPr="009A267C">
        <w:rPr>
          <w:rFonts w:cs="Open Sans"/>
          <w:lang w:val="en-US"/>
        </w:rPr>
        <w:t>Submission 36,</w:t>
      </w:r>
      <w:r w:rsidRPr="009A267C">
        <w:rPr>
          <w:rFonts w:cs="Open Sans"/>
          <w:i/>
          <w:iCs/>
        </w:rPr>
        <w:t xml:space="preserve"> Intersex Inquiry</w:t>
      </w:r>
      <w:r w:rsidRPr="009A267C">
        <w:rPr>
          <w:rFonts w:cs="Open Sans"/>
        </w:rPr>
        <w:t xml:space="preserve">, </w:t>
      </w:r>
      <w:r w:rsidRPr="009A267C">
        <w:rPr>
          <w:rFonts w:cs="Open Sans"/>
          <w:lang w:val="en-US"/>
        </w:rPr>
        <w:t xml:space="preserve">22. </w:t>
      </w:r>
    </w:p>
  </w:endnote>
  <w:endnote w:id="68">
    <w:p w:rsidRPr="009A267C" w:rsidR="008C0259" w:rsidP="008C0259" w:rsidRDefault="008C0259" w14:paraId="30A2A800" w14:textId="77777777">
      <w:pPr>
        <w:pStyle w:val="EndnoteText"/>
        <w:rPr>
          <w:rFonts w:cs="Open Sans"/>
          <w:lang w:val="en-US"/>
        </w:rPr>
      </w:pPr>
      <w:r w:rsidRPr="009A267C">
        <w:rPr>
          <w:rStyle w:val="EndnoteReference"/>
          <w:rFonts w:cs="Open Sans"/>
        </w:rPr>
        <w:endnoteRef/>
      </w:r>
      <w:r w:rsidRPr="009A267C">
        <w:rPr>
          <w:rFonts w:cs="Open Sans"/>
        </w:rPr>
        <w:t xml:space="preserve"> </w:t>
      </w:r>
      <w:r w:rsidRPr="009A267C">
        <w:rPr>
          <w:rFonts w:cs="Open Sans"/>
          <w:lang w:val="en-US"/>
        </w:rPr>
        <w:t xml:space="preserve">Submission 41, </w:t>
      </w:r>
      <w:r w:rsidRPr="009A267C">
        <w:rPr>
          <w:rFonts w:cs="Open Sans"/>
          <w:i/>
          <w:iCs/>
        </w:rPr>
        <w:t>Intersex Inquiry</w:t>
      </w:r>
      <w:r w:rsidRPr="009A267C">
        <w:rPr>
          <w:rFonts w:cs="Open Sans"/>
        </w:rPr>
        <w:t xml:space="preserve">, </w:t>
      </w:r>
      <w:r w:rsidRPr="009A267C">
        <w:rPr>
          <w:rFonts w:cs="Open Sans"/>
          <w:lang w:val="en-US"/>
        </w:rPr>
        <w:t xml:space="preserve">7. </w:t>
      </w:r>
    </w:p>
  </w:endnote>
  <w:endnote w:id="69">
    <w:p w:rsidRPr="009A267C" w:rsidR="008C0259" w:rsidP="008C0259" w:rsidRDefault="008C0259" w14:paraId="6B13D792" w14:textId="77777777">
      <w:pPr>
        <w:pStyle w:val="EndnoteText"/>
        <w:rPr>
          <w:rFonts w:cs="Open Sans"/>
          <w:b/>
        </w:rPr>
      </w:pPr>
      <w:r w:rsidRPr="009A267C">
        <w:rPr>
          <w:rStyle w:val="EndnoteReference"/>
          <w:rFonts w:cs="Open Sans"/>
        </w:rPr>
        <w:endnoteRef/>
      </w:r>
      <w:r w:rsidRPr="009A267C">
        <w:rPr>
          <w:rFonts w:cs="Open Sans"/>
        </w:rPr>
        <w:t xml:space="preserve"> Submission 68, </w:t>
      </w:r>
      <w:r w:rsidRPr="009A267C">
        <w:rPr>
          <w:rFonts w:cs="Open Sans"/>
          <w:i/>
          <w:iCs/>
        </w:rPr>
        <w:t>Intersex Inquiry,</w:t>
      </w:r>
      <w:r w:rsidRPr="009A267C">
        <w:rPr>
          <w:rFonts w:cs="Open Sans"/>
        </w:rPr>
        <w:t xml:space="preserve"> 3; Submission 67,</w:t>
      </w:r>
      <w:r w:rsidRPr="009A267C">
        <w:rPr>
          <w:rFonts w:cs="Open Sans"/>
          <w:i/>
          <w:iCs/>
        </w:rPr>
        <w:t xml:space="preserve"> Intersex Inquiry</w:t>
      </w:r>
      <w:r w:rsidRPr="009A267C">
        <w:rPr>
          <w:rFonts w:cs="Open Sans"/>
        </w:rPr>
        <w:t xml:space="preserve">, 4. </w:t>
      </w:r>
    </w:p>
  </w:endnote>
  <w:endnote w:id="70">
    <w:p w:rsidRPr="009A267C" w:rsidR="008C0259" w:rsidP="008C0259" w:rsidRDefault="008C0259" w14:paraId="7341F87E" w14:textId="77777777">
      <w:pPr>
        <w:pStyle w:val="EndnoteText"/>
        <w:rPr>
          <w:rFonts w:cs="Open Sans"/>
        </w:rPr>
      </w:pPr>
      <w:r w:rsidRPr="009A267C">
        <w:rPr>
          <w:rStyle w:val="EndnoteReference"/>
          <w:rFonts w:cs="Open Sans"/>
        </w:rPr>
        <w:endnoteRef/>
      </w:r>
      <w:r w:rsidRPr="009A267C">
        <w:rPr>
          <w:rFonts w:cs="Open Sans"/>
        </w:rPr>
        <w:t xml:space="preserve"> NHMRC funded research program, Submission 30, </w:t>
      </w:r>
      <w:r w:rsidRPr="009A267C">
        <w:rPr>
          <w:rFonts w:cs="Open Sans"/>
          <w:i/>
          <w:iCs/>
        </w:rPr>
        <w:t>Intersex Inquiry</w:t>
      </w:r>
      <w:r w:rsidRPr="009A267C">
        <w:rPr>
          <w:rFonts w:cs="Open Sans"/>
        </w:rPr>
        <w:t xml:space="preserve">, 4. </w:t>
      </w:r>
    </w:p>
  </w:endnote>
  <w:endnote w:id="71">
    <w:p w:rsidRPr="009A267C" w:rsidR="008C0259" w:rsidP="008C0259" w:rsidRDefault="008C0259" w14:paraId="44E6EEBD" w14:textId="77777777">
      <w:pPr>
        <w:pStyle w:val="EndnoteText"/>
        <w:rPr>
          <w:rFonts w:cs="Open Sans"/>
        </w:rPr>
      </w:pPr>
      <w:r w:rsidRPr="009A267C">
        <w:rPr>
          <w:rStyle w:val="EndnoteReference"/>
          <w:rFonts w:cs="Open Sans"/>
        </w:rPr>
        <w:endnoteRef/>
      </w:r>
      <w:r w:rsidRPr="009A267C">
        <w:rPr>
          <w:rFonts w:cs="Open Sans"/>
        </w:rPr>
        <w:t xml:space="preserve"> Western Australian Multidisciplinary DSD Team, Submission 23,</w:t>
      </w:r>
      <w:r w:rsidRPr="009A267C">
        <w:rPr>
          <w:rFonts w:cs="Open Sans"/>
          <w:i/>
          <w:iCs/>
        </w:rPr>
        <w:t xml:space="preserve"> Intersex Inquiry</w:t>
      </w:r>
      <w:r w:rsidRPr="009A267C">
        <w:rPr>
          <w:rFonts w:cs="Open Sans"/>
        </w:rPr>
        <w:t>, 3; NHMRC funded research program, Submission 30,</w:t>
      </w:r>
      <w:r w:rsidRPr="009A267C">
        <w:rPr>
          <w:rFonts w:cs="Open Sans"/>
          <w:i/>
          <w:iCs/>
        </w:rPr>
        <w:t xml:space="preserve"> Intersex Inquiry</w:t>
      </w:r>
      <w:r w:rsidRPr="009A267C">
        <w:rPr>
          <w:rFonts w:cs="Open Sans"/>
        </w:rPr>
        <w:t xml:space="preserve">, 4; Submission 68, </w:t>
      </w:r>
      <w:r w:rsidRPr="009A267C">
        <w:rPr>
          <w:rFonts w:cs="Open Sans"/>
          <w:i/>
          <w:iCs/>
        </w:rPr>
        <w:t>Intersex Inquiry</w:t>
      </w:r>
      <w:r w:rsidRPr="009A267C">
        <w:rPr>
          <w:rFonts w:cs="Open Sans"/>
        </w:rPr>
        <w:t xml:space="preserve">, 5. </w:t>
      </w:r>
    </w:p>
  </w:endnote>
  <w:endnote w:id="72">
    <w:p w:rsidRPr="009A267C" w:rsidR="008C0259" w:rsidP="008C0259" w:rsidRDefault="008C0259" w14:paraId="6A6190F7" w14:textId="77777777">
      <w:pPr>
        <w:pStyle w:val="EndnoteText"/>
        <w:rPr>
          <w:rFonts w:cs="Open Sans"/>
        </w:rPr>
      </w:pPr>
      <w:r w:rsidRPr="009A267C">
        <w:rPr>
          <w:rStyle w:val="EndnoteReference"/>
          <w:rFonts w:cs="Open Sans"/>
        </w:rPr>
        <w:endnoteRef/>
      </w:r>
      <w:r w:rsidRPr="009A267C">
        <w:rPr>
          <w:rFonts w:cs="Open Sans"/>
        </w:rPr>
        <w:t xml:space="preserve"> Submission 68, </w:t>
      </w:r>
      <w:r w:rsidRPr="009A267C">
        <w:rPr>
          <w:rFonts w:cs="Open Sans"/>
          <w:i/>
          <w:iCs/>
        </w:rPr>
        <w:t>Intersex Inquiry</w:t>
      </w:r>
      <w:r w:rsidRPr="009A267C">
        <w:rPr>
          <w:rFonts w:cs="Open Sans"/>
        </w:rPr>
        <w:t>, 3; Australasian Paediatric Endocrine Group, Submission 20,</w:t>
      </w:r>
      <w:r w:rsidRPr="009A267C">
        <w:rPr>
          <w:rFonts w:cs="Open Sans"/>
          <w:i/>
          <w:iCs/>
        </w:rPr>
        <w:t xml:space="preserve"> Intersex Inquiry</w:t>
      </w:r>
      <w:r w:rsidRPr="009A267C">
        <w:rPr>
          <w:rFonts w:cs="Open Sans"/>
        </w:rPr>
        <w:t xml:space="preserve">, 6. </w:t>
      </w:r>
    </w:p>
  </w:endnote>
  <w:endnote w:id="73">
    <w:p w:rsidRPr="009A267C" w:rsidR="008C0259" w:rsidP="008C0259" w:rsidRDefault="008C0259" w14:paraId="3C03386F" w14:textId="77777777">
      <w:pPr>
        <w:pStyle w:val="EndnoteText"/>
        <w:rPr>
          <w:rFonts w:cs="Open Sans"/>
        </w:rPr>
      </w:pPr>
      <w:r w:rsidRPr="009A267C">
        <w:rPr>
          <w:rStyle w:val="EndnoteReference"/>
          <w:rFonts w:cs="Open Sans"/>
        </w:rPr>
        <w:endnoteRef/>
      </w:r>
      <w:r w:rsidRPr="009A267C">
        <w:rPr>
          <w:rFonts w:cs="Open Sans"/>
        </w:rPr>
        <w:t xml:space="preserve"> Submission 68,</w:t>
      </w:r>
      <w:r w:rsidRPr="009A267C">
        <w:rPr>
          <w:rFonts w:cs="Open Sans"/>
          <w:i/>
          <w:iCs/>
        </w:rPr>
        <w:t xml:space="preserve"> Intersex Inquiry</w:t>
      </w:r>
      <w:r w:rsidRPr="009A267C">
        <w:rPr>
          <w:rFonts w:cs="Open Sans"/>
        </w:rPr>
        <w:t>, 3.</w:t>
      </w:r>
    </w:p>
  </w:endnote>
  <w:endnote w:id="74">
    <w:p w:rsidRPr="009A267C" w:rsidR="008C0259" w:rsidP="008C0259" w:rsidRDefault="008C0259" w14:paraId="6298D8F5" w14:textId="77777777">
      <w:pPr>
        <w:pStyle w:val="EndnoteText"/>
        <w:rPr>
          <w:rFonts w:cs="Open Sans"/>
        </w:rPr>
      </w:pPr>
      <w:r w:rsidRPr="009A267C">
        <w:rPr>
          <w:rStyle w:val="EndnoteReference"/>
          <w:rFonts w:cs="Open Sans"/>
        </w:rPr>
        <w:endnoteRef/>
      </w:r>
      <w:r w:rsidRPr="009A267C">
        <w:rPr>
          <w:rFonts w:cs="Open Sans"/>
        </w:rPr>
        <w:t xml:space="preserve"> Australasian Paediatric Endocrine Group, Submission 20, </w:t>
      </w:r>
      <w:r w:rsidRPr="009A267C">
        <w:rPr>
          <w:rFonts w:cs="Open Sans"/>
          <w:i/>
          <w:iCs/>
        </w:rPr>
        <w:t>Intersex Inquiry</w:t>
      </w:r>
      <w:r w:rsidRPr="009A267C">
        <w:rPr>
          <w:rFonts w:cs="Open Sans"/>
        </w:rPr>
        <w:t>, 1, 4.</w:t>
      </w:r>
    </w:p>
  </w:endnote>
  <w:endnote w:id="75">
    <w:p w:rsidRPr="009A267C" w:rsidR="008C0259" w:rsidP="008C0259" w:rsidRDefault="008C0259" w14:paraId="1CC818A8" w14:textId="77777777">
      <w:pPr>
        <w:pStyle w:val="EndnoteText"/>
        <w:rPr>
          <w:rFonts w:cs="Open Sans"/>
        </w:rPr>
      </w:pPr>
      <w:r w:rsidRPr="009A267C">
        <w:rPr>
          <w:rStyle w:val="EndnoteReference"/>
          <w:rFonts w:cs="Open Sans"/>
        </w:rPr>
        <w:endnoteRef/>
      </w:r>
      <w:r w:rsidRPr="009A267C">
        <w:rPr>
          <w:rFonts w:cs="Open Sans"/>
        </w:rPr>
        <w:t xml:space="preserve"> Australasian Paediatric Endocrine Group, Submission 20, </w:t>
      </w:r>
      <w:r w:rsidRPr="009A267C">
        <w:rPr>
          <w:rFonts w:cs="Open Sans"/>
          <w:i/>
          <w:iCs/>
        </w:rPr>
        <w:t>Intersex Inquiry</w:t>
      </w:r>
      <w:r w:rsidRPr="009A267C">
        <w:rPr>
          <w:rFonts w:cs="Open Sans"/>
        </w:rPr>
        <w:t xml:space="preserve">, 5. </w:t>
      </w:r>
    </w:p>
  </w:endnote>
  <w:endnote w:id="76">
    <w:p w:rsidRPr="009A267C" w:rsidR="008C0259" w:rsidP="008C0259" w:rsidRDefault="008C0259" w14:paraId="43669CDA" w14:textId="77777777">
      <w:pPr>
        <w:pStyle w:val="EndnoteText"/>
        <w:rPr>
          <w:rFonts w:cs="Open Sans"/>
        </w:rPr>
      </w:pPr>
      <w:r w:rsidRPr="009A267C">
        <w:rPr>
          <w:rStyle w:val="EndnoteReference"/>
          <w:rFonts w:cs="Open Sans"/>
        </w:rPr>
        <w:endnoteRef/>
      </w:r>
      <w:r w:rsidRPr="009A267C">
        <w:rPr>
          <w:rFonts w:cs="Open Sans"/>
        </w:rPr>
        <w:t xml:space="preserve"> Submission 55,</w:t>
      </w:r>
      <w:r w:rsidRPr="009A267C">
        <w:rPr>
          <w:rFonts w:cs="Open Sans"/>
          <w:i/>
          <w:iCs/>
        </w:rPr>
        <w:t xml:space="preserve"> Intersex Inquiry</w:t>
      </w:r>
      <w:r w:rsidRPr="009A267C">
        <w:rPr>
          <w:rFonts w:cs="Open Sans"/>
        </w:rPr>
        <w:t xml:space="preserve">, 4. </w:t>
      </w:r>
    </w:p>
  </w:endnote>
  <w:endnote w:id="77">
    <w:p w:rsidRPr="009A267C" w:rsidR="008C0259" w:rsidP="008C0259" w:rsidRDefault="008C0259" w14:paraId="529C3D66" w14:textId="77777777">
      <w:pPr>
        <w:pStyle w:val="EndnoteText"/>
        <w:rPr>
          <w:rFonts w:cs="Open Sans"/>
        </w:rPr>
      </w:pPr>
      <w:r w:rsidRPr="009A267C">
        <w:rPr>
          <w:rStyle w:val="EndnoteReference"/>
          <w:rFonts w:cs="Open Sans"/>
        </w:rPr>
        <w:endnoteRef/>
      </w:r>
      <w:r w:rsidRPr="009A267C">
        <w:rPr>
          <w:rFonts w:cs="Open Sans"/>
        </w:rPr>
        <w:t xml:space="preserve"> Submission 20,</w:t>
      </w:r>
      <w:r w:rsidRPr="009A267C">
        <w:rPr>
          <w:rFonts w:cs="Open Sans"/>
          <w:i/>
          <w:iCs/>
        </w:rPr>
        <w:t xml:space="preserve"> Intersex Inquiry</w:t>
      </w:r>
      <w:r w:rsidRPr="009A267C">
        <w:rPr>
          <w:rFonts w:cs="Open Sans"/>
        </w:rPr>
        <w:t>, 9.</w:t>
      </w:r>
    </w:p>
  </w:endnote>
  <w:endnote w:id="78">
    <w:p w:rsidRPr="009A267C" w:rsidR="008C0259" w:rsidP="008C0259" w:rsidRDefault="008C0259" w14:paraId="4EEC429A" w14:textId="77777777">
      <w:pPr>
        <w:pStyle w:val="EndnoteText"/>
        <w:rPr>
          <w:rFonts w:cs="Open Sans"/>
          <w:lang w:val="en-US"/>
        </w:rPr>
      </w:pPr>
      <w:r w:rsidRPr="009A267C">
        <w:rPr>
          <w:rStyle w:val="EndnoteReference"/>
          <w:rFonts w:cs="Open Sans"/>
        </w:rPr>
        <w:endnoteRef/>
      </w:r>
      <w:r w:rsidRPr="009A267C">
        <w:rPr>
          <w:rFonts w:cs="Open Sans"/>
          <w:vertAlign w:val="superscript"/>
        </w:rPr>
        <w:t xml:space="preserve"> </w:t>
      </w:r>
      <w:r w:rsidRPr="009A267C" w:rsidDel="00BC3D37">
        <w:rPr>
          <w:rFonts w:cs="Open Sans"/>
        </w:rPr>
        <w:t xml:space="preserve">I.A. Hughes et al, ‘Consensus statement on management of intersex disorders’ 2006 2 </w:t>
      </w:r>
      <w:r w:rsidRPr="009A267C" w:rsidDel="00BC3D37">
        <w:rPr>
          <w:rFonts w:cs="Open Sans"/>
          <w:i/>
          <w:iCs/>
        </w:rPr>
        <w:t xml:space="preserve">Journal of Pediatric Urology, </w:t>
      </w:r>
      <w:r w:rsidRPr="009A267C" w:rsidDel="00BC3D37">
        <w:rPr>
          <w:rFonts w:cs="Open Sans"/>
        </w:rPr>
        <w:t>148</w:t>
      </w:r>
    </w:p>
  </w:endnote>
  <w:endnote w:id="79">
    <w:p w:rsidRPr="009A267C" w:rsidR="008C0259" w:rsidP="008C0259" w:rsidRDefault="008C0259" w14:paraId="58C3F1E6" w14:textId="77777777">
      <w:pPr>
        <w:pStyle w:val="EndnoteText"/>
        <w:rPr>
          <w:rFonts w:cs="Open Sans"/>
          <w:lang w:val="en-US"/>
        </w:rPr>
      </w:pPr>
      <w:r w:rsidRPr="009A267C">
        <w:rPr>
          <w:rStyle w:val="EndnoteReference"/>
          <w:rFonts w:cs="Open Sans"/>
        </w:rPr>
        <w:endnoteRef/>
      </w:r>
      <w:r w:rsidRPr="009A267C">
        <w:rPr>
          <w:rFonts w:cs="Open Sans"/>
        </w:rPr>
        <w:t xml:space="preserve"> Submission 36, </w:t>
      </w:r>
      <w:r w:rsidRPr="009A267C">
        <w:rPr>
          <w:rFonts w:cs="Open Sans"/>
          <w:i/>
          <w:iCs/>
        </w:rPr>
        <w:t>Intersex Inquiry</w:t>
      </w:r>
      <w:r w:rsidRPr="009A267C">
        <w:rPr>
          <w:rFonts w:cs="Open Sans"/>
        </w:rPr>
        <w:t xml:space="preserve">, 11. </w:t>
      </w:r>
    </w:p>
  </w:endnote>
  <w:endnote w:id="80">
    <w:p w:rsidRPr="009A267C" w:rsidR="008C0259" w:rsidP="008C0259" w:rsidRDefault="008C0259" w14:paraId="7023EA3B" w14:textId="77777777">
      <w:pPr>
        <w:pStyle w:val="EndnoteText"/>
        <w:rPr>
          <w:rFonts w:cs="Open Sans"/>
        </w:rPr>
      </w:pPr>
      <w:r w:rsidRPr="009A267C">
        <w:rPr>
          <w:rStyle w:val="EndnoteReference"/>
          <w:rFonts w:cs="Open Sans"/>
        </w:rPr>
        <w:endnoteRef/>
      </w:r>
      <w:r w:rsidRPr="009A267C">
        <w:rPr>
          <w:rFonts w:cs="Open Sans"/>
        </w:rPr>
        <w:t xml:space="preserve"> Submission 29, </w:t>
      </w:r>
      <w:r w:rsidRPr="009A267C">
        <w:rPr>
          <w:rFonts w:cs="Open Sans"/>
          <w:i/>
          <w:iCs/>
        </w:rPr>
        <w:t>Intersex Inquiry</w:t>
      </w:r>
      <w:r w:rsidRPr="009A267C">
        <w:rPr>
          <w:rFonts w:cs="Open Sans"/>
        </w:rPr>
        <w:t>, 1.</w:t>
      </w:r>
    </w:p>
  </w:endnote>
  <w:endnote w:id="81">
    <w:p w:rsidRPr="009A267C" w:rsidR="008C0259" w:rsidP="008C0259" w:rsidRDefault="008C0259" w14:paraId="2CDDC5EE" w14:textId="77777777">
      <w:pPr>
        <w:pStyle w:val="EndnoteText"/>
        <w:rPr>
          <w:rFonts w:cs="Open Sans"/>
        </w:rPr>
      </w:pPr>
      <w:r w:rsidRPr="009A267C">
        <w:rPr>
          <w:rStyle w:val="EndnoteReference"/>
          <w:rFonts w:cs="Open Sans"/>
        </w:rPr>
        <w:endnoteRef/>
      </w:r>
      <w:r w:rsidRPr="009A267C">
        <w:rPr>
          <w:rFonts w:cs="Open Sans"/>
        </w:rPr>
        <w:t xml:space="preserve"> Submission 36, </w:t>
      </w:r>
      <w:r w:rsidRPr="009A267C">
        <w:rPr>
          <w:rFonts w:cs="Open Sans"/>
          <w:i/>
          <w:iCs/>
        </w:rPr>
        <w:t>Intersex Inquiry</w:t>
      </w:r>
      <w:r w:rsidRPr="009A267C">
        <w:rPr>
          <w:rFonts w:cs="Open Sans"/>
        </w:rPr>
        <w:t xml:space="preserve">, 8-9. </w:t>
      </w:r>
    </w:p>
  </w:endnote>
  <w:endnote w:id="82">
    <w:p w:rsidRPr="009A267C" w:rsidR="008C0259" w:rsidP="008C0259" w:rsidRDefault="008C0259" w14:paraId="52FF15E6" w14:textId="77777777">
      <w:pPr>
        <w:pStyle w:val="EndnoteText"/>
        <w:rPr>
          <w:rFonts w:cs="Open Sans"/>
        </w:rPr>
      </w:pPr>
      <w:r w:rsidRPr="009A267C">
        <w:rPr>
          <w:rStyle w:val="EndnoteReference"/>
          <w:rFonts w:cs="Open Sans"/>
        </w:rPr>
        <w:endnoteRef/>
      </w:r>
      <w:r w:rsidRPr="009A267C">
        <w:rPr>
          <w:rFonts w:cs="Open Sans"/>
        </w:rPr>
        <w:t xml:space="preserve"> Submission 70,</w:t>
      </w:r>
      <w:r w:rsidRPr="009A267C">
        <w:rPr>
          <w:rFonts w:cs="Open Sans"/>
          <w:i/>
          <w:iCs/>
        </w:rPr>
        <w:t xml:space="preserve"> Intersex Inquiry</w:t>
      </w:r>
      <w:r w:rsidRPr="009A267C">
        <w:rPr>
          <w:rFonts w:cs="Open Sans"/>
        </w:rPr>
        <w:t>, 1; A Gender Agenda, Submission 52,</w:t>
      </w:r>
      <w:r w:rsidRPr="009A267C">
        <w:rPr>
          <w:rFonts w:cs="Open Sans"/>
          <w:i/>
          <w:iCs/>
        </w:rPr>
        <w:t xml:space="preserve"> Intersex Inquiry</w:t>
      </w:r>
      <w:r w:rsidRPr="009A267C">
        <w:rPr>
          <w:rFonts w:cs="Open Sans"/>
        </w:rPr>
        <w:t>, 5; Submission 29,</w:t>
      </w:r>
      <w:r w:rsidRPr="009A267C">
        <w:rPr>
          <w:rFonts w:cs="Open Sans"/>
          <w:i/>
          <w:iCs/>
        </w:rPr>
        <w:t xml:space="preserve"> Intersex Inquiry</w:t>
      </w:r>
      <w:r w:rsidRPr="009A267C">
        <w:rPr>
          <w:rFonts w:cs="Open Sans"/>
        </w:rPr>
        <w:t>, 1.</w:t>
      </w:r>
    </w:p>
  </w:endnote>
  <w:endnote w:id="83">
    <w:p w:rsidRPr="009A267C" w:rsidR="008C0259" w:rsidP="008C0259" w:rsidRDefault="008C0259" w14:paraId="1EF7FB9D" w14:textId="77777777">
      <w:pPr>
        <w:pStyle w:val="EndnoteText"/>
        <w:rPr>
          <w:rFonts w:cs="Open Sans"/>
        </w:rPr>
      </w:pPr>
      <w:r w:rsidRPr="009A267C">
        <w:rPr>
          <w:rStyle w:val="EndnoteReference"/>
          <w:rFonts w:cs="Open Sans"/>
        </w:rPr>
        <w:endnoteRef/>
      </w:r>
      <w:r w:rsidRPr="009A267C">
        <w:rPr>
          <w:rFonts w:cs="Open Sans"/>
        </w:rPr>
        <w:t xml:space="preserve"> Submission 41,</w:t>
      </w:r>
      <w:r w:rsidRPr="009A267C">
        <w:rPr>
          <w:rFonts w:cs="Open Sans"/>
          <w:i/>
          <w:iCs/>
        </w:rPr>
        <w:t xml:space="preserve"> Intersex Inquiry</w:t>
      </w:r>
      <w:r w:rsidRPr="009A267C">
        <w:rPr>
          <w:rFonts w:cs="Open Sans"/>
        </w:rPr>
        <w:t>, 7; Submission 45,</w:t>
      </w:r>
      <w:r w:rsidRPr="009A267C">
        <w:rPr>
          <w:rFonts w:cs="Open Sans"/>
          <w:i/>
          <w:iCs/>
        </w:rPr>
        <w:t xml:space="preserve"> Intersex Inquiry</w:t>
      </w:r>
      <w:r w:rsidRPr="009A267C">
        <w:rPr>
          <w:rFonts w:cs="Open Sans"/>
        </w:rPr>
        <w:t>, 8.</w:t>
      </w:r>
    </w:p>
  </w:endnote>
  <w:endnote w:id="84">
    <w:p w:rsidRPr="009A267C" w:rsidR="008C0259" w:rsidP="008C0259" w:rsidRDefault="008C0259" w14:paraId="2A7C6E75" w14:textId="77777777">
      <w:pPr>
        <w:pStyle w:val="EndnoteText"/>
        <w:rPr>
          <w:rFonts w:cs="Open Sans"/>
        </w:rPr>
      </w:pPr>
      <w:r w:rsidRPr="009A267C">
        <w:rPr>
          <w:rStyle w:val="EndnoteReference"/>
          <w:rFonts w:cs="Open Sans"/>
        </w:rPr>
        <w:endnoteRef/>
      </w:r>
      <w:r w:rsidRPr="009A267C">
        <w:rPr>
          <w:rFonts w:cs="Open Sans"/>
        </w:rPr>
        <w:t xml:space="preserve"> Submission 70,</w:t>
      </w:r>
      <w:r w:rsidRPr="009A267C">
        <w:rPr>
          <w:rFonts w:cs="Open Sans"/>
          <w:i/>
          <w:iCs/>
        </w:rPr>
        <w:t xml:space="preserve"> Intersex Inquiry</w:t>
      </w:r>
      <w:r w:rsidRPr="009A267C">
        <w:rPr>
          <w:rFonts w:cs="Open Sans"/>
        </w:rPr>
        <w:t>,  1; Submission 41,</w:t>
      </w:r>
      <w:r w:rsidRPr="009A267C">
        <w:rPr>
          <w:rFonts w:cs="Open Sans"/>
          <w:i/>
          <w:iCs/>
        </w:rPr>
        <w:t xml:space="preserve"> Intersex Inquiry</w:t>
      </w:r>
      <w:r w:rsidRPr="009A267C">
        <w:rPr>
          <w:rFonts w:cs="Open Sans"/>
        </w:rPr>
        <w:t>, 7; Submission 52,</w:t>
      </w:r>
      <w:r w:rsidRPr="009A267C">
        <w:rPr>
          <w:rFonts w:cs="Open Sans"/>
          <w:i/>
          <w:iCs/>
        </w:rPr>
        <w:t xml:space="preserve"> Intersex Inquiry</w:t>
      </w:r>
      <w:r w:rsidRPr="009A267C">
        <w:rPr>
          <w:rFonts w:cs="Open Sans"/>
        </w:rPr>
        <w:t>, 6; Submission 29,</w:t>
      </w:r>
      <w:r w:rsidRPr="009A267C">
        <w:rPr>
          <w:rFonts w:cs="Open Sans"/>
          <w:i/>
          <w:iCs/>
        </w:rPr>
        <w:t xml:space="preserve"> Intersex Inquiry</w:t>
      </w:r>
      <w:r w:rsidRPr="009A267C">
        <w:rPr>
          <w:rFonts w:cs="Open Sans"/>
        </w:rPr>
        <w:t>, 1; Submission 45,</w:t>
      </w:r>
      <w:r w:rsidRPr="009A267C">
        <w:rPr>
          <w:rFonts w:cs="Open Sans"/>
          <w:i/>
          <w:iCs/>
        </w:rPr>
        <w:t xml:space="preserve"> </w:t>
      </w:r>
      <w:bookmarkStart w:name="_Hlk79580776" w:id="115"/>
      <w:r w:rsidRPr="009A267C">
        <w:rPr>
          <w:rFonts w:cs="Open Sans"/>
          <w:i/>
          <w:iCs/>
        </w:rPr>
        <w:t>Intersex Inquiry</w:t>
      </w:r>
      <w:r w:rsidRPr="009A267C">
        <w:rPr>
          <w:rFonts w:cs="Open Sans"/>
        </w:rPr>
        <w:t xml:space="preserve">, </w:t>
      </w:r>
      <w:bookmarkEnd w:id="115"/>
      <w:r w:rsidRPr="009A267C">
        <w:rPr>
          <w:rFonts w:cs="Open Sans"/>
        </w:rPr>
        <w:t>8.</w:t>
      </w:r>
    </w:p>
  </w:endnote>
  <w:endnote w:id="85">
    <w:p w:rsidRPr="009A267C" w:rsidR="008C0259" w:rsidP="008C0259" w:rsidRDefault="008C0259" w14:paraId="02A64FBB" w14:textId="77777777">
      <w:pPr>
        <w:pStyle w:val="EndnoteText"/>
        <w:rPr>
          <w:rFonts w:cs="Open Sans"/>
          <w:lang w:val="en-US"/>
        </w:rPr>
      </w:pPr>
      <w:r w:rsidRPr="009A267C">
        <w:rPr>
          <w:rStyle w:val="EndnoteReference"/>
          <w:rFonts w:cs="Open Sans"/>
        </w:rPr>
        <w:endnoteRef/>
      </w:r>
      <w:r w:rsidRPr="009A267C">
        <w:rPr>
          <w:rFonts w:cs="Open Sans"/>
        </w:rPr>
        <w:t xml:space="preserve"> </w:t>
      </w:r>
      <w:r w:rsidRPr="009A267C">
        <w:rPr>
          <w:rFonts w:cs="Open Sans"/>
          <w:lang w:val="en-US"/>
        </w:rPr>
        <w:t>Interview 15</w:t>
      </w:r>
      <w:bookmarkStart w:name="_Hlk79580922" w:id="117"/>
      <w:r w:rsidRPr="009A267C">
        <w:rPr>
          <w:rFonts w:cs="Open Sans"/>
          <w:lang w:val="en-US"/>
        </w:rPr>
        <w:t xml:space="preserve">, </w:t>
      </w:r>
      <w:r w:rsidRPr="009A267C">
        <w:rPr>
          <w:rFonts w:cs="Open Sans"/>
          <w:i/>
          <w:iCs/>
        </w:rPr>
        <w:t>Intersex Inquiry</w:t>
      </w:r>
      <w:r w:rsidRPr="009A267C">
        <w:rPr>
          <w:rFonts w:cs="Open Sans"/>
        </w:rPr>
        <w:t xml:space="preserve">. </w:t>
      </w:r>
      <w:r w:rsidRPr="009A267C">
        <w:rPr>
          <w:rFonts w:cs="Open Sans"/>
          <w:lang w:val="en-US"/>
        </w:rPr>
        <w:t xml:space="preserve"> </w:t>
      </w:r>
      <w:bookmarkEnd w:id="117"/>
    </w:p>
  </w:endnote>
  <w:endnote w:id="86">
    <w:p w:rsidRPr="009A267C" w:rsidR="008C0259" w:rsidP="008C0259" w:rsidRDefault="008C0259" w14:paraId="414D6883" w14:textId="77777777">
      <w:pPr>
        <w:pStyle w:val="EndnoteText"/>
        <w:rPr>
          <w:rFonts w:cs="Open Sans"/>
          <w:lang w:val="en-US"/>
        </w:rPr>
      </w:pPr>
      <w:r w:rsidRPr="009A267C">
        <w:rPr>
          <w:rStyle w:val="EndnoteReference"/>
          <w:rFonts w:cs="Open Sans"/>
        </w:rPr>
        <w:endnoteRef/>
      </w:r>
      <w:r w:rsidRPr="009A267C">
        <w:rPr>
          <w:rFonts w:cs="Open Sans"/>
        </w:rPr>
        <w:t xml:space="preserve"> Interview 15</w:t>
      </w:r>
      <w:r w:rsidRPr="009A267C">
        <w:rPr>
          <w:rFonts w:cs="Open Sans"/>
          <w:lang w:val="en-US"/>
        </w:rPr>
        <w:t xml:space="preserve">, </w:t>
      </w:r>
      <w:r w:rsidRPr="009A267C">
        <w:rPr>
          <w:rFonts w:cs="Open Sans"/>
          <w:i/>
          <w:iCs/>
        </w:rPr>
        <w:t>Intersex Inquiry</w:t>
      </w:r>
      <w:r w:rsidRPr="009A267C">
        <w:rPr>
          <w:rFonts w:cs="Open Sans"/>
        </w:rPr>
        <w:t xml:space="preserve">. </w:t>
      </w:r>
      <w:r w:rsidRPr="009A267C">
        <w:rPr>
          <w:rFonts w:cs="Open Sans"/>
          <w:lang w:val="en-US"/>
        </w:rPr>
        <w:t xml:space="preserve"> </w:t>
      </w:r>
      <w:r w:rsidRPr="009A267C">
        <w:rPr>
          <w:rFonts w:cs="Open Sans"/>
        </w:rPr>
        <w:t xml:space="preserve"> </w:t>
      </w:r>
    </w:p>
  </w:endnote>
  <w:endnote w:id="87">
    <w:p w:rsidRPr="009A267C" w:rsidR="008C0259" w:rsidP="008C0259" w:rsidRDefault="008C0259" w14:paraId="51AF508B" w14:textId="3725C813">
      <w:pPr>
        <w:pStyle w:val="EndnoteText"/>
        <w:rPr>
          <w:rFonts w:cs="Open Sans"/>
        </w:rPr>
      </w:pPr>
      <w:r w:rsidRPr="009A267C">
        <w:rPr>
          <w:rStyle w:val="EndnoteReference"/>
          <w:rFonts w:cs="Open Sans"/>
        </w:rPr>
        <w:endnoteRef/>
      </w:r>
      <w:r w:rsidRPr="009A267C">
        <w:rPr>
          <w:rFonts w:cs="Open Sans"/>
        </w:rPr>
        <w:t xml:space="preserve"> Submission 36,</w:t>
      </w:r>
      <w:r w:rsidRPr="009A267C">
        <w:rPr>
          <w:rFonts w:cs="Open Sans"/>
          <w:i/>
          <w:iCs/>
        </w:rPr>
        <w:t xml:space="preserve"> Intersex Inquiry</w:t>
      </w:r>
      <w:r w:rsidRPr="009A267C">
        <w:rPr>
          <w:rFonts w:cs="Open Sans"/>
        </w:rPr>
        <w:t xml:space="preserve">, </w:t>
      </w:r>
      <w:r w:rsidR="006F2CC8">
        <w:rPr>
          <w:rFonts w:cs="Open Sans"/>
        </w:rPr>
        <w:t>1.</w:t>
      </w:r>
    </w:p>
  </w:endnote>
  <w:endnote w:id="88">
    <w:p w:rsidRPr="009A267C" w:rsidR="008C0259" w:rsidP="008C0259" w:rsidRDefault="008C0259" w14:paraId="4DB1C501" w14:textId="77777777">
      <w:pPr>
        <w:pStyle w:val="EndnoteText"/>
        <w:rPr>
          <w:rFonts w:cs="Open Sans"/>
        </w:rPr>
      </w:pPr>
      <w:r w:rsidRPr="009A267C">
        <w:rPr>
          <w:rStyle w:val="EndnoteReference"/>
          <w:rFonts w:cs="Open Sans"/>
        </w:rPr>
        <w:endnoteRef/>
      </w:r>
      <w:r w:rsidRPr="009A267C">
        <w:rPr>
          <w:rFonts w:cs="Open Sans"/>
        </w:rPr>
        <w:t xml:space="preserve"> Interview 1</w:t>
      </w:r>
      <w:r w:rsidRPr="009A267C">
        <w:rPr>
          <w:rFonts w:cs="Open Sans"/>
          <w:lang w:val="en-US"/>
        </w:rPr>
        <w:t xml:space="preserve">, </w:t>
      </w:r>
      <w:r w:rsidRPr="009A267C">
        <w:rPr>
          <w:rFonts w:cs="Open Sans"/>
          <w:i/>
          <w:iCs/>
        </w:rPr>
        <w:t>Intersex Inquiry</w:t>
      </w:r>
      <w:r w:rsidRPr="009A267C">
        <w:rPr>
          <w:rFonts w:cs="Open Sans"/>
        </w:rPr>
        <w:t xml:space="preserve">. </w:t>
      </w:r>
      <w:r w:rsidRPr="009A267C">
        <w:rPr>
          <w:rFonts w:cs="Open Sans"/>
          <w:lang w:val="en-US"/>
        </w:rPr>
        <w:t xml:space="preserve"> </w:t>
      </w:r>
      <w:r w:rsidRPr="009A267C">
        <w:rPr>
          <w:rFonts w:cs="Open Sans"/>
        </w:rPr>
        <w:t xml:space="preserve"> </w:t>
      </w:r>
    </w:p>
  </w:endnote>
  <w:endnote w:id="89">
    <w:p w:rsidRPr="009A267C" w:rsidR="008C0259" w:rsidP="008C0259" w:rsidRDefault="008C0259" w14:paraId="37DF8F68" w14:textId="77777777">
      <w:pPr>
        <w:pStyle w:val="EndnoteText"/>
        <w:rPr>
          <w:rFonts w:cs="Open Sans"/>
        </w:rPr>
      </w:pPr>
      <w:r w:rsidRPr="009A267C">
        <w:rPr>
          <w:rStyle w:val="EndnoteReference"/>
          <w:rFonts w:cs="Open Sans"/>
        </w:rPr>
        <w:endnoteRef/>
      </w:r>
      <w:r w:rsidRPr="009A267C">
        <w:rPr>
          <w:rFonts w:cs="Open Sans"/>
        </w:rPr>
        <w:t xml:space="preserve"> Submission 36,</w:t>
      </w:r>
      <w:r w:rsidRPr="009A267C">
        <w:rPr>
          <w:rFonts w:cs="Open Sans"/>
          <w:i/>
          <w:iCs/>
        </w:rPr>
        <w:t xml:space="preserve"> Intersex Inquiry</w:t>
      </w:r>
      <w:r w:rsidRPr="009A267C">
        <w:rPr>
          <w:rFonts w:cs="Open Sans"/>
        </w:rPr>
        <w:t>, 30; Submission 57,</w:t>
      </w:r>
      <w:r w:rsidRPr="009A267C">
        <w:rPr>
          <w:rFonts w:cs="Open Sans"/>
          <w:i/>
          <w:iCs/>
        </w:rPr>
        <w:t xml:space="preserve"> Intersex Inquiry</w:t>
      </w:r>
      <w:r w:rsidRPr="009A267C">
        <w:rPr>
          <w:rFonts w:cs="Open Sans"/>
        </w:rPr>
        <w:t>, Submission 54,</w:t>
      </w:r>
      <w:r w:rsidRPr="009A267C">
        <w:rPr>
          <w:rFonts w:cs="Open Sans"/>
          <w:i/>
          <w:iCs/>
        </w:rPr>
        <w:t xml:space="preserve"> Intersex Inquiry</w:t>
      </w:r>
      <w:r w:rsidRPr="009A267C">
        <w:rPr>
          <w:rFonts w:cs="Open Sans"/>
        </w:rPr>
        <w:t>, 3; Submission 61,</w:t>
      </w:r>
      <w:r w:rsidRPr="009A267C">
        <w:rPr>
          <w:rFonts w:cs="Open Sans"/>
          <w:i/>
          <w:iCs/>
        </w:rPr>
        <w:t xml:space="preserve"> Intersex Inquiry</w:t>
      </w:r>
      <w:r w:rsidRPr="009A267C">
        <w:rPr>
          <w:rFonts w:cs="Open Sans"/>
        </w:rPr>
        <w:t>, 5; Submission 65,</w:t>
      </w:r>
      <w:r w:rsidRPr="009A267C">
        <w:rPr>
          <w:rFonts w:cs="Open Sans"/>
          <w:i/>
          <w:iCs/>
        </w:rPr>
        <w:t xml:space="preserve"> Intersex Inquiry</w:t>
      </w:r>
      <w:r w:rsidRPr="009A267C">
        <w:rPr>
          <w:rFonts w:cs="Open Sans"/>
        </w:rPr>
        <w:t>, 3-4.</w:t>
      </w:r>
    </w:p>
  </w:endnote>
  <w:endnote w:id="90">
    <w:p w:rsidRPr="009A267C" w:rsidR="008C0259" w:rsidP="008C0259" w:rsidRDefault="008C0259" w14:paraId="168D4CAB" w14:textId="77777777">
      <w:pPr>
        <w:pStyle w:val="EndnoteText"/>
        <w:rPr>
          <w:rFonts w:cs="Open Sans"/>
          <w:lang w:val="en-US"/>
        </w:rPr>
      </w:pPr>
      <w:r w:rsidRPr="009A267C">
        <w:rPr>
          <w:rStyle w:val="EndnoteReference"/>
          <w:rFonts w:cs="Open Sans"/>
        </w:rPr>
        <w:endnoteRef/>
      </w:r>
      <w:r w:rsidRPr="009A267C">
        <w:rPr>
          <w:rFonts w:cs="Open Sans"/>
        </w:rPr>
        <w:t xml:space="preserve"> Interview 9</w:t>
      </w:r>
      <w:r w:rsidRPr="009A267C">
        <w:rPr>
          <w:rFonts w:cs="Open Sans"/>
          <w:lang w:val="en-US"/>
        </w:rPr>
        <w:t xml:space="preserve">, </w:t>
      </w:r>
      <w:r w:rsidRPr="009A267C">
        <w:rPr>
          <w:rFonts w:cs="Open Sans"/>
          <w:i/>
          <w:iCs/>
        </w:rPr>
        <w:t>Intersex Inquiry</w:t>
      </w:r>
      <w:r w:rsidRPr="009A267C">
        <w:rPr>
          <w:rFonts w:cs="Open Sans"/>
        </w:rPr>
        <w:t xml:space="preserve">. </w:t>
      </w:r>
      <w:r w:rsidRPr="009A267C">
        <w:rPr>
          <w:rFonts w:cs="Open Sans"/>
          <w:lang w:val="en-US"/>
        </w:rPr>
        <w:t xml:space="preserve"> </w:t>
      </w:r>
    </w:p>
  </w:endnote>
  <w:endnote w:id="91">
    <w:p w:rsidRPr="009A267C" w:rsidR="008C0259" w:rsidP="008C0259" w:rsidRDefault="008C0259" w14:paraId="45C30553" w14:textId="77777777">
      <w:pPr>
        <w:pStyle w:val="EndnoteText"/>
        <w:rPr>
          <w:rFonts w:cs="Open Sans"/>
        </w:rPr>
      </w:pPr>
      <w:r w:rsidRPr="009A267C">
        <w:rPr>
          <w:rStyle w:val="EndnoteReference"/>
          <w:rFonts w:cs="Open Sans"/>
        </w:rPr>
        <w:endnoteRef/>
      </w:r>
      <w:r w:rsidRPr="009A267C">
        <w:rPr>
          <w:rFonts w:cs="Open Sans"/>
        </w:rPr>
        <w:t xml:space="preserve"> Interview 1</w:t>
      </w:r>
      <w:r w:rsidRPr="009A267C">
        <w:rPr>
          <w:rFonts w:cs="Open Sans"/>
          <w:lang w:val="en-US"/>
        </w:rPr>
        <w:t xml:space="preserve">, </w:t>
      </w:r>
      <w:r w:rsidRPr="009A267C">
        <w:rPr>
          <w:rFonts w:cs="Open Sans"/>
          <w:i/>
          <w:iCs/>
        </w:rPr>
        <w:t>Intersex Inquiry</w:t>
      </w:r>
      <w:r w:rsidRPr="009A267C">
        <w:rPr>
          <w:rFonts w:cs="Open Sans"/>
        </w:rPr>
        <w:t>.</w:t>
      </w:r>
    </w:p>
  </w:endnote>
  <w:endnote w:id="92">
    <w:p w:rsidRPr="009A267C" w:rsidR="008C0259" w:rsidP="008C0259" w:rsidRDefault="008C0259" w14:paraId="65B02CBF" w14:textId="77777777">
      <w:pPr>
        <w:pStyle w:val="EndnoteText"/>
        <w:rPr>
          <w:rFonts w:cs="Open Sans"/>
        </w:rPr>
      </w:pPr>
      <w:r w:rsidRPr="009A267C">
        <w:rPr>
          <w:rStyle w:val="EndnoteReference"/>
          <w:rFonts w:cs="Open Sans"/>
        </w:rPr>
        <w:endnoteRef/>
      </w:r>
      <w:r w:rsidRPr="009A267C">
        <w:rPr>
          <w:rFonts w:cs="Open Sans"/>
        </w:rPr>
        <w:t xml:space="preserve"> Interview 15</w:t>
      </w:r>
      <w:r w:rsidRPr="009A267C">
        <w:rPr>
          <w:rFonts w:cs="Open Sans"/>
          <w:lang w:val="en-US"/>
        </w:rPr>
        <w:t xml:space="preserve">, </w:t>
      </w:r>
      <w:r w:rsidRPr="009A267C">
        <w:rPr>
          <w:rFonts w:cs="Open Sans"/>
          <w:i/>
          <w:iCs/>
        </w:rPr>
        <w:t>Intersex Inquiry</w:t>
      </w:r>
      <w:r w:rsidRPr="009A267C">
        <w:rPr>
          <w:rFonts w:cs="Open Sans"/>
        </w:rPr>
        <w:t>.</w:t>
      </w:r>
    </w:p>
  </w:endnote>
  <w:endnote w:id="93">
    <w:p w:rsidRPr="009A267C" w:rsidR="008C0259" w:rsidP="008C0259" w:rsidRDefault="008C0259" w14:paraId="32B1954C" w14:textId="77777777">
      <w:pPr>
        <w:pStyle w:val="EndnoteText"/>
        <w:rPr>
          <w:rFonts w:cs="Open Sans"/>
        </w:rPr>
      </w:pPr>
      <w:r w:rsidRPr="009A267C">
        <w:rPr>
          <w:rStyle w:val="EndnoteReference"/>
          <w:rFonts w:cs="Open Sans"/>
        </w:rPr>
        <w:endnoteRef/>
      </w:r>
      <w:r w:rsidRPr="009A267C">
        <w:rPr>
          <w:rFonts w:cs="Open Sans"/>
        </w:rPr>
        <w:t xml:space="preserve"> Interview 1</w:t>
      </w:r>
      <w:r w:rsidRPr="009A267C">
        <w:rPr>
          <w:rFonts w:cs="Open Sans"/>
          <w:lang w:val="en-US"/>
        </w:rPr>
        <w:t xml:space="preserve">, </w:t>
      </w:r>
      <w:r w:rsidRPr="009A267C">
        <w:rPr>
          <w:rFonts w:cs="Open Sans"/>
          <w:i/>
          <w:iCs/>
        </w:rPr>
        <w:t>Intersex Inquiry</w:t>
      </w:r>
      <w:r w:rsidRPr="009A267C">
        <w:rPr>
          <w:rFonts w:cs="Open Sans"/>
        </w:rPr>
        <w:t>.</w:t>
      </w:r>
    </w:p>
  </w:endnote>
  <w:endnote w:id="94">
    <w:p w:rsidRPr="009A267C" w:rsidR="008C0259" w:rsidP="008C0259" w:rsidRDefault="008C0259" w14:paraId="61B94C64" w14:textId="77777777">
      <w:pPr>
        <w:pStyle w:val="EndnoteText"/>
        <w:rPr>
          <w:rFonts w:cs="Open Sans"/>
        </w:rPr>
      </w:pPr>
      <w:r w:rsidRPr="009A267C">
        <w:rPr>
          <w:rStyle w:val="EndnoteReference"/>
          <w:rFonts w:cs="Open Sans"/>
        </w:rPr>
        <w:endnoteRef/>
      </w:r>
      <w:r w:rsidRPr="009A267C">
        <w:rPr>
          <w:rFonts w:cs="Open Sans"/>
        </w:rPr>
        <w:t xml:space="preserve"> Interview 1</w:t>
      </w:r>
      <w:r w:rsidRPr="009A267C">
        <w:rPr>
          <w:rFonts w:cs="Open Sans"/>
          <w:lang w:val="en-US"/>
        </w:rPr>
        <w:t xml:space="preserve">, </w:t>
      </w:r>
      <w:r w:rsidRPr="009A267C">
        <w:rPr>
          <w:rFonts w:cs="Open Sans"/>
          <w:i/>
          <w:iCs/>
        </w:rPr>
        <w:t>Intersex Inquiry</w:t>
      </w:r>
      <w:r w:rsidRPr="009A267C">
        <w:rPr>
          <w:rFonts w:cs="Open Sans"/>
        </w:rPr>
        <w:t>.</w:t>
      </w:r>
    </w:p>
  </w:endnote>
  <w:endnote w:id="95">
    <w:p w:rsidRPr="009A267C" w:rsidR="008C0259" w:rsidP="008C0259" w:rsidRDefault="008C0259" w14:paraId="1CB4729F" w14:textId="77777777">
      <w:pPr>
        <w:pStyle w:val="EndnoteText"/>
        <w:rPr>
          <w:rFonts w:cs="Open Sans"/>
        </w:rPr>
      </w:pPr>
      <w:r w:rsidRPr="009A267C">
        <w:rPr>
          <w:rStyle w:val="EndnoteReference"/>
          <w:rFonts w:cs="Open Sans"/>
        </w:rPr>
        <w:endnoteRef/>
      </w:r>
      <w:r w:rsidRPr="009A267C">
        <w:rPr>
          <w:rFonts w:cs="Open Sans"/>
        </w:rPr>
        <w:t xml:space="preserve"> Submission 57</w:t>
      </w:r>
      <w:r w:rsidRPr="009A267C">
        <w:rPr>
          <w:rFonts w:cs="Open Sans"/>
          <w:lang w:val="en-US"/>
        </w:rPr>
        <w:t xml:space="preserve">, </w:t>
      </w:r>
      <w:r w:rsidRPr="009A267C">
        <w:rPr>
          <w:rFonts w:cs="Open Sans"/>
          <w:i/>
          <w:iCs/>
        </w:rPr>
        <w:t>Intersex Inquiry</w:t>
      </w:r>
      <w:r w:rsidRPr="009A267C">
        <w:rPr>
          <w:rFonts w:cs="Open Sans"/>
        </w:rPr>
        <w:t>.</w:t>
      </w:r>
    </w:p>
  </w:endnote>
  <w:endnote w:id="96">
    <w:p w:rsidRPr="009A267C" w:rsidR="008C0259" w:rsidP="008C0259" w:rsidRDefault="008C0259" w14:paraId="519DEC84" w14:textId="77777777">
      <w:pPr>
        <w:pStyle w:val="EndnoteText"/>
        <w:rPr>
          <w:rFonts w:cs="Open Sans"/>
        </w:rPr>
      </w:pPr>
      <w:r w:rsidRPr="009A267C">
        <w:rPr>
          <w:rStyle w:val="EndnoteReference"/>
          <w:rFonts w:cs="Open Sans"/>
        </w:rPr>
        <w:endnoteRef/>
      </w:r>
      <w:r w:rsidRPr="009A267C">
        <w:rPr>
          <w:rFonts w:cs="Open Sans"/>
        </w:rPr>
        <w:t xml:space="preserve"> Submission 36, </w:t>
      </w:r>
      <w:bookmarkStart w:name="_Hlk79581057" w:id="120"/>
      <w:r w:rsidRPr="009A267C">
        <w:rPr>
          <w:rFonts w:cs="Open Sans"/>
          <w:i/>
          <w:iCs/>
        </w:rPr>
        <w:t>Intersex Inquiry</w:t>
      </w:r>
      <w:r w:rsidRPr="009A267C">
        <w:rPr>
          <w:rFonts w:cs="Open Sans"/>
        </w:rPr>
        <w:t xml:space="preserve">, </w:t>
      </w:r>
      <w:bookmarkEnd w:id="120"/>
      <w:r w:rsidRPr="009A267C">
        <w:rPr>
          <w:rFonts w:cs="Open Sans"/>
        </w:rPr>
        <w:t xml:space="preserve">23. </w:t>
      </w:r>
    </w:p>
  </w:endnote>
  <w:endnote w:id="97">
    <w:p w:rsidRPr="009A267C" w:rsidR="008C0259" w:rsidP="008C0259" w:rsidRDefault="008C0259" w14:paraId="32876AFB" w14:textId="77777777">
      <w:pPr>
        <w:pStyle w:val="EndnoteText"/>
        <w:rPr>
          <w:rFonts w:cs="Open Sans"/>
        </w:rPr>
      </w:pPr>
      <w:r w:rsidRPr="009A267C">
        <w:rPr>
          <w:rStyle w:val="EndnoteReference"/>
          <w:rFonts w:cs="Open Sans"/>
        </w:rPr>
        <w:endnoteRef/>
      </w:r>
      <w:r w:rsidRPr="009A267C">
        <w:rPr>
          <w:rFonts w:cs="Open Sans"/>
        </w:rPr>
        <w:t xml:space="preserve"> Submission 36,</w:t>
      </w:r>
      <w:r w:rsidRPr="009A267C">
        <w:rPr>
          <w:rFonts w:cs="Open Sans"/>
          <w:i/>
          <w:iCs/>
        </w:rPr>
        <w:t xml:space="preserve"> Intersex Inquiry</w:t>
      </w:r>
      <w:r w:rsidRPr="009A267C">
        <w:rPr>
          <w:rFonts w:cs="Open Sans"/>
        </w:rPr>
        <w:t xml:space="preserve">,  32, citing the Darlington Statement – paragraph 51. </w:t>
      </w:r>
    </w:p>
  </w:endnote>
  <w:endnote w:id="98">
    <w:p w:rsidRPr="009A267C" w:rsidR="008C0259" w:rsidP="008C0259" w:rsidRDefault="008C0259" w14:paraId="101FEFA9" w14:textId="77777777">
      <w:pPr>
        <w:pStyle w:val="EndnoteText"/>
        <w:rPr>
          <w:rFonts w:cs="Open Sans"/>
        </w:rPr>
      </w:pPr>
      <w:r w:rsidRPr="009A267C">
        <w:rPr>
          <w:rStyle w:val="EndnoteReference"/>
          <w:rFonts w:cs="Open Sans"/>
        </w:rPr>
        <w:endnoteRef/>
      </w:r>
      <w:r w:rsidRPr="009A267C">
        <w:rPr>
          <w:rFonts w:cs="Open Sans"/>
        </w:rPr>
        <w:t xml:space="preserve"> Submission 36,</w:t>
      </w:r>
      <w:r w:rsidRPr="009A267C">
        <w:rPr>
          <w:rFonts w:cs="Open Sans"/>
          <w:i/>
          <w:iCs/>
        </w:rPr>
        <w:t xml:space="preserve"> Intersex Inquiry</w:t>
      </w:r>
      <w:r w:rsidRPr="009A267C">
        <w:rPr>
          <w:rFonts w:cs="Open Sans"/>
        </w:rPr>
        <w:t>,  32, citing the Darlington Statement – paragraph 51.</w:t>
      </w:r>
    </w:p>
  </w:endnote>
  <w:endnote w:id="99">
    <w:p w:rsidRPr="009A267C" w:rsidR="008C0259" w:rsidP="008C0259" w:rsidRDefault="008C0259" w14:paraId="3439DD05" w14:textId="77777777">
      <w:pPr>
        <w:pStyle w:val="EndnoteText"/>
        <w:rPr>
          <w:rFonts w:cs="Open Sans"/>
        </w:rPr>
      </w:pPr>
      <w:r w:rsidRPr="009A267C">
        <w:rPr>
          <w:rStyle w:val="EndnoteReference"/>
          <w:rFonts w:cs="Open Sans"/>
        </w:rPr>
        <w:endnoteRef/>
      </w:r>
      <w:r w:rsidRPr="009A267C">
        <w:rPr>
          <w:rFonts w:cs="Open Sans"/>
        </w:rPr>
        <w:t xml:space="preserve"> Submission 45,</w:t>
      </w:r>
      <w:r w:rsidRPr="009A267C">
        <w:rPr>
          <w:rFonts w:cs="Open Sans"/>
          <w:i/>
          <w:iCs/>
        </w:rPr>
        <w:t xml:space="preserve"> Intersex Inquiry</w:t>
      </w:r>
      <w:r w:rsidRPr="009A267C">
        <w:rPr>
          <w:rFonts w:cs="Open Sans"/>
        </w:rPr>
        <w:t>, 3,5; Submission 25</w:t>
      </w:r>
      <w:r w:rsidRPr="009A267C">
        <w:rPr>
          <w:rFonts w:cs="Open Sans"/>
          <w:i/>
          <w:iCs/>
        </w:rPr>
        <w:t xml:space="preserve"> Intersex Inquiry</w:t>
      </w:r>
      <w:r w:rsidRPr="009A267C">
        <w:rPr>
          <w:rFonts w:cs="Open Sans"/>
        </w:rPr>
        <w:t xml:space="preserve">, 6. </w:t>
      </w:r>
    </w:p>
  </w:endnote>
  <w:endnote w:id="100">
    <w:p w:rsidRPr="009A267C" w:rsidR="008C0259" w:rsidP="008C0259" w:rsidRDefault="008C0259" w14:paraId="2AE0CC41" w14:textId="77777777">
      <w:pPr>
        <w:pStyle w:val="EndnoteText"/>
        <w:rPr>
          <w:rFonts w:cs="Open Sans"/>
        </w:rPr>
      </w:pPr>
      <w:r w:rsidRPr="009A267C">
        <w:rPr>
          <w:rStyle w:val="EndnoteReference"/>
          <w:rFonts w:cs="Open Sans"/>
        </w:rPr>
        <w:endnoteRef/>
      </w:r>
      <w:r w:rsidRPr="009A267C">
        <w:rPr>
          <w:rFonts w:cs="Open Sans"/>
        </w:rPr>
        <w:t xml:space="preserve"> Submission 45,</w:t>
      </w:r>
      <w:r w:rsidRPr="009A267C">
        <w:rPr>
          <w:rFonts w:cs="Open Sans"/>
          <w:i/>
          <w:iCs/>
        </w:rPr>
        <w:t xml:space="preserve"> Intersex Inquiry</w:t>
      </w:r>
      <w:r w:rsidRPr="009A267C">
        <w:rPr>
          <w:rFonts w:cs="Open Sans"/>
        </w:rPr>
        <w:t xml:space="preserve">, 9 including citing Tiffany Jones et al, </w:t>
      </w:r>
      <w:r w:rsidRPr="009A267C">
        <w:rPr>
          <w:rFonts w:cs="Open Sans"/>
          <w:i/>
          <w:iCs/>
        </w:rPr>
        <w:t>Intersex: Stories and statistics from Australia</w:t>
      </w:r>
      <w:r w:rsidRPr="009A267C">
        <w:rPr>
          <w:rFonts w:cs="Open Sans"/>
        </w:rPr>
        <w:t>. (Open Book Publishers 2016)</w:t>
      </w:r>
    </w:p>
  </w:endnote>
  <w:endnote w:id="101">
    <w:p w:rsidRPr="009A267C" w:rsidR="008C0259" w:rsidP="008C0259" w:rsidRDefault="008C0259" w14:paraId="0D089F60" w14:textId="77777777">
      <w:pPr>
        <w:pStyle w:val="EndnoteText"/>
        <w:rPr>
          <w:rFonts w:cs="Open Sans"/>
        </w:rPr>
      </w:pPr>
      <w:r w:rsidRPr="009A267C">
        <w:rPr>
          <w:rStyle w:val="EndnoteReference"/>
          <w:rFonts w:cs="Open Sans"/>
        </w:rPr>
        <w:endnoteRef/>
      </w:r>
      <w:r w:rsidRPr="009A267C">
        <w:rPr>
          <w:rFonts w:cs="Open Sans"/>
        </w:rPr>
        <w:t xml:space="preserve"> Submission 43,</w:t>
      </w:r>
      <w:r w:rsidRPr="009A267C">
        <w:rPr>
          <w:rFonts w:cs="Open Sans"/>
          <w:i/>
          <w:iCs/>
        </w:rPr>
        <w:t xml:space="preserve"> Intersex Inquiry</w:t>
      </w:r>
      <w:r w:rsidRPr="009A267C">
        <w:rPr>
          <w:rFonts w:cs="Open Sans"/>
        </w:rPr>
        <w:t>, 2.</w:t>
      </w:r>
    </w:p>
  </w:endnote>
  <w:endnote w:id="102">
    <w:p w:rsidRPr="009A267C" w:rsidR="008C0259" w:rsidP="008C0259" w:rsidRDefault="008C0259" w14:paraId="1ED6DD79" w14:textId="77777777">
      <w:pPr>
        <w:pStyle w:val="EndnoteText"/>
        <w:rPr>
          <w:rFonts w:cs="Open Sans"/>
          <w:lang w:val="en-US"/>
        </w:rPr>
      </w:pPr>
      <w:r w:rsidRPr="009A267C">
        <w:rPr>
          <w:rStyle w:val="EndnoteReference"/>
          <w:rFonts w:cs="Open Sans"/>
        </w:rPr>
        <w:endnoteRef/>
      </w:r>
      <w:r w:rsidRPr="009A267C">
        <w:rPr>
          <w:rFonts w:cs="Open Sans"/>
        </w:rPr>
        <w:t xml:space="preserve"> Submission 36, </w:t>
      </w:r>
      <w:r w:rsidRPr="009A267C">
        <w:rPr>
          <w:rFonts w:cs="Open Sans"/>
          <w:i/>
          <w:iCs/>
        </w:rPr>
        <w:t>Intersex Inquiry</w:t>
      </w:r>
      <w:r w:rsidRPr="009A267C">
        <w:rPr>
          <w:rFonts w:cs="Open Sans"/>
        </w:rPr>
        <w:t>, 8.</w:t>
      </w:r>
    </w:p>
  </w:endnote>
  <w:endnote w:id="103">
    <w:p w:rsidRPr="009A267C" w:rsidR="008C0259" w:rsidP="008C0259" w:rsidRDefault="008C0259" w14:paraId="33FB3C41" w14:textId="77777777">
      <w:pPr>
        <w:pStyle w:val="EndnoteText"/>
        <w:rPr>
          <w:rFonts w:cs="Open Sans"/>
        </w:rPr>
      </w:pPr>
      <w:r w:rsidRPr="009A267C">
        <w:rPr>
          <w:rStyle w:val="EndnoteReference"/>
          <w:rFonts w:cs="Open Sans"/>
        </w:rPr>
        <w:endnoteRef/>
      </w:r>
      <w:r w:rsidRPr="009A267C">
        <w:rPr>
          <w:rFonts w:cs="Open Sans"/>
        </w:rPr>
        <w:t xml:space="preserve"> Submission 41, </w:t>
      </w:r>
      <w:r w:rsidRPr="009A267C">
        <w:rPr>
          <w:rFonts w:cs="Open Sans"/>
          <w:i/>
          <w:iCs/>
        </w:rPr>
        <w:t>Intersex Inquiry</w:t>
      </w:r>
      <w:r w:rsidRPr="009A267C">
        <w:rPr>
          <w:rFonts w:cs="Open Sans"/>
        </w:rPr>
        <w:t>, 9; Submission 36,</w:t>
      </w:r>
      <w:r w:rsidRPr="009A267C">
        <w:rPr>
          <w:rFonts w:cs="Open Sans"/>
          <w:i/>
          <w:iCs/>
        </w:rPr>
        <w:t xml:space="preserve"> Intersex Inquiry</w:t>
      </w:r>
      <w:r w:rsidRPr="009A267C">
        <w:rPr>
          <w:rFonts w:cs="Open Sans"/>
        </w:rPr>
        <w:t>, 26; Submission 57,</w:t>
      </w:r>
      <w:r w:rsidRPr="009A267C">
        <w:rPr>
          <w:rFonts w:cs="Open Sans"/>
          <w:i/>
          <w:iCs/>
        </w:rPr>
        <w:t xml:space="preserve"> Intersex Inquiry</w:t>
      </w:r>
      <w:r w:rsidRPr="009A267C">
        <w:rPr>
          <w:rFonts w:cs="Open Sans"/>
        </w:rPr>
        <w:t>; A Gender Agenda, Submission 52,</w:t>
      </w:r>
      <w:r w:rsidRPr="009A267C">
        <w:rPr>
          <w:rFonts w:cs="Open Sans"/>
          <w:i/>
          <w:iCs/>
        </w:rPr>
        <w:t xml:space="preserve"> Intersex Inquiry</w:t>
      </w:r>
      <w:r w:rsidRPr="009A267C">
        <w:rPr>
          <w:rFonts w:cs="Open Sans"/>
        </w:rPr>
        <w:t>, 9-10; Submission 25,</w:t>
      </w:r>
      <w:r w:rsidRPr="009A267C">
        <w:rPr>
          <w:rFonts w:cs="Open Sans"/>
          <w:i/>
          <w:iCs/>
        </w:rPr>
        <w:t xml:space="preserve"> Intersex Inquiry</w:t>
      </w:r>
      <w:r w:rsidRPr="009A267C">
        <w:rPr>
          <w:rFonts w:cs="Open Sans"/>
        </w:rPr>
        <w:t xml:space="preserve">, 5. </w:t>
      </w:r>
    </w:p>
  </w:endnote>
  <w:endnote w:id="104">
    <w:p w:rsidRPr="009A267C" w:rsidR="008C0259" w:rsidP="008C0259" w:rsidRDefault="008C0259" w14:paraId="48436686" w14:textId="77777777">
      <w:pPr>
        <w:pStyle w:val="EndnoteText"/>
        <w:rPr>
          <w:rFonts w:cs="Open Sans"/>
        </w:rPr>
      </w:pPr>
      <w:r w:rsidRPr="009A267C">
        <w:rPr>
          <w:rStyle w:val="EndnoteReference"/>
          <w:rFonts w:cs="Open Sans"/>
        </w:rPr>
        <w:endnoteRef/>
      </w:r>
      <w:r w:rsidRPr="009A267C">
        <w:rPr>
          <w:rFonts w:cs="Open Sans"/>
        </w:rPr>
        <w:t xml:space="preserve"> Submission 36, </w:t>
      </w:r>
      <w:bookmarkStart w:name="_Hlk79581276" w:id="141"/>
      <w:r w:rsidRPr="009A267C">
        <w:rPr>
          <w:rFonts w:cs="Open Sans"/>
          <w:i/>
          <w:iCs/>
        </w:rPr>
        <w:t>Intersex Inquiry</w:t>
      </w:r>
      <w:r w:rsidRPr="009A267C">
        <w:rPr>
          <w:rFonts w:cs="Open Sans"/>
        </w:rPr>
        <w:t xml:space="preserve">, </w:t>
      </w:r>
      <w:bookmarkEnd w:id="141"/>
      <w:r w:rsidRPr="009A267C">
        <w:rPr>
          <w:rFonts w:cs="Open Sans"/>
        </w:rPr>
        <w:t>8.</w:t>
      </w:r>
    </w:p>
  </w:endnote>
  <w:endnote w:id="105">
    <w:p w:rsidRPr="009A267C" w:rsidR="008C0259" w:rsidP="008C0259" w:rsidRDefault="008C0259" w14:paraId="5CC10582" w14:textId="77777777">
      <w:pPr>
        <w:pStyle w:val="EndnoteText"/>
        <w:rPr>
          <w:rFonts w:cs="Open Sans"/>
          <w:lang w:val="en-US"/>
        </w:rPr>
      </w:pPr>
      <w:r w:rsidRPr="009A267C">
        <w:rPr>
          <w:rStyle w:val="EndnoteReference"/>
          <w:rFonts w:cs="Open Sans"/>
        </w:rPr>
        <w:endnoteRef/>
      </w:r>
      <w:r w:rsidRPr="009A267C">
        <w:rPr>
          <w:rFonts w:cs="Open Sans"/>
        </w:rPr>
        <w:t xml:space="preserve"> </w:t>
      </w:r>
      <w:r w:rsidRPr="009A267C">
        <w:rPr>
          <w:rFonts w:cs="Open Sans"/>
          <w:lang w:val="en-US"/>
        </w:rPr>
        <w:t>Interview 2,</w:t>
      </w:r>
      <w:r w:rsidRPr="009A267C">
        <w:rPr>
          <w:rFonts w:cs="Open Sans"/>
          <w:i/>
          <w:iCs/>
        </w:rPr>
        <w:t xml:space="preserve"> Intersex Inquiry</w:t>
      </w:r>
      <w:r w:rsidRPr="009A267C">
        <w:rPr>
          <w:rFonts w:cs="Open Sans"/>
        </w:rPr>
        <w:t>.</w:t>
      </w:r>
    </w:p>
  </w:endnote>
  <w:endnote w:id="106">
    <w:p w:rsidRPr="009A267C" w:rsidR="008C0259" w:rsidP="008C0259" w:rsidRDefault="008C0259" w14:paraId="73FD3C77" w14:textId="77777777">
      <w:pPr>
        <w:pStyle w:val="EndnoteText"/>
        <w:rPr>
          <w:rFonts w:cs="Open Sans"/>
          <w:lang w:val="en-US"/>
        </w:rPr>
      </w:pPr>
      <w:r w:rsidRPr="009A267C">
        <w:rPr>
          <w:rStyle w:val="EndnoteReference"/>
          <w:rFonts w:cs="Open Sans"/>
        </w:rPr>
        <w:endnoteRef/>
      </w:r>
      <w:r w:rsidRPr="009A267C">
        <w:rPr>
          <w:rFonts w:cs="Open Sans"/>
        </w:rPr>
        <w:t xml:space="preserve"> </w:t>
      </w:r>
      <w:r w:rsidRPr="009A267C">
        <w:rPr>
          <w:rFonts w:cs="Open Sans"/>
          <w:lang w:val="en-US"/>
        </w:rPr>
        <w:t>Submission 33,</w:t>
      </w:r>
      <w:r w:rsidRPr="009A267C">
        <w:rPr>
          <w:rFonts w:cs="Open Sans"/>
          <w:i/>
          <w:iCs/>
        </w:rPr>
        <w:t xml:space="preserve"> Intersex Inquiry</w:t>
      </w:r>
      <w:r w:rsidRPr="009A267C">
        <w:rPr>
          <w:rFonts w:cs="Open Sans"/>
        </w:rPr>
        <w:t xml:space="preserve">, </w:t>
      </w:r>
      <w:r w:rsidRPr="009A267C">
        <w:rPr>
          <w:rFonts w:cs="Open Sans"/>
          <w:lang w:val="en-US"/>
        </w:rPr>
        <w:t>1.</w:t>
      </w:r>
    </w:p>
  </w:endnote>
  <w:endnote w:id="107">
    <w:p w:rsidRPr="009A267C" w:rsidR="008C0259" w:rsidP="008C0259" w:rsidRDefault="008C0259" w14:paraId="5505A52E" w14:textId="77777777">
      <w:pPr>
        <w:pStyle w:val="EndnoteText"/>
        <w:rPr>
          <w:rFonts w:cs="Open Sans"/>
          <w:lang w:val="en-US"/>
        </w:rPr>
      </w:pPr>
      <w:r w:rsidRPr="009A267C">
        <w:rPr>
          <w:rStyle w:val="EndnoteReference"/>
          <w:rFonts w:cs="Open Sans"/>
        </w:rPr>
        <w:endnoteRef/>
      </w:r>
      <w:r w:rsidRPr="009A267C">
        <w:rPr>
          <w:rFonts w:cs="Open Sans"/>
        </w:rPr>
        <w:t xml:space="preserve"> </w:t>
      </w:r>
      <w:r w:rsidRPr="009A267C">
        <w:rPr>
          <w:rFonts w:cs="Open Sans"/>
          <w:bCs/>
          <w:lang w:val="en-US"/>
        </w:rPr>
        <w:t>Submission 36,</w:t>
      </w:r>
      <w:r w:rsidRPr="009A267C">
        <w:rPr>
          <w:rFonts w:cs="Open Sans"/>
          <w:i/>
          <w:iCs/>
        </w:rPr>
        <w:t xml:space="preserve"> Intersex Inquiry</w:t>
      </w:r>
      <w:r w:rsidRPr="009A267C">
        <w:rPr>
          <w:rFonts w:cs="Open Sans"/>
        </w:rPr>
        <w:t xml:space="preserve">, </w:t>
      </w:r>
      <w:r w:rsidRPr="009A267C">
        <w:rPr>
          <w:rFonts w:cs="Open Sans"/>
          <w:bCs/>
          <w:lang w:val="en-US"/>
        </w:rPr>
        <w:t xml:space="preserve">28. </w:t>
      </w:r>
    </w:p>
  </w:endnote>
  <w:endnote w:id="108">
    <w:p w:rsidRPr="009A267C" w:rsidR="008C0259" w:rsidP="008C0259" w:rsidRDefault="008C0259" w14:paraId="549EAA9B" w14:textId="77777777">
      <w:pPr>
        <w:pStyle w:val="EndnoteText"/>
        <w:rPr>
          <w:rFonts w:cs="Open Sans"/>
        </w:rPr>
      </w:pPr>
      <w:r w:rsidRPr="009A267C">
        <w:rPr>
          <w:rStyle w:val="EndnoteReference"/>
          <w:rFonts w:cs="Open Sans"/>
        </w:rPr>
        <w:endnoteRef/>
      </w:r>
      <w:r w:rsidRPr="009A267C">
        <w:rPr>
          <w:rFonts w:cs="Open Sans"/>
        </w:rPr>
        <w:t xml:space="preserve"> Submission 57,</w:t>
      </w:r>
      <w:r w:rsidRPr="009A267C">
        <w:rPr>
          <w:rFonts w:cs="Open Sans"/>
          <w:i/>
          <w:iCs/>
        </w:rPr>
        <w:t xml:space="preserve"> Intersex Inquiry</w:t>
      </w:r>
      <w:r w:rsidRPr="009A267C">
        <w:rPr>
          <w:rFonts w:cs="Open Sans"/>
        </w:rPr>
        <w:t>.</w:t>
      </w:r>
    </w:p>
  </w:endnote>
  <w:endnote w:id="109">
    <w:p w:rsidRPr="009A267C" w:rsidR="008C0259" w:rsidP="008C0259" w:rsidRDefault="008C0259" w14:paraId="6603CE6E" w14:textId="77777777">
      <w:pPr>
        <w:pStyle w:val="EndnoteText"/>
        <w:rPr>
          <w:rFonts w:cs="Open Sans"/>
        </w:rPr>
      </w:pPr>
      <w:r w:rsidRPr="009A267C">
        <w:rPr>
          <w:rStyle w:val="EndnoteReference"/>
          <w:rFonts w:cs="Open Sans"/>
        </w:rPr>
        <w:endnoteRef/>
      </w:r>
      <w:r w:rsidRPr="009A267C">
        <w:rPr>
          <w:rFonts w:cs="Open Sans"/>
        </w:rPr>
        <w:t xml:space="preserve"> Submission 36,</w:t>
      </w:r>
      <w:r w:rsidRPr="009A267C">
        <w:rPr>
          <w:rFonts w:cs="Open Sans"/>
          <w:i/>
          <w:iCs/>
        </w:rPr>
        <w:t xml:space="preserve"> Intersex Inquiry</w:t>
      </w:r>
      <w:r w:rsidRPr="009A267C">
        <w:rPr>
          <w:rFonts w:cs="Open Sans"/>
        </w:rPr>
        <w:t>, 9.</w:t>
      </w:r>
    </w:p>
  </w:endnote>
  <w:endnote w:id="110">
    <w:p w:rsidRPr="009A267C" w:rsidR="008C0259" w:rsidP="008C0259" w:rsidRDefault="008C0259" w14:paraId="3B132ECC" w14:textId="77777777">
      <w:pPr>
        <w:pStyle w:val="EndnoteText"/>
        <w:rPr>
          <w:rFonts w:cs="Open Sans"/>
          <w:lang w:val="en-US"/>
        </w:rPr>
      </w:pPr>
      <w:r w:rsidRPr="009A267C">
        <w:rPr>
          <w:rStyle w:val="EndnoteReference"/>
          <w:rFonts w:cs="Open Sans"/>
        </w:rPr>
        <w:endnoteRef/>
      </w:r>
      <w:r w:rsidRPr="009A267C">
        <w:rPr>
          <w:rFonts w:cs="Open Sans"/>
        </w:rPr>
        <w:t xml:space="preserve"> A Gender Agenda, Submission 52,</w:t>
      </w:r>
      <w:r w:rsidRPr="009A267C">
        <w:rPr>
          <w:rFonts w:cs="Open Sans"/>
          <w:i/>
          <w:iCs/>
        </w:rPr>
        <w:t xml:space="preserve"> Intersex Inquiry</w:t>
      </w:r>
      <w:r w:rsidRPr="009A267C">
        <w:rPr>
          <w:rFonts w:cs="Open Sans"/>
        </w:rPr>
        <w:t>, 10; Submission 36,</w:t>
      </w:r>
      <w:r w:rsidRPr="009A267C">
        <w:rPr>
          <w:rFonts w:cs="Open Sans"/>
          <w:i/>
          <w:iCs/>
        </w:rPr>
        <w:t xml:space="preserve"> Intersex Inquiry</w:t>
      </w:r>
      <w:r w:rsidRPr="009A267C">
        <w:rPr>
          <w:rFonts w:cs="Open Sans"/>
        </w:rPr>
        <w:t>, 27.</w:t>
      </w:r>
    </w:p>
  </w:endnote>
  <w:endnote w:id="111">
    <w:p w:rsidRPr="009A267C" w:rsidR="008C0259" w:rsidP="008C0259" w:rsidRDefault="008C0259" w14:paraId="69F723F8" w14:textId="77777777">
      <w:pPr>
        <w:pStyle w:val="EndnoteText"/>
        <w:rPr>
          <w:rFonts w:cs="Open Sans"/>
        </w:rPr>
      </w:pPr>
      <w:r w:rsidRPr="009A267C">
        <w:rPr>
          <w:rStyle w:val="EndnoteReference"/>
          <w:rFonts w:cs="Open Sans"/>
        </w:rPr>
        <w:endnoteRef/>
      </w:r>
      <w:r w:rsidRPr="009A267C">
        <w:rPr>
          <w:rFonts w:cs="Open Sans"/>
        </w:rPr>
        <w:t xml:space="preserve"> Submission 62,</w:t>
      </w:r>
      <w:r w:rsidRPr="009A267C">
        <w:rPr>
          <w:rFonts w:cs="Open Sans"/>
          <w:i/>
          <w:iCs/>
        </w:rPr>
        <w:t xml:space="preserve"> Intersex Inquiry</w:t>
      </w:r>
      <w:r w:rsidRPr="009A267C">
        <w:rPr>
          <w:rFonts w:cs="Open Sans"/>
        </w:rPr>
        <w:t xml:space="preserve">; Interview 1, </w:t>
      </w:r>
      <w:r w:rsidRPr="009A267C">
        <w:rPr>
          <w:rFonts w:cs="Open Sans"/>
          <w:i/>
          <w:iCs/>
        </w:rPr>
        <w:t>Intersex Inquiry</w:t>
      </w:r>
      <w:r w:rsidRPr="009A267C">
        <w:rPr>
          <w:rFonts w:cs="Open Sans"/>
        </w:rPr>
        <w:t>.</w:t>
      </w:r>
    </w:p>
  </w:endnote>
  <w:endnote w:id="112">
    <w:p w:rsidRPr="009A267C" w:rsidR="008C0259" w:rsidP="008C0259" w:rsidRDefault="008C0259" w14:paraId="492BD575" w14:textId="77777777">
      <w:pPr>
        <w:pStyle w:val="EndnoteText"/>
        <w:rPr>
          <w:rFonts w:cs="Open Sans"/>
          <w:lang w:val="en-US"/>
        </w:rPr>
      </w:pPr>
      <w:r w:rsidRPr="009A267C">
        <w:rPr>
          <w:rStyle w:val="EndnoteReference"/>
          <w:rFonts w:cs="Open Sans"/>
        </w:rPr>
        <w:endnoteRef/>
      </w:r>
      <w:r w:rsidRPr="009A267C">
        <w:rPr>
          <w:rFonts w:cs="Open Sans"/>
        </w:rPr>
        <w:t xml:space="preserve"> Submission 57,</w:t>
      </w:r>
      <w:r w:rsidRPr="009A267C">
        <w:rPr>
          <w:rFonts w:cs="Open Sans"/>
          <w:i/>
          <w:iCs/>
        </w:rPr>
        <w:t xml:space="preserve"> Intersex Inquiry</w:t>
      </w:r>
      <w:r w:rsidRPr="009A267C">
        <w:rPr>
          <w:rFonts w:cs="Open Sans"/>
        </w:rPr>
        <w:t>.</w:t>
      </w:r>
    </w:p>
  </w:endnote>
  <w:endnote w:id="113">
    <w:p w:rsidRPr="009A267C" w:rsidR="008C0259" w:rsidP="008C0259" w:rsidRDefault="008C0259" w14:paraId="31A8C6B7" w14:textId="77777777">
      <w:pPr>
        <w:pStyle w:val="EndnoteText"/>
        <w:rPr>
          <w:rFonts w:cs="Open Sans"/>
        </w:rPr>
      </w:pPr>
      <w:r w:rsidRPr="009A267C">
        <w:rPr>
          <w:rStyle w:val="EndnoteReference"/>
          <w:rFonts w:cs="Open Sans"/>
        </w:rPr>
        <w:endnoteRef/>
      </w:r>
      <w:r w:rsidRPr="009A267C">
        <w:rPr>
          <w:rFonts w:cs="Open Sans"/>
        </w:rPr>
        <w:t xml:space="preserve"> Submission 70,</w:t>
      </w:r>
      <w:r w:rsidRPr="009A267C">
        <w:rPr>
          <w:rFonts w:cs="Open Sans"/>
          <w:i/>
          <w:iCs/>
        </w:rPr>
        <w:t xml:space="preserve"> </w:t>
      </w:r>
      <w:bookmarkStart w:name="_Hlk79582344" w:id="151"/>
      <w:r w:rsidRPr="009A267C">
        <w:rPr>
          <w:rFonts w:cs="Open Sans"/>
          <w:i/>
          <w:iCs/>
        </w:rPr>
        <w:t>Intersex Inquiry</w:t>
      </w:r>
      <w:r w:rsidRPr="009A267C">
        <w:rPr>
          <w:rFonts w:cs="Open Sans"/>
        </w:rPr>
        <w:t xml:space="preserve">, </w:t>
      </w:r>
      <w:bookmarkEnd w:id="151"/>
      <w:r w:rsidRPr="009A267C">
        <w:rPr>
          <w:rFonts w:cs="Open Sans"/>
        </w:rPr>
        <w:t>1.</w:t>
      </w:r>
    </w:p>
  </w:endnote>
  <w:endnote w:id="114">
    <w:p w:rsidRPr="009A267C" w:rsidR="008C0259" w:rsidP="008C0259" w:rsidRDefault="008C0259" w14:paraId="32DC32D2" w14:textId="77777777">
      <w:pPr>
        <w:pStyle w:val="EndnoteText"/>
        <w:rPr>
          <w:rFonts w:cs="Open Sans"/>
        </w:rPr>
      </w:pPr>
      <w:r w:rsidRPr="009A267C">
        <w:rPr>
          <w:rStyle w:val="EndnoteReference"/>
          <w:rFonts w:cs="Open Sans"/>
        </w:rPr>
        <w:endnoteRef/>
      </w:r>
      <w:r w:rsidRPr="009A267C">
        <w:rPr>
          <w:rFonts w:cs="Open Sans"/>
        </w:rPr>
        <w:t xml:space="preserve"> Submission 45, </w:t>
      </w:r>
      <w:r w:rsidRPr="009A267C">
        <w:rPr>
          <w:rFonts w:cs="Open Sans"/>
          <w:i/>
          <w:iCs/>
        </w:rPr>
        <w:t>Intersex Inquiry</w:t>
      </w:r>
      <w:r w:rsidRPr="009A267C">
        <w:rPr>
          <w:rFonts w:cs="Open Sans"/>
        </w:rPr>
        <w:t>, 9; Royal Australia New Zealand College of Psychiatrists, Submission 26,</w:t>
      </w:r>
      <w:r w:rsidRPr="009A267C">
        <w:rPr>
          <w:rFonts w:cs="Open Sans"/>
          <w:i/>
          <w:iCs/>
        </w:rPr>
        <w:t xml:space="preserve"> Intersex Inquiry</w:t>
      </w:r>
      <w:r w:rsidRPr="009A267C">
        <w:rPr>
          <w:rFonts w:cs="Open Sans"/>
        </w:rPr>
        <w:t>, 1; A Gender Agenda, Submission 52,</w:t>
      </w:r>
      <w:r w:rsidRPr="009A267C">
        <w:rPr>
          <w:rFonts w:cs="Open Sans"/>
          <w:i/>
          <w:iCs/>
        </w:rPr>
        <w:t xml:space="preserve"> Intersex Inquiry</w:t>
      </w:r>
      <w:r w:rsidRPr="009A267C">
        <w:rPr>
          <w:rFonts w:cs="Open Sans"/>
        </w:rPr>
        <w:t xml:space="preserve">, 1. For more extensive information and discussion about this, see  Jones </w:t>
      </w:r>
      <w:r w:rsidRPr="009A267C">
        <w:rPr>
          <w:rFonts w:cs="Open Sans"/>
          <w:i/>
        </w:rPr>
        <w:t>et al</w:t>
      </w:r>
      <w:r w:rsidRPr="009A267C">
        <w:rPr>
          <w:rFonts w:cs="Open Sans"/>
        </w:rPr>
        <w:t>, 2016.</w:t>
      </w:r>
    </w:p>
  </w:endnote>
  <w:endnote w:id="115">
    <w:p w:rsidRPr="009A267C" w:rsidR="008C0259" w:rsidP="008C0259" w:rsidRDefault="008C0259" w14:paraId="4496820C" w14:textId="77777777">
      <w:pPr>
        <w:pStyle w:val="EndnoteText"/>
        <w:rPr>
          <w:rFonts w:cs="Open Sans"/>
        </w:rPr>
      </w:pPr>
      <w:r w:rsidRPr="009A267C">
        <w:rPr>
          <w:rStyle w:val="EndnoteReference"/>
          <w:rFonts w:cs="Open Sans"/>
        </w:rPr>
        <w:endnoteRef/>
      </w:r>
      <w:r w:rsidRPr="009A267C">
        <w:rPr>
          <w:rFonts w:cs="Open Sans"/>
        </w:rPr>
        <w:t xml:space="preserve"> Submission 48,</w:t>
      </w:r>
      <w:r w:rsidRPr="009A267C">
        <w:rPr>
          <w:rFonts w:cs="Open Sans"/>
          <w:i/>
          <w:iCs/>
        </w:rPr>
        <w:t xml:space="preserve"> Intersex Inquiry</w:t>
      </w:r>
      <w:r w:rsidRPr="009A267C">
        <w:rPr>
          <w:rFonts w:cs="Open Sans"/>
        </w:rPr>
        <w:t>; Submission 57,</w:t>
      </w:r>
      <w:r w:rsidRPr="009A267C">
        <w:rPr>
          <w:rFonts w:cs="Open Sans"/>
          <w:i/>
          <w:iCs/>
        </w:rPr>
        <w:t xml:space="preserve"> Intersex Inquiry</w:t>
      </w:r>
      <w:r w:rsidRPr="009A267C">
        <w:rPr>
          <w:rFonts w:cs="Open Sans"/>
        </w:rPr>
        <w:t xml:space="preserve">; Submission 36, </w:t>
      </w:r>
      <w:r w:rsidRPr="009A267C">
        <w:rPr>
          <w:rFonts w:cs="Open Sans"/>
          <w:i/>
          <w:iCs/>
        </w:rPr>
        <w:t>Intersex Inquiry</w:t>
      </w:r>
      <w:r w:rsidRPr="009A267C">
        <w:rPr>
          <w:rFonts w:cs="Open Sans"/>
        </w:rPr>
        <w:t>, 24; Submission 25,</w:t>
      </w:r>
      <w:r w:rsidRPr="009A267C">
        <w:rPr>
          <w:rFonts w:cs="Open Sans"/>
          <w:i/>
          <w:iCs/>
        </w:rPr>
        <w:t xml:space="preserve"> Intersex Inquiry</w:t>
      </w:r>
      <w:r w:rsidRPr="009A267C">
        <w:rPr>
          <w:rFonts w:cs="Open Sans"/>
        </w:rPr>
        <w:t>, 5, which referred to data from the National LGBTI Health Alliance about elevated rates of suicidality and self</w:t>
      </w:r>
      <w:r w:rsidRPr="009A267C">
        <w:rPr>
          <w:rFonts w:cs="Open Sans"/>
        </w:rPr>
        <w:noBreakHyphen/>
        <w:t>harm, as well as diagnosis of depression and anxiety.</w:t>
      </w:r>
    </w:p>
  </w:endnote>
  <w:endnote w:id="116">
    <w:p w:rsidRPr="009A267C" w:rsidR="008C0259" w:rsidP="008C0259" w:rsidRDefault="008C0259" w14:paraId="5D07E571" w14:textId="77777777">
      <w:pPr>
        <w:pStyle w:val="EndnoteText"/>
        <w:rPr>
          <w:rFonts w:cs="Open Sans"/>
          <w:lang w:val="nb-NO"/>
        </w:rPr>
      </w:pPr>
      <w:r w:rsidRPr="009A267C">
        <w:rPr>
          <w:rStyle w:val="EndnoteReference"/>
          <w:rFonts w:cs="Open Sans"/>
        </w:rPr>
        <w:endnoteRef/>
      </w:r>
      <w:r w:rsidRPr="009A267C">
        <w:rPr>
          <w:rFonts w:cs="Open Sans"/>
          <w:lang w:val="nb-NO"/>
        </w:rPr>
        <w:t xml:space="preserve"> Submission 45,</w:t>
      </w:r>
      <w:r w:rsidRPr="009A267C">
        <w:rPr>
          <w:rFonts w:cs="Open Sans"/>
          <w:i/>
          <w:iCs/>
        </w:rPr>
        <w:t xml:space="preserve"> Intersex Inquiry</w:t>
      </w:r>
      <w:r w:rsidRPr="009A267C">
        <w:rPr>
          <w:rFonts w:cs="Open Sans"/>
        </w:rPr>
        <w:t xml:space="preserve">, </w:t>
      </w:r>
      <w:r w:rsidRPr="009A267C">
        <w:rPr>
          <w:rFonts w:cs="Open Sans"/>
          <w:lang w:val="nb-NO"/>
        </w:rPr>
        <w:t xml:space="preserve">9, citing Jones </w:t>
      </w:r>
      <w:r w:rsidRPr="009A267C">
        <w:rPr>
          <w:rFonts w:cs="Open Sans"/>
          <w:i/>
          <w:lang w:val="nb-NO"/>
        </w:rPr>
        <w:t>et al</w:t>
      </w:r>
      <w:r w:rsidRPr="009A267C">
        <w:rPr>
          <w:rFonts w:cs="Open Sans"/>
          <w:lang w:val="nb-NO"/>
        </w:rPr>
        <w:t>, 2016, 123.</w:t>
      </w:r>
    </w:p>
  </w:endnote>
  <w:endnote w:id="117">
    <w:p w:rsidRPr="009A267C" w:rsidR="008C0259" w:rsidP="008C0259" w:rsidRDefault="008C0259" w14:paraId="12FA0D26" w14:textId="77777777">
      <w:pPr>
        <w:pStyle w:val="EndnoteText"/>
        <w:rPr>
          <w:rFonts w:cs="Open Sans"/>
        </w:rPr>
      </w:pPr>
      <w:r w:rsidRPr="009A267C">
        <w:rPr>
          <w:rStyle w:val="EndnoteReference"/>
          <w:rFonts w:cs="Open Sans"/>
        </w:rPr>
        <w:endnoteRef/>
      </w:r>
      <w:r w:rsidRPr="009A267C">
        <w:rPr>
          <w:rFonts w:cs="Open Sans"/>
        </w:rPr>
        <w:t xml:space="preserve"> Submission 36,</w:t>
      </w:r>
      <w:r w:rsidRPr="009A267C">
        <w:rPr>
          <w:rFonts w:cs="Open Sans"/>
          <w:i/>
          <w:iCs/>
        </w:rPr>
        <w:t xml:space="preserve"> Intersex Inquiry</w:t>
      </w:r>
      <w:r w:rsidRPr="009A267C">
        <w:rPr>
          <w:rFonts w:cs="Open Sans"/>
        </w:rPr>
        <w:t>, 9. See also Darlington Statement, including at paragraph 39.</w:t>
      </w:r>
    </w:p>
  </w:endnote>
  <w:endnote w:id="118">
    <w:p w:rsidRPr="009A267C" w:rsidR="008C0259" w:rsidP="008C0259" w:rsidRDefault="008C0259" w14:paraId="1DD73044" w14:textId="77777777">
      <w:pPr>
        <w:pStyle w:val="EndnoteText"/>
        <w:rPr>
          <w:rFonts w:cs="Open Sans"/>
        </w:rPr>
      </w:pPr>
      <w:r w:rsidRPr="009A267C">
        <w:rPr>
          <w:rStyle w:val="EndnoteReference"/>
          <w:rFonts w:cs="Open Sans"/>
        </w:rPr>
        <w:endnoteRef/>
      </w:r>
      <w:r w:rsidRPr="009A267C">
        <w:rPr>
          <w:rFonts w:cs="Open Sans"/>
        </w:rPr>
        <w:t xml:space="preserve"> Submission 36,</w:t>
      </w:r>
      <w:r w:rsidRPr="009A267C">
        <w:rPr>
          <w:rFonts w:cs="Open Sans"/>
          <w:i/>
          <w:iCs/>
        </w:rPr>
        <w:t xml:space="preserve"> Intersex Inquiry</w:t>
      </w:r>
      <w:r w:rsidRPr="009A267C">
        <w:rPr>
          <w:rFonts w:cs="Open Sans"/>
        </w:rPr>
        <w:t>, 33.</w:t>
      </w:r>
    </w:p>
  </w:endnote>
  <w:endnote w:id="119">
    <w:p w:rsidRPr="009A267C" w:rsidR="008C0259" w:rsidP="008C0259" w:rsidRDefault="008C0259" w14:paraId="636362CA" w14:textId="77777777">
      <w:pPr>
        <w:pStyle w:val="EndnoteText"/>
        <w:rPr>
          <w:rFonts w:cs="Open Sans"/>
        </w:rPr>
      </w:pPr>
      <w:r w:rsidRPr="009A267C">
        <w:rPr>
          <w:rStyle w:val="EndnoteReference"/>
          <w:rFonts w:cs="Open Sans"/>
        </w:rPr>
        <w:endnoteRef/>
      </w:r>
      <w:r w:rsidRPr="009A267C">
        <w:rPr>
          <w:rFonts w:cs="Open Sans"/>
        </w:rPr>
        <w:t xml:space="preserve"> </w:t>
      </w:r>
      <w:r w:rsidRPr="009A267C">
        <w:rPr>
          <w:rFonts w:cs="Open Sans"/>
          <w:lang w:val="nb-NO"/>
        </w:rPr>
        <w:t>Submission 45,</w:t>
      </w:r>
      <w:r w:rsidRPr="009A267C">
        <w:rPr>
          <w:rFonts w:cs="Open Sans"/>
          <w:i/>
          <w:iCs/>
        </w:rPr>
        <w:t xml:space="preserve"> Intersex Inquiry</w:t>
      </w:r>
      <w:r w:rsidRPr="009A267C">
        <w:rPr>
          <w:rFonts w:cs="Open Sans"/>
        </w:rPr>
        <w:t xml:space="preserve">, </w:t>
      </w:r>
      <w:r w:rsidRPr="009A267C">
        <w:rPr>
          <w:rFonts w:cs="Open Sans"/>
          <w:lang w:val="nb-NO"/>
        </w:rPr>
        <w:t xml:space="preserve">10, citing Jones </w:t>
      </w:r>
      <w:r w:rsidRPr="009A267C">
        <w:rPr>
          <w:rFonts w:cs="Open Sans"/>
          <w:i/>
          <w:lang w:val="nb-NO"/>
        </w:rPr>
        <w:t>et al</w:t>
      </w:r>
      <w:r w:rsidRPr="009A267C">
        <w:rPr>
          <w:rFonts w:cs="Open Sans"/>
          <w:lang w:val="nb-NO"/>
        </w:rPr>
        <w:t>, 2016, 123.</w:t>
      </w:r>
      <w:r w:rsidRPr="009A267C">
        <w:rPr>
          <w:rFonts w:cs="Open Sans"/>
        </w:rPr>
        <w:t xml:space="preserve"> </w:t>
      </w:r>
    </w:p>
  </w:endnote>
  <w:endnote w:id="120">
    <w:p w:rsidRPr="009A267C" w:rsidR="008C0259" w:rsidP="008C0259" w:rsidRDefault="008C0259" w14:paraId="76D1C129" w14:textId="77777777">
      <w:pPr>
        <w:pStyle w:val="EndnoteText"/>
        <w:rPr>
          <w:rFonts w:cs="Open Sans"/>
        </w:rPr>
      </w:pPr>
      <w:r w:rsidRPr="009A267C">
        <w:rPr>
          <w:rStyle w:val="EndnoteReference"/>
          <w:rFonts w:cs="Open Sans"/>
        </w:rPr>
        <w:endnoteRef/>
      </w:r>
      <w:r w:rsidRPr="009A267C">
        <w:rPr>
          <w:rFonts w:cs="Open Sans"/>
        </w:rPr>
        <w:t xml:space="preserve"> </w:t>
      </w:r>
      <w:r w:rsidRPr="009A267C">
        <w:rPr>
          <w:rFonts w:cs="Open Sans"/>
          <w:lang w:val="nb-NO"/>
        </w:rPr>
        <w:t>Submission 45,</w:t>
      </w:r>
      <w:r w:rsidRPr="009A267C">
        <w:rPr>
          <w:rFonts w:cs="Open Sans"/>
          <w:i/>
          <w:iCs/>
        </w:rPr>
        <w:t xml:space="preserve"> Intersex Inquiry</w:t>
      </w:r>
      <w:r w:rsidRPr="009A267C">
        <w:rPr>
          <w:rFonts w:cs="Open Sans"/>
        </w:rPr>
        <w:t xml:space="preserve">, </w:t>
      </w:r>
      <w:r w:rsidRPr="009A267C">
        <w:rPr>
          <w:rFonts w:cs="Open Sans"/>
          <w:lang w:val="nb-NO"/>
        </w:rPr>
        <w:t xml:space="preserve">10, citing Jones </w:t>
      </w:r>
      <w:r w:rsidRPr="009A267C">
        <w:rPr>
          <w:rFonts w:cs="Open Sans"/>
          <w:i/>
          <w:lang w:val="nb-NO"/>
        </w:rPr>
        <w:t>et al</w:t>
      </w:r>
      <w:r w:rsidRPr="009A267C">
        <w:rPr>
          <w:rFonts w:cs="Open Sans"/>
          <w:lang w:val="nb-NO"/>
        </w:rPr>
        <w:t>, 2016, 123.</w:t>
      </w:r>
    </w:p>
  </w:endnote>
  <w:endnote w:id="121">
    <w:p w:rsidRPr="009A267C" w:rsidR="008C0259" w:rsidP="008C0259" w:rsidRDefault="008C0259" w14:paraId="67EC43AB" w14:textId="77777777">
      <w:pPr>
        <w:pStyle w:val="EndnoteText"/>
        <w:rPr>
          <w:rFonts w:cs="Open Sans"/>
        </w:rPr>
      </w:pPr>
      <w:r w:rsidRPr="009A267C">
        <w:rPr>
          <w:rStyle w:val="EndnoteReference"/>
          <w:rFonts w:cs="Open Sans"/>
        </w:rPr>
        <w:endnoteRef/>
      </w:r>
      <w:r w:rsidRPr="009A267C">
        <w:rPr>
          <w:rFonts w:cs="Open Sans"/>
        </w:rPr>
        <w:t xml:space="preserve"> Submission </w:t>
      </w:r>
      <w:r w:rsidRPr="009A267C">
        <w:rPr>
          <w:rFonts w:cs="Open Sans"/>
          <w:lang w:val="nb-NO"/>
        </w:rPr>
        <w:t xml:space="preserve">45, </w:t>
      </w:r>
      <w:r w:rsidRPr="009A267C">
        <w:rPr>
          <w:rFonts w:cs="Open Sans"/>
          <w:i/>
          <w:iCs/>
        </w:rPr>
        <w:t>Intersex Inquiry</w:t>
      </w:r>
      <w:r w:rsidRPr="009A267C">
        <w:rPr>
          <w:rFonts w:cs="Open Sans"/>
        </w:rPr>
        <w:t xml:space="preserve">, </w:t>
      </w:r>
      <w:r w:rsidRPr="009A267C">
        <w:rPr>
          <w:rFonts w:cs="Open Sans"/>
          <w:lang w:val="nb-NO"/>
        </w:rPr>
        <w:t xml:space="preserve">9, citing Jones </w:t>
      </w:r>
      <w:r w:rsidRPr="009A267C">
        <w:rPr>
          <w:rFonts w:cs="Open Sans"/>
          <w:i/>
          <w:lang w:val="nb-NO"/>
        </w:rPr>
        <w:t>et al</w:t>
      </w:r>
      <w:r w:rsidRPr="009A267C">
        <w:rPr>
          <w:rFonts w:cs="Open Sans"/>
          <w:lang w:val="nb-NO"/>
        </w:rPr>
        <w:t>, 2016, 123</w:t>
      </w:r>
      <w:r w:rsidRPr="009A267C">
        <w:rPr>
          <w:rFonts w:cs="Open Sans"/>
        </w:rPr>
        <w:t>; Submission 41,</w:t>
      </w:r>
      <w:r w:rsidRPr="009A267C">
        <w:rPr>
          <w:rFonts w:cs="Open Sans"/>
          <w:i/>
          <w:iCs/>
        </w:rPr>
        <w:t xml:space="preserve"> Intersex Inquiry</w:t>
      </w:r>
      <w:r w:rsidRPr="009A267C">
        <w:rPr>
          <w:rFonts w:cs="Open Sans"/>
        </w:rPr>
        <w:t>, 7.</w:t>
      </w:r>
    </w:p>
  </w:endnote>
  <w:endnote w:id="122">
    <w:p w:rsidRPr="009A267C" w:rsidR="008C0259" w:rsidP="008C0259" w:rsidRDefault="008C0259" w14:paraId="6DECE809" w14:textId="77777777">
      <w:pPr>
        <w:pStyle w:val="EndnoteText"/>
        <w:rPr>
          <w:rFonts w:cs="Open Sans"/>
        </w:rPr>
      </w:pPr>
      <w:r w:rsidRPr="009A267C">
        <w:rPr>
          <w:rStyle w:val="EndnoteReference"/>
          <w:rFonts w:cs="Open Sans"/>
        </w:rPr>
        <w:endnoteRef/>
      </w:r>
      <w:r w:rsidRPr="009A267C">
        <w:rPr>
          <w:rFonts w:cs="Open Sans"/>
        </w:rPr>
        <w:t xml:space="preserve"> Submission 57,</w:t>
      </w:r>
      <w:r w:rsidRPr="009A267C">
        <w:rPr>
          <w:rFonts w:cs="Open Sans"/>
          <w:i/>
          <w:iCs/>
        </w:rPr>
        <w:t xml:space="preserve"> Intersex Inquiry</w:t>
      </w:r>
      <w:r w:rsidRPr="009A267C">
        <w:rPr>
          <w:rFonts w:cs="Open Sans"/>
        </w:rPr>
        <w:t xml:space="preserve">. </w:t>
      </w:r>
    </w:p>
  </w:endnote>
  <w:endnote w:id="123">
    <w:p w:rsidRPr="009A267C" w:rsidR="008C0259" w:rsidP="008C0259" w:rsidRDefault="008C0259" w14:paraId="348E9735" w14:textId="77777777">
      <w:pPr>
        <w:pStyle w:val="EndnoteText"/>
        <w:rPr>
          <w:rFonts w:cs="Open Sans"/>
        </w:rPr>
      </w:pPr>
      <w:r w:rsidRPr="009A267C">
        <w:rPr>
          <w:rStyle w:val="EndnoteReference"/>
          <w:rFonts w:cs="Open Sans"/>
        </w:rPr>
        <w:endnoteRef/>
      </w:r>
      <w:r w:rsidRPr="009A267C">
        <w:rPr>
          <w:rFonts w:cs="Open Sans"/>
        </w:rPr>
        <w:t xml:space="preserve"> Submission 36,</w:t>
      </w:r>
      <w:r w:rsidRPr="009A267C">
        <w:rPr>
          <w:rFonts w:cs="Open Sans"/>
          <w:i/>
          <w:iCs/>
        </w:rPr>
        <w:t xml:space="preserve"> Intersex Inquiry</w:t>
      </w:r>
      <w:r w:rsidRPr="009A267C">
        <w:rPr>
          <w:rFonts w:cs="Open Sans"/>
        </w:rPr>
        <w:t xml:space="preserve">, 30, citing the Darlington Statement, paragraph 53. </w:t>
      </w:r>
    </w:p>
  </w:endnote>
  <w:endnote w:id="124">
    <w:p w:rsidRPr="009A267C" w:rsidR="008C0259" w:rsidP="008C0259" w:rsidRDefault="008C0259" w14:paraId="5D4BA27F" w14:textId="77777777">
      <w:pPr>
        <w:pStyle w:val="EndnoteText"/>
        <w:rPr>
          <w:rFonts w:cs="Open Sans"/>
          <w:lang w:val="en-US"/>
        </w:rPr>
      </w:pPr>
      <w:r w:rsidRPr="009A267C">
        <w:rPr>
          <w:rStyle w:val="EndnoteReference"/>
          <w:rFonts w:cs="Open Sans"/>
        </w:rPr>
        <w:endnoteRef/>
      </w:r>
      <w:r w:rsidRPr="009A267C">
        <w:rPr>
          <w:rFonts w:cs="Open Sans"/>
        </w:rPr>
        <w:t xml:space="preserve"> A Gender Agenda, Submission 52,</w:t>
      </w:r>
      <w:r w:rsidRPr="009A267C">
        <w:rPr>
          <w:rFonts w:cs="Open Sans"/>
          <w:i/>
          <w:iCs/>
        </w:rPr>
        <w:t xml:space="preserve"> Intersex Inquiry</w:t>
      </w:r>
      <w:r w:rsidRPr="009A267C">
        <w:rPr>
          <w:rFonts w:cs="Open Sans"/>
        </w:rPr>
        <w:t xml:space="preserve">, </w:t>
      </w:r>
      <w:r w:rsidRPr="009A267C">
        <w:rPr>
          <w:rFonts w:cs="Open Sans"/>
          <w:lang w:val="en-US"/>
        </w:rPr>
        <w:t>2.</w:t>
      </w:r>
      <w:r w:rsidRPr="009A267C">
        <w:rPr>
          <w:rFonts w:cs="Open Sans"/>
        </w:rPr>
        <w:tab/>
      </w:r>
      <w:r w:rsidRPr="009A267C">
        <w:rPr>
          <w:rFonts w:cs="Open Sans"/>
        </w:rPr>
        <w:t>.</w:t>
      </w:r>
    </w:p>
  </w:endnote>
  <w:endnote w:id="125">
    <w:p w:rsidRPr="009A267C" w:rsidR="008C0259" w:rsidP="008C0259" w:rsidRDefault="008C0259" w14:paraId="39A5BE99" w14:textId="77777777">
      <w:pPr>
        <w:pStyle w:val="EndnoteText"/>
        <w:rPr>
          <w:rFonts w:cs="Open Sans"/>
        </w:rPr>
      </w:pPr>
      <w:r w:rsidRPr="009A267C">
        <w:rPr>
          <w:rStyle w:val="EndnoteReference"/>
          <w:rFonts w:cs="Open Sans"/>
        </w:rPr>
        <w:endnoteRef/>
      </w:r>
      <w:r w:rsidRPr="009A267C">
        <w:rPr>
          <w:rFonts w:cs="Open Sans"/>
        </w:rPr>
        <w:t xml:space="preserve"> Submission 21,</w:t>
      </w:r>
      <w:r w:rsidRPr="009A267C">
        <w:rPr>
          <w:rFonts w:cs="Open Sans"/>
          <w:i/>
          <w:iCs/>
        </w:rPr>
        <w:t xml:space="preserve"> Intersex Inquiry</w:t>
      </w:r>
      <w:r w:rsidRPr="009A267C">
        <w:rPr>
          <w:rFonts w:cs="Open Sans"/>
        </w:rPr>
        <w:t>.</w:t>
      </w:r>
    </w:p>
  </w:endnote>
  <w:endnote w:id="126">
    <w:p w:rsidRPr="009A267C" w:rsidR="008C0259" w:rsidP="008C0259" w:rsidRDefault="008C0259" w14:paraId="268DD2F8" w14:textId="77777777">
      <w:pPr>
        <w:pStyle w:val="EndnoteText"/>
        <w:rPr>
          <w:rFonts w:cs="Open Sans"/>
          <w:lang w:val="en-US"/>
        </w:rPr>
      </w:pPr>
      <w:r w:rsidRPr="009A267C">
        <w:rPr>
          <w:rStyle w:val="EndnoteReference"/>
          <w:rFonts w:cs="Open Sans"/>
        </w:rPr>
        <w:endnoteRef/>
      </w:r>
      <w:r w:rsidRPr="009A267C">
        <w:rPr>
          <w:rFonts w:cs="Open Sans"/>
        </w:rPr>
        <w:t xml:space="preserve"> </w:t>
      </w:r>
      <w:r w:rsidRPr="009A267C">
        <w:rPr>
          <w:rFonts w:cs="Open Sans"/>
          <w:lang w:val="en-US"/>
        </w:rPr>
        <w:t>Submission 67,</w:t>
      </w:r>
      <w:r w:rsidRPr="009A267C">
        <w:rPr>
          <w:rFonts w:cs="Open Sans"/>
          <w:i/>
          <w:iCs/>
        </w:rPr>
        <w:t xml:space="preserve"> Intersex Inquiry</w:t>
      </w:r>
      <w:r w:rsidRPr="009A267C">
        <w:rPr>
          <w:rFonts w:cs="Open Sans"/>
          <w:lang w:val="en-US"/>
        </w:rPr>
        <w:t xml:space="preserve">. </w:t>
      </w:r>
    </w:p>
  </w:endnote>
  <w:endnote w:id="127">
    <w:p w:rsidRPr="009A267C" w:rsidR="008C0259" w:rsidP="008C0259" w:rsidRDefault="008C0259" w14:paraId="29E33056" w14:textId="77777777">
      <w:pPr>
        <w:pStyle w:val="EndnoteText"/>
        <w:rPr>
          <w:rFonts w:cs="Open Sans"/>
        </w:rPr>
      </w:pPr>
      <w:r w:rsidRPr="009A267C">
        <w:rPr>
          <w:rStyle w:val="EndnoteReference"/>
          <w:rFonts w:cs="Open Sans"/>
        </w:rPr>
        <w:endnoteRef/>
      </w:r>
      <w:r w:rsidRPr="009A267C">
        <w:rPr>
          <w:rFonts w:cs="Open Sans"/>
        </w:rPr>
        <w:t xml:space="preserve"> Senate Community Affairs References Committee, Parliament of Australia, </w:t>
      </w:r>
      <w:r w:rsidRPr="009A267C">
        <w:rPr>
          <w:rFonts w:cs="Open Sans"/>
          <w:i/>
        </w:rPr>
        <w:t>Involuntary or coerced sterilisation of intersex people in Australia</w:t>
      </w:r>
      <w:r w:rsidRPr="009A267C">
        <w:rPr>
          <w:rFonts w:cs="Open Sans"/>
        </w:rPr>
        <w:t xml:space="preserve"> (2013), 74 &lt;</w:t>
      </w:r>
      <w:hyperlink w:history="1" r:id="rId16">
        <w:r w:rsidRPr="009A267C">
          <w:rPr>
            <w:rStyle w:val="Hyperlink"/>
            <w:rFonts w:cs="Open Sans"/>
          </w:rPr>
          <w:t>http://www.aph.gov.au/Parliamentary_Business/Committees/Senate/Community_Affairs/Involuntary_Sterilisation/Sec_Report/~/media/Committees/Senate/committee/clac_ctte/involuntary_sterilisation/second_report/report.ashx</w:t>
        </w:r>
      </w:hyperlink>
      <w:r w:rsidRPr="009A267C">
        <w:rPr>
          <w:rFonts w:cs="Open Sans"/>
        </w:rPr>
        <w:t>&gt;</w:t>
      </w:r>
    </w:p>
  </w:endnote>
  <w:endnote w:id="128">
    <w:p w:rsidRPr="00F23926" w:rsidR="00F23926" w:rsidRDefault="00F23926" w14:paraId="44A04FF0" w14:textId="67457841">
      <w:pPr>
        <w:pStyle w:val="EndnoteText"/>
        <w:rPr>
          <w:lang w:val="en-US"/>
        </w:rPr>
      </w:pPr>
      <w:r>
        <w:rPr>
          <w:rStyle w:val="EndnoteReference"/>
        </w:rPr>
        <w:endnoteRef/>
      </w:r>
      <w:r>
        <w:t xml:space="preserve"> </w:t>
      </w:r>
      <w:r w:rsidR="0084625A">
        <w:rPr>
          <w:i/>
          <w:iCs/>
        </w:rPr>
        <w:t xml:space="preserve">Sex Discrimination Act 1984 </w:t>
      </w:r>
      <w:r w:rsidR="0084625A">
        <w:t>(Cth)</w:t>
      </w:r>
      <w:r w:rsidRPr="0084625A" w:rsidR="0084625A">
        <w:t xml:space="preserve"> </w:t>
      </w:r>
      <w:r w:rsidR="0084625A">
        <w:t>s 5C</w:t>
      </w:r>
    </w:p>
  </w:endnote>
  <w:endnote w:id="129">
    <w:p w:rsidRPr="009A267C" w:rsidR="008C0259" w:rsidP="008C0259" w:rsidRDefault="008C0259" w14:paraId="0BC22E95" w14:textId="036896F8">
      <w:pPr>
        <w:pStyle w:val="EndnoteText"/>
        <w:rPr>
          <w:rFonts w:cs="Open Sans"/>
          <w:lang w:val="en-US"/>
        </w:rPr>
      </w:pPr>
      <w:r w:rsidRPr="009A267C">
        <w:rPr>
          <w:rStyle w:val="EndnoteReference"/>
          <w:rFonts w:cs="Open Sans"/>
        </w:rPr>
        <w:endnoteRef/>
      </w:r>
      <w:r w:rsidRPr="009A267C">
        <w:rPr>
          <w:rFonts w:cs="Open Sans"/>
        </w:rPr>
        <w:t xml:space="preserve"> See Chapter </w:t>
      </w:r>
      <w:r w:rsidR="00855BB5">
        <w:rPr>
          <w:rFonts w:cs="Open Sans"/>
        </w:rPr>
        <w:t>6</w:t>
      </w:r>
      <w:r w:rsidRPr="009A267C">
        <w:rPr>
          <w:rFonts w:cs="Open Sans"/>
        </w:rPr>
        <w:t xml:space="preserve"> </w:t>
      </w:r>
      <w:r w:rsidRPr="00E17E34">
        <w:rPr>
          <w:rFonts w:cs="Open Sans"/>
        </w:rPr>
        <w:t>(</w:t>
      </w:r>
      <w:r w:rsidRPr="00E17E34" w:rsidR="00855BB5">
        <w:rPr>
          <w:rFonts w:cs="Open Sans"/>
        </w:rPr>
        <w:t>new National</w:t>
      </w:r>
      <w:r w:rsidRPr="00E17E34">
        <w:rPr>
          <w:rFonts w:cs="Open Sans"/>
        </w:rPr>
        <w:t xml:space="preserve"> </w:t>
      </w:r>
      <w:r w:rsidRPr="00E17E34" w:rsidR="00855BB5">
        <w:rPr>
          <w:rFonts w:cs="Open Sans"/>
        </w:rPr>
        <w:t>Guidelines</w:t>
      </w:r>
      <w:r w:rsidRPr="00E17E34">
        <w:rPr>
          <w:rFonts w:cs="Open Sans"/>
        </w:rPr>
        <w:t xml:space="preserve">), Chapter </w:t>
      </w:r>
      <w:r w:rsidRPr="00E17E34" w:rsidR="008E1EBB">
        <w:rPr>
          <w:rFonts w:cs="Open Sans"/>
        </w:rPr>
        <w:t>9</w:t>
      </w:r>
      <w:r w:rsidRPr="00E17E34">
        <w:rPr>
          <w:rFonts w:cs="Open Sans"/>
        </w:rPr>
        <w:t xml:space="preserve"> (</w:t>
      </w:r>
      <w:r w:rsidRPr="00E17E34" w:rsidR="008E1EBB">
        <w:rPr>
          <w:rFonts w:cs="Open Sans"/>
        </w:rPr>
        <w:t>S</w:t>
      </w:r>
      <w:r w:rsidRPr="00E17E34">
        <w:rPr>
          <w:rFonts w:cs="Open Sans"/>
        </w:rPr>
        <w:t>upport</w:t>
      </w:r>
      <w:r w:rsidRPr="00E17E34" w:rsidR="008E1EBB">
        <w:rPr>
          <w:rFonts w:cs="Open Sans"/>
        </w:rPr>
        <w:t xml:space="preserve"> and health</w:t>
      </w:r>
      <w:r w:rsidRPr="00E17E34">
        <w:rPr>
          <w:rFonts w:cs="Open Sans"/>
        </w:rPr>
        <w:t xml:space="preserve"> records), Chapter </w:t>
      </w:r>
      <w:r w:rsidRPr="00E17E34" w:rsidR="00E17E34">
        <w:rPr>
          <w:rFonts w:cs="Open Sans"/>
        </w:rPr>
        <w:t>4</w:t>
      </w:r>
      <w:r w:rsidRPr="00E17E34">
        <w:rPr>
          <w:rFonts w:cs="Open Sans"/>
        </w:rPr>
        <w:t>, (</w:t>
      </w:r>
      <w:r w:rsidRPr="00E17E34" w:rsidR="00E17E34">
        <w:rPr>
          <w:rFonts w:cs="Open Sans"/>
        </w:rPr>
        <w:t>Informed c</w:t>
      </w:r>
      <w:r w:rsidRPr="00E17E34">
        <w:rPr>
          <w:rFonts w:cs="Open Sans"/>
        </w:rPr>
        <w:t xml:space="preserve">onsent), and Chapter </w:t>
      </w:r>
      <w:r w:rsidRPr="00E17E34" w:rsidR="00E17E34">
        <w:rPr>
          <w:rFonts w:cs="Open Sans"/>
        </w:rPr>
        <w:t>5</w:t>
      </w:r>
      <w:r w:rsidRPr="00E17E34">
        <w:rPr>
          <w:rFonts w:cs="Open Sans"/>
        </w:rPr>
        <w:t xml:space="preserve"> (</w:t>
      </w:r>
      <w:r w:rsidRPr="00E17E34" w:rsidR="00E17E34">
        <w:rPr>
          <w:rFonts w:cs="Open Sans"/>
        </w:rPr>
        <w:t>Medical necessity</w:t>
      </w:r>
      <w:r w:rsidRPr="00E17E34">
        <w:rPr>
          <w:rFonts w:cs="Open Sans"/>
        </w:rPr>
        <w:t xml:space="preserve"> </w:t>
      </w:r>
      <w:r w:rsidRPr="00E17E34" w:rsidR="00E17E34">
        <w:rPr>
          <w:rFonts w:cs="Open Sans"/>
        </w:rPr>
        <w:t xml:space="preserve">of </w:t>
      </w:r>
      <w:r w:rsidRPr="00E17E34">
        <w:rPr>
          <w:rFonts w:cs="Open Sans"/>
        </w:rPr>
        <w:t>interventions).</w:t>
      </w:r>
    </w:p>
  </w:endnote>
  <w:endnote w:id="130">
    <w:p w:rsidRPr="004017BD" w:rsidR="005C4CC3" w:rsidP="005C4CC3" w:rsidRDefault="005C4CC3" w14:paraId="056ADD6E" w14:textId="77777777">
      <w:pPr>
        <w:pStyle w:val="EndnoteText"/>
        <w:rPr>
          <w:lang w:val="en-US"/>
        </w:rPr>
      </w:pPr>
      <w:r>
        <w:rPr>
          <w:rStyle w:val="EndnoteReference"/>
        </w:rPr>
        <w:endnoteRef/>
      </w:r>
      <w:r>
        <w:t xml:space="preserve"> </w:t>
      </w:r>
      <w:r w:rsidRPr="00417EB4">
        <w:rPr>
          <w:rFonts w:cs="Open Sans"/>
          <w:i/>
          <w:iCs/>
        </w:rPr>
        <w:t>Secretary, Department of Health and Community Services v JWB and SMB</w:t>
      </w:r>
      <w:r w:rsidRPr="00417EB4">
        <w:rPr>
          <w:rFonts w:cs="Open Sans"/>
        </w:rPr>
        <w:t xml:space="preserve"> (1992) 175 CLR 218, 23</w:t>
      </w:r>
      <w:r>
        <w:rPr>
          <w:rFonts w:cs="Open Sans"/>
        </w:rPr>
        <w:t>2–233</w:t>
      </w:r>
      <w:r w:rsidRPr="00417EB4">
        <w:rPr>
          <w:rFonts w:cs="Open Sans"/>
        </w:rPr>
        <w:t xml:space="preserve"> (Mason CJ, Dawson, Toohey &amp; Gaudron JJ)</w:t>
      </w:r>
      <w:r>
        <w:rPr>
          <w:rFonts w:cs="Open Sans"/>
        </w:rPr>
        <w:t>.</w:t>
      </w:r>
    </w:p>
  </w:endnote>
  <w:endnote w:id="131">
    <w:p w:rsidRPr="004017BD" w:rsidR="005C4CC3" w:rsidP="005C4CC3" w:rsidRDefault="005C4CC3" w14:paraId="6FBD74D6" w14:textId="77777777">
      <w:pPr>
        <w:pStyle w:val="EndnoteText"/>
        <w:rPr>
          <w:lang w:val="en-US"/>
        </w:rPr>
      </w:pPr>
      <w:r>
        <w:rPr>
          <w:rStyle w:val="EndnoteReference"/>
        </w:rPr>
        <w:endnoteRef/>
      </w:r>
      <w:r>
        <w:t xml:space="preserve"> </w:t>
      </w:r>
      <w:r>
        <w:rPr>
          <w:lang w:val="en-US"/>
        </w:rPr>
        <w:t xml:space="preserve">ICCPR, art 9; Human Rights Committee, </w:t>
      </w:r>
      <w:r w:rsidRPr="004017BD">
        <w:rPr>
          <w:i/>
          <w:iCs/>
          <w:lang w:val="en-US"/>
        </w:rPr>
        <w:t>General Comment No. 35 Article 9 (Liberty and security of person)</w:t>
      </w:r>
      <w:r>
        <w:rPr>
          <w:lang w:val="en-US"/>
        </w:rPr>
        <w:t>, UN Doc CCPR/C/GC/35 (16 December 2014).</w:t>
      </w:r>
    </w:p>
  </w:endnote>
  <w:endnote w:id="132">
    <w:p w:rsidR="005C4CC3" w:rsidP="005C4CC3" w:rsidRDefault="005C4CC3" w14:paraId="52383891" w14:textId="77777777">
      <w:pPr>
        <w:pStyle w:val="EndnoteText"/>
      </w:pPr>
      <w:r>
        <w:rPr>
          <w:rStyle w:val="EndnoteReference"/>
        </w:rPr>
        <w:endnoteRef/>
      </w:r>
      <w:r>
        <w:t xml:space="preserve"> </w:t>
      </w:r>
      <w:r w:rsidRPr="00417EB4">
        <w:rPr>
          <w:rFonts w:cs="Open Sans"/>
          <w:i/>
          <w:lang w:val="en-US"/>
        </w:rPr>
        <w:t>Rogers v Whitaker</w:t>
      </w:r>
      <w:r w:rsidRPr="00417EB4">
        <w:rPr>
          <w:rFonts w:cs="Open Sans"/>
          <w:lang w:val="en-US"/>
        </w:rPr>
        <w:t xml:space="preserve"> (1992) 175 CLR 479, </w:t>
      </w:r>
      <w:r>
        <w:rPr>
          <w:rFonts w:cs="Open Sans"/>
          <w:lang w:val="en-US"/>
        </w:rPr>
        <w:t>490.</w:t>
      </w:r>
    </w:p>
  </w:endnote>
  <w:endnote w:id="133">
    <w:p w:rsidRPr="00FA0C5F" w:rsidR="005C4CC3" w:rsidP="005C4CC3" w:rsidRDefault="005C4CC3" w14:paraId="51DEF235" w14:textId="77777777">
      <w:pPr>
        <w:pStyle w:val="EndnoteText"/>
        <w:rPr>
          <w:rFonts w:eastAsia="Times New Roman"/>
        </w:rPr>
      </w:pPr>
      <w:r w:rsidRPr="00417EB4">
        <w:rPr>
          <w:rStyle w:val="EndnoteReference"/>
        </w:rPr>
        <w:endnoteRef/>
      </w:r>
      <w:r>
        <w:t xml:space="preserve"> </w:t>
      </w:r>
      <w:r w:rsidRPr="00417EB4">
        <w:t xml:space="preserve">For example, in NSW, medical interventions without personal consent can be authorised under the </w:t>
      </w:r>
      <w:r w:rsidRPr="00417EB4">
        <w:rPr>
          <w:i/>
          <w:iCs/>
        </w:rPr>
        <w:t xml:space="preserve">Mental Health Act 2007 </w:t>
      </w:r>
      <w:r w:rsidRPr="00417EB4">
        <w:t xml:space="preserve">(NSW), the </w:t>
      </w:r>
      <w:r w:rsidRPr="00417EB4">
        <w:rPr>
          <w:i/>
          <w:iCs/>
        </w:rPr>
        <w:t>Guardianship Act 1987</w:t>
      </w:r>
      <w:r w:rsidRPr="00417EB4">
        <w:t xml:space="preserve"> (NSW), the </w:t>
      </w:r>
      <w:r w:rsidRPr="00417EB4">
        <w:rPr>
          <w:i/>
          <w:iCs/>
        </w:rPr>
        <w:t>Public Health Act 2010</w:t>
      </w:r>
      <w:r w:rsidRPr="00417EB4">
        <w:t xml:space="preserve"> (NSW) and the </w:t>
      </w:r>
      <w:r w:rsidRPr="00417EB4">
        <w:rPr>
          <w:i/>
          <w:iCs/>
        </w:rPr>
        <w:t>Children and Young Persons (Care and Protection) Act 1998</w:t>
      </w:r>
      <w:r w:rsidRPr="00417EB4">
        <w:t xml:space="preserve"> (NSW).</w:t>
      </w:r>
    </w:p>
  </w:endnote>
  <w:endnote w:id="134">
    <w:p w:rsidRPr="00417EB4" w:rsidR="005C4CC3" w:rsidP="005C4CC3" w:rsidRDefault="005C4CC3" w14:paraId="70FECBCB" w14:textId="77777777">
      <w:pPr>
        <w:pStyle w:val="EndnoteText"/>
        <w:rPr>
          <w:rFonts w:cs="Open Sans"/>
          <w:lang w:val="en-US"/>
        </w:rPr>
      </w:pPr>
      <w:r w:rsidRPr="00417EB4">
        <w:rPr>
          <w:rStyle w:val="EndnoteReference"/>
          <w:rFonts w:cs="Open Sans"/>
        </w:rPr>
        <w:endnoteRef/>
      </w:r>
      <w:r w:rsidRPr="00417EB4">
        <w:rPr>
          <w:rFonts w:cs="Open Sans"/>
        </w:rPr>
        <w:t xml:space="preserve"> </w:t>
      </w:r>
      <w:r w:rsidRPr="142DBD8A">
        <w:rPr>
          <w:rFonts w:cs="Open Sans"/>
          <w:i/>
          <w:iCs/>
          <w:lang w:val="en-US"/>
        </w:rPr>
        <w:t>Rogers v Whitaker</w:t>
      </w:r>
      <w:r w:rsidRPr="00417EB4">
        <w:rPr>
          <w:rFonts w:cs="Open Sans"/>
          <w:lang w:val="en-US"/>
        </w:rPr>
        <w:t xml:space="preserve"> (1992) 175 CLR 479, 487; </w:t>
      </w:r>
      <w:r w:rsidRPr="142DBD8A">
        <w:rPr>
          <w:rFonts w:cs="Open Sans"/>
          <w:i/>
          <w:iCs/>
        </w:rPr>
        <w:t>Mercy Hospitals Victoria v D1 &amp; Anor</w:t>
      </w:r>
      <w:r w:rsidRPr="00417EB4">
        <w:rPr>
          <w:rFonts w:cs="Open Sans"/>
        </w:rPr>
        <w:t xml:space="preserve"> [2018] VSC 519, paragraph 66, citing the </w:t>
      </w:r>
      <w:r w:rsidRPr="142DBD8A">
        <w:rPr>
          <w:rFonts w:cs="Open Sans"/>
          <w:i/>
          <w:iCs/>
        </w:rPr>
        <w:t>Medical Treatment Planning and Decisions Act 2016</w:t>
      </w:r>
      <w:r w:rsidRPr="00417EB4">
        <w:rPr>
          <w:rFonts w:cs="Open Sans"/>
        </w:rPr>
        <w:t xml:space="preserve"> (Vic). For discussion of the emergency exception in common law, see </w:t>
      </w:r>
      <w:r w:rsidRPr="142DBD8A">
        <w:rPr>
          <w:rFonts w:cs="Open Sans"/>
          <w:i/>
          <w:iCs/>
        </w:rPr>
        <w:t>Wilson v Pringle</w:t>
      </w:r>
      <w:r w:rsidRPr="00417EB4">
        <w:rPr>
          <w:rFonts w:cs="Open Sans"/>
        </w:rPr>
        <w:t xml:space="preserve"> [1987] 1 QB 237, 252 (Croom</w:t>
      </w:r>
      <w:r w:rsidRPr="00417EB4">
        <w:rPr>
          <w:rFonts w:cs="Open Sans"/>
        </w:rPr>
        <w:noBreakHyphen/>
        <w:t xml:space="preserve">Johnson LJ); </w:t>
      </w:r>
      <w:r w:rsidRPr="142DBD8A">
        <w:rPr>
          <w:rFonts w:cs="Open Sans"/>
          <w:i/>
          <w:iCs/>
        </w:rPr>
        <w:t>Marshall v Curry</w:t>
      </w:r>
      <w:r w:rsidRPr="00417EB4">
        <w:rPr>
          <w:rFonts w:cs="Open Sans"/>
        </w:rPr>
        <w:t xml:space="preserve"> [1933] 3 DLR 260; </w:t>
      </w:r>
      <w:r w:rsidRPr="142DBD8A">
        <w:rPr>
          <w:rFonts w:cs="Open Sans"/>
          <w:i/>
          <w:iCs/>
        </w:rPr>
        <w:t>Murray v McMurchy</w:t>
      </w:r>
      <w:r w:rsidRPr="00417EB4">
        <w:rPr>
          <w:rFonts w:cs="Open Sans"/>
        </w:rPr>
        <w:t xml:space="preserve"> [1949] 2 DLR 442. See also </w:t>
      </w:r>
      <w:r w:rsidRPr="142DBD8A">
        <w:rPr>
          <w:rFonts w:cs="Open Sans"/>
          <w:i/>
          <w:iCs/>
        </w:rPr>
        <w:t xml:space="preserve">Re A (children) (conjoined twins: surgical separation) </w:t>
      </w:r>
      <w:r w:rsidRPr="00417EB4">
        <w:rPr>
          <w:rFonts w:cs="Open Sans"/>
        </w:rPr>
        <w:t>[2000] 4 All ER 961.</w:t>
      </w:r>
    </w:p>
  </w:endnote>
  <w:endnote w:id="135">
    <w:p w:rsidRPr="00417EB4" w:rsidR="005C4CC3" w:rsidP="005C4CC3" w:rsidRDefault="005C4CC3" w14:paraId="79DD2434" w14:textId="77777777">
      <w:pPr>
        <w:pStyle w:val="EndnoteText"/>
        <w:rPr>
          <w:rFonts w:cs="Open Sans"/>
          <w:lang w:val="en-US"/>
        </w:rPr>
      </w:pPr>
      <w:r w:rsidRPr="00417EB4">
        <w:rPr>
          <w:rStyle w:val="EndnoteReference"/>
          <w:rFonts w:cs="Open Sans"/>
        </w:rPr>
        <w:endnoteRef/>
      </w:r>
      <w:r w:rsidRPr="00417EB4">
        <w:rPr>
          <w:rFonts w:cs="Open Sans"/>
        </w:rPr>
        <w:t xml:space="preserve"> </w:t>
      </w:r>
      <w:r w:rsidRPr="00417EB4">
        <w:rPr>
          <w:rFonts w:cs="Open Sans"/>
          <w:lang w:val="en-US"/>
        </w:rPr>
        <w:t>Some legislation recognises a statutory hierarchy of alternative decision</w:t>
      </w:r>
      <w:r>
        <w:rPr>
          <w:rFonts w:cs="Open Sans"/>
          <w:lang w:val="en-US"/>
        </w:rPr>
        <w:t xml:space="preserve"> </w:t>
      </w:r>
      <w:r w:rsidRPr="00417EB4">
        <w:rPr>
          <w:rFonts w:cs="Open Sans"/>
          <w:lang w:val="en-US"/>
        </w:rPr>
        <w:t xml:space="preserve">makers: see, eg, </w:t>
      </w:r>
      <w:r>
        <w:rPr>
          <w:rFonts w:cs="Open Sans"/>
          <w:lang w:val="en-US"/>
        </w:rPr>
        <w:t>s </w:t>
      </w:r>
      <w:r w:rsidRPr="00417EB4">
        <w:rPr>
          <w:rFonts w:cs="Open Sans"/>
          <w:lang w:val="en-US"/>
        </w:rPr>
        <w:t xml:space="preserve">55 of the </w:t>
      </w:r>
      <w:r w:rsidRPr="142DBD8A">
        <w:rPr>
          <w:rFonts w:cs="Open Sans"/>
          <w:i/>
          <w:iCs/>
          <w:lang w:val="en-US"/>
        </w:rPr>
        <w:t>Medical Treatment Planning and Decisions Act 2016</w:t>
      </w:r>
      <w:r w:rsidRPr="00417EB4">
        <w:rPr>
          <w:rFonts w:cs="Open Sans"/>
          <w:lang w:val="en-US"/>
        </w:rPr>
        <w:t xml:space="preserve"> (Vic).</w:t>
      </w:r>
    </w:p>
  </w:endnote>
  <w:endnote w:id="136">
    <w:p w:rsidRPr="00417EB4" w:rsidR="005C4CC3" w:rsidP="005C4CC3" w:rsidRDefault="005C4CC3" w14:paraId="33C2C9AA" w14:textId="77777777">
      <w:pPr>
        <w:pStyle w:val="EndnoteText"/>
        <w:rPr>
          <w:rFonts w:cs="Open Sans"/>
        </w:rPr>
      </w:pPr>
      <w:r w:rsidRPr="00417EB4">
        <w:rPr>
          <w:rStyle w:val="EndnoteReference"/>
          <w:rFonts w:cs="Open Sans"/>
        </w:rPr>
        <w:endnoteRef/>
      </w:r>
      <w:r w:rsidRPr="00417EB4">
        <w:rPr>
          <w:rFonts w:cs="Open Sans"/>
        </w:rPr>
        <w:t xml:space="preserve"> Such information might include a ‘do not resuscitate’ notation on the person’s records or a card identifying the patient as a Jehovah’s Witness and indicating that blood products should not be administered: see </w:t>
      </w:r>
      <w:r w:rsidRPr="142DBD8A">
        <w:rPr>
          <w:rFonts w:cs="Open Sans"/>
          <w:i/>
          <w:iCs/>
        </w:rPr>
        <w:t>Malette v Shulman</w:t>
      </w:r>
      <w:r w:rsidRPr="00417EB4">
        <w:rPr>
          <w:rFonts w:cs="Open Sans"/>
        </w:rPr>
        <w:t xml:space="preserve"> 67 DLR (4th) 321 (1990). </w:t>
      </w:r>
      <w:r w:rsidRPr="142DBD8A">
        <w:rPr>
          <w:rFonts w:cs="Open Sans"/>
          <w:i/>
          <w:iCs/>
        </w:rPr>
        <w:t>Malette v Shulman</w:t>
      </w:r>
      <w:r w:rsidRPr="00417EB4">
        <w:rPr>
          <w:rFonts w:cs="Open Sans"/>
        </w:rPr>
        <w:t xml:space="preserve"> was cited with approval in the 2013 Court of Appeal decision in </w:t>
      </w:r>
      <w:r w:rsidRPr="142DBD8A">
        <w:rPr>
          <w:rFonts w:cs="Open Sans"/>
          <w:i/>
          <w:iCs/>
        </w:rPr>
        <w:t>X v Sydney Children’s Hospital Network</w:t>
      </w:r>
      <w:r w:rsidRPr="00417EB4">
        <w:rPr>
          <w:rFonts w:cs="Open Sans"/>
        </w:rPr>
        <w:t xml:space="preserve"> (2013) 85 NSWLR 294 (which presented the novel feature of the young person’s refusal extending to refusal of transfusion with his own blood products: see paragraph 4). See also </w:t>
      </w:r>
      <w:r w:rsidRPr="142DBD8A">
        <w:rPr>
          <w:rFonts w:cs="Open Sans"/>
          <w:i/>
          <w:iCs/>
        </w:rPr>
        <w:t>Re F (a mental patient: sterilisation)</w:t>
      </w:r>
      <w:r w:rsidRPr="00417EB4">
        <w:rPr>
          <w:rFonts w:cs="Open Sans"/>
        </w:rPr>
        <w:t xml:space="preserve"> [1990] 2 AC 1.</w:t>
      </w:r>
    </w:p>
  </w:endnote>
  <w:endnote w:id="137">
    <w:p w:rsidRPr="00757869" w:rsidR="005C4CC3" w:rsidP="005C4CC3" w:rsidRDefault="005C4CC3" w14:paraId="52BF5274" w14:textId="77777777">
      <w:pPr>
        <w:pStyle w:val="EndnoteText"/>
        <w:rPr>
          <w:lang w:val="en-US"/>
        </w:rPr>
      </w:pPr>
      <w:r>
        <w:rPr>
          <w:rStyle w:val="EndnoteReference"/>
        </w:rPr>
        <w:endnoteRef/>
      </w:r>
      <w:r>
        <w:t xml:space="preserve"> Eg, </w:t>
      </w:r>
      <w:r w:rsidRPr="00E701AC">
        <w:rPr>
          <w:i/>
          <w:iCs/>
        </w:rPr>
        <w:t>Guardianship Act 1987</w:t>
      </w:r>
      <w:r>
        <w:t xml:space="preserve"> (NSW), Part 2.</w:t>
      </w:r>
    </w:p>
  </w:endnote>
  <w:endnote w:id="138">
    <w:p w:rsidRPr="00417EB4" w:rsidR="005C4CC3" w:rsidP="005C4CC3" w:rsidRDefault="005C4CC3" w14:paraId="10CB01DD" w14:textId="77777777">
      <w:pPr>
        <w:pStyle w:val="EndnoteText"/>
        <w:rPr>
          <w:rFonts w:cs="Open Sans"/>
          <w:lang w:val="en-US"/>
        </w:rPr>
      </w:pPr>
      <w:r w:rsidRPr="00417EB4">
        <w:rPr>
          <w:rStyle w:val="EndnoteReference"/>
          <w:rFonts w:cs="Open Sans"/>
        </w:rPr>
        <w:endnoteRef/>
      </w:r>
      <w:r w:rsidRPr="00417EB4">
        <w:rPr>
          <w:rFonts w:cs="Open Sans"/>
        </w:rPr>
        <w:t xml:space="preserve"> </w:t>
      </w:r>
      <w:r w:rsidRPr="007E1EAA">
        <w:rPr>
          <w:rFonts w:cs="Open Sans"/>
          <w:lang w:val="en-US"/>
        </w:rPr>
        <w:t xml:space="preserve">Eg </w:t>
      </w:r>
      <w:r w:rsidRPr="00757869">
        <w:rPr>
          <w:rFonts w:cs="Open Sans"/>
          <w:i/>
          <w:iCs/>
          <w:lang w:val="en-US"/>
        </w:rPr>
        <w:t>Guardianship Act 1987</w:t>
      </w:r>
      <w:r w:rsidRPr="00757869">
        <w:rPr>
          <w:rFonts w:cs="Open Sans"/>
          <w:lang w:val="en-US"/>
        </w:rPr>
        <w:t xml:space="preserve"> (NSW), </w:t>
      </w:r>
      <w:r w:rsidRPr="007E1EAA">
        <w:rPr>
          <w:rFonts w:cs="Open Sans"/>
          <w:i/>
          <w:lang w:val="en-US"/>
        </w:rPr>
        <w:t>Guardianship and Administration Act 2019</w:t>
      </w:r>
      <w:r w:rsidRPr="007E1EAA">
        <w:rPr>
          <w:rFonts w:cs="Open Sans"/>
          <w:lang w:val="en-US"/>
        </w:rPr>
        <w:t xml:space="preserve"> (Vic), </w:t>
      </w:r>
      <w:r w:rsidRPr="007E1EAA">
        <w:rPr>
          <w:rFonts w:cs="Open Sans"/>
          <w:i/>
          <w:lang w:val="en-US"/>
        </w:rPr>
        <w:t>Guardianship and Administration Act 2000</w:t>
      </w:r>
      <w:r w:rsidRPr="007E1EAA">
        <w:rPr>
          <w:rFonts w:cs="Open Sans"/>
          <w:lang w:val="en-US"/>
        </w:rPr>
        <w:t xml:space="preserve"> (Qld).</w:t>
      </w:r>
    </w:p>
  </w:endnote>
  <w:endnote w:id="139">
    <w:p w:rsidRPr="00757869" w:rsidR="005C4CC3" w:rsidP="005C4CC3" w:rsidRDefault="005C4CC3" w14:paraId="571326F8" w14:textId="77777777">
      <w:pPr>
        <w:pStyle w:val="EndnoteText"/>
        <w:rPr>
          <w:lang w:val="en-US"/>
        </w:rPr>
      </w:pPr>
      <w:r>
        <w:rPr>
          <w:rStyle w:val="EndnoteReference"/>
        </w:rPr>
        <w:endnoteRef/>
      </w:r>
      <w:r>
        <w:t xml:space="preserve"> </w:t>
      </w:r>
      <w:r w:rsidRPr="00757869">
        <w:rPr>
          <w:i/>
          <w:iCs/>
          <w:lang w:val="en-US"/>
        </w:rPr>
        <w:t>Hunter New England Area Health Service v A</w:t>
      </w:r>
      <w:r>
        <w:rPr>
          <w:lang w:val="en-US"/>
        </w:rPr>
        <w:t xml:space="preserve"> [2009] NSWSC 761.</w:t>
      </w:r>
    </w:p>
  </w:endnote>
  <w:endnote w:id="140">
    <w:p w:rsidR="005C4CC3" w:rsidP="005C4CC3" w:rsidRDefault="005C4CC3" w14:paraId="14CACDF7" w14:textId="77777777">
      <w:pPr>
        <w:pStyle w:val="EndnoteText"/>
      </w:pPr>
      <w:r>
        <w:rPr>
          <w:rStyle w:val="EndnoteReference"/>
        </w:rPr>
        <w:endnoteRef/>
      </w:r>
      <w:r>
        <w:t xml:space="preserve"> </w:t>
      </w:r>
      <w:r w:rsidRPr="00417EB4">
        <w:rPr>
          <w:rFonts w:cs="Open Sans"/>
        </w:rPr>
        <w:t xml:space="preserve">Australian Government, Australian Law Reform Commission, </w:t>
      </w:r>
      <w:r w:rsidRPr="00417EB4">
        <w:rPr>
          <w:rFonts w:cs="Open Sans"/>
          <w:i/>
          <w:iCs/>
        </w:rPr>
        <w:t>Equality, Capacity and Disability in Commonwealth Laws</w:t>
      </w:r>
      <w:r w:rsidRPr="00417EB4">
        <w:rPr>
          <w:rFonts w:cs="Open Sans"/>
        </w:rPr>
        <w:t>, (</w:t>
      </w:r>
      <w:r>
        <w:rPr>
          <w:rFonts w:cs="Open Sans"/>
        </w:rPr>
        <w:t>ALRC Report</w:t>
      </w:r>
      <w:r w:rsidRPr="00417EB4">
        <w:rPr>
          <w:rFonts w:cs="Open Sans"/>
        </w:rPr>
        <w:t xml:space="preserve"> 124, November 2014)</w:t>
      </w:r>
      <w:r>
        <w:rPr>
          <w:rFonts w:cs="Open Sans"/>
        </w:rPr>
        <w:t>, [10.50]</w:t>
      </w:r>
      <w:r w:rsidRPr="00417EB4">
        <w:rPr>
          <w:rFonts w:cs="Open Sans"/>
        </w:rPr>
        <w:t>.</w:t>
      </w:r>
    </w:p>
  </w:endnote>
  <w:endnote w:id="141">
    <w:p w:rsidRPr="00417EB4" w:rsidR="005C4CC3" w:rsidP="005C4CC3" w:rsidRDefault="005C4CC3" w14:paraId="434C365A" w14:textId="77777777">
      <w:pPr>
        <w:pStyle w:val="EndnoteText"/>
      </w:pPr>
      <w:r w:rsidRPr="00417EB4">
        <w:rPr>
          <w:rStyle w:val="EndnoteReference"/>
        </w:rPr>
        <w:endnoteRef/>
      </w:r>
      <w:r w:rsidRPr="00417EB4">
        <w:t xml:space="preserve"> </w:t>
      </w:r>
      <w:r w:rsidRPr="00417EB4">
        <w:rPr>
          <w:rFonts w:cs="Open Sans"/>
          <w:lang w:val="en-US"/>
        </w:rPr>
        <w:t xml:space="preserve">See eg </w:t>
      </w:r>
      <w:r w:rsidRPr="00417EB4">
        <w:rPr>
          <w:rFonts w:cs="Open Sans"/>
          <w:i/>
          <w:iCs/>
          <w:lang w:val="en-US"/>
        </w:rPr>
        <w:t>Gillick v West Norfolk and Wisbech Health Authority</w:t>
      </w:r>
      <w:r w:rsidRPr="00417EB4">
        <w:rPr>
          <w:rFonts w:cs="Open Sans"/>
          <w:lang w:val="en-US"/>
        </w:rPr>
        <w:t> [1986] AC 112, 169B-E.</w:t>
      </w:r>
    </w:p>
  </w:endnote>
  <w:endnote w:id="142">
    <w:p w:rsidR="005C4CC3" w:rsidP="005C4CC3" w:rsidRDefault="005C4CC3" w14:paraId="5DCDE852" w14:textId="77777777">
      <w:pPr>
        <w:pStyle w:val="EndnoteText"/>
      </w:pPr>
      <w:r>
        <w:rPr>
          <w:rStyle w:val="EndnoteReference"/>
        </w:rPr>
        <w:endnoteRef/>
      </w:r>
      <w:r>
        <w:t xml:space="preserve"> See eg, CRPD art 12.</w:t>
      </w:r>
    </w:p>
  </w:endnote>
  <w:endnote w:id="143">
    <w:p w:rsidRPr="00417EB4" w:rsidR="005C4CC3" w:rsidP="005C4CC3" w:rsidRDefault="005C4CC3" w14:paraId="3F567286" w14:textId="77777777">
      <w:pPr>
        <w:pStyle w:val="EndnoteText"/>
        <w:rPr>
          <w:rFonts w:cs="Open Sans"/>
          <w:lang w:val="en-US"/>
        </w:rPr>
      </w:pPr>
      <w:r w:rsidRPr="00417EB4">
        <w:rPr>
          <w:rStyle w:val="EndnoteReference"/>
          <w:rFonts w:cs="Open Sans"/>
        </w:rPr>
        <w:endnoteRef/>
      </w:r>
      <w:r>
        <w:rPr>
          <w:rFonts w:cs="Open Sans"/>
        </w:rPr>
        <w:t xml:space="preserve"> </w:t>
      </w:r>
      <w:r w:rsidRPr="00417EB4">
        <w:rPr>
          <w:rFonts w:cs="Open Sans"/>
        </w:rPr>
        <w:t xml:space="preserve">Australian Government, Australian Law Reform Commission, </w:t>
      </w:r>
      <w:r w:rsidRPr="00417EB4">
        <w:rPr>
          <w:rFonts w:cs="Open Sans"/>
          <w:i/>
          <w:iCs/>
        </w:rPr>
        <w:t>Equality, Capacity and Disability in Commonwealth Laws</w:t>
      </w:r>
      <w:r w:rsidRPr="00417EB4">
        <w:rPr>
          <w:rFonts w:cs="Open Sans"/>
        </w:rPr>
        <w:t>, (</w:t>
      </w:r>
      <w:r>
        <w:rPr>
          <w:rFonts w:cs="Open Sans"/>
        </w:rPr>
        <w:t>ALRC Report</w:t>
      </w:r>
      <w:r w:rsidRPr="00417EB4">
        <w:rPr>
          <w:rFonts w:cs="Open Sans"/>
        </w:rPr>
        <w:t xml:space="preserve"> 124, November 2014). </w:t>
      </w:r>
      <w:r w:rsidRPr="142DBD8A">
        <w:rPr>
          <w:rFonts w:cs="Open Sans"/>
          <w:lang w:val="en-US"/>
        </w:rPr>
        <w:t xml:space="preserve">See also </w:t>
      </w:r>
      <w:r w:rsidRPr="142DBD8A">
        <w:rPr>
          <w:rFonts w:cs="Open Sans"/>
        </w:rPr>
        <w:t>Australian Government, Australian Law Reform Commission</w:t>
      </w:r>
      <w:r w:rsidRPr="142DBD8A">
        <w:rPr>
          <w:rFonts w:cs="Open Sans"/>
          <w:lang w:val="en-US"/>
        </w:rPr>
        <w:t xml:space="preserve"> Report, </w:t>
      </w:r>
      <w:r w:rsidRPr="142DBD8A">
        <w:rPr>
          <w:rFonts w:cs="Open Sans"/>
          <w:i/>
          <w:iCs/>
          <w:lang w:val="en-US"/>
        </w:rPr>
        <w:t>Elder Abuse</w:t>
      </w:r>
      <w:r>
        <w:rPr>
          <w:rFonts w:cs="Open Sans"/>
          <w:i/>
          <w:iCs/>
          <w:lang w:val="en-US"/>
        </w:rPr>
        <w:t>:</w:t>
      </w:r>
      <w:r w:rsidRPr="142DBD8A">
        <w:rPr>
          <w:rFonts w:cs="Open Sans"/>
          <w:i/>
          <w:iCs/>
          <w:lang w:val="en-US"/>
        </w:rPr>
        <w:t> A National Legal Response</w:t>
      </w:r>
      <w:r w:rsidRPr="142DBD8A">
        <w:rPr>
          <w:rFonts w:cs="Open Sans"/>
          <w:lang w:val="en-US"/>
        </w:rPr>
        <w:t xml:space="preserve">, (ALRC Report 131 June 2017), which made recommendations to support the integrity and value of enduring documents. See also </w:t>
      </w:r>
      <w:r w:rsidRPr="142DBD8A">
        <w:rPr>
          <w:rFonts w:cs="Open Sans"/>
        </w:rPr>
        <w:t xml:space="preserve">J Chesterman, </w:t>
      </w:r>
      <w:r>
        <w:rPr>
          <w:rFonts w:cs="Open Sans"/>
        </w:rPr>
        <w:t>‘</w:t>
      </w:r>
      <w:r w:rsidRPr="142DBD8A">
        <w:rPr>
          <w:rFonts w:cs="Open Sans"/>
        </w:rPr>
        <w:t xml:space="preserve">Prioritising Patients’ Preferences: Victoria’s New Advance Planning and Medical Consent Legislation’ (2017) 25 </w:t>
      </w:r>
      <w:r w:rsidRPr="142DBD8A">
        <w:rPr>
          <w:rFonts w:cs="Open Sans"/>
          <w:i/>
          <w:iCs/>
        </w:rPr>
        <w:t>Journal of Law and Medicine</w:t>
      </w:r>
      <w:r w:rsidRPr="142DBD8A">
        <w:rPr>
          <w:rFonts w:cs="Open Sans"/>
        </w:rPr>
        <w:t xml:space="preserve"> 46, noting ‘a general international trend towards enabling patients and consumers of health services to have greater control over the treatment they receive.’ (at 46)</w:t>
      </w:r>
    </w:p>
  </w:endnote>
  <w:endnote w:id="144">
    <w:p w:rsidRPr="00417EB4" w:rsidR="005C4CC3" w:rsidP="005C4CC3" w:rsidRDefault="005C4CC3" w14:paraId="72744542" w14:textId="77777777">
      <w:pPr>
        <w:pStyle w:val="EndnoteText"/>
        <w:rPr>
          <w:lang w:val="en-US"/>
        </w:rPr>
      </w:pPr>
      <w:r w:rsidRPr="00417EB4">
        <w:rPr>
          <w:rStyle w:val="EndnoteReference"/>
        </w:rPr>
        <w:endnoteRef/>
      </w:r>
      <w:r w:rsidRPr="00417EB4">
        <w:t xml:space="preserve"> </w:t>
      </w:r>
      <w:r w:rsidRPr="008222D3">
        <w:rPr>
          <w:rFonts w:cs="Open Sans"/>
          <w:i/>
          <w:lang w:val="en-US"/>
        </w:rPr>
        <w:t>Consent to Medical Treatment and Palliative Care Act 1995</w:t>
      </w:r>
      <w:r w:rsidRPr="00417EB4">
        <w:rPr>
          <w:rFonts w:cs="Open Sans"/>
          <w:lang w:val="en-US"/>
        </w:rPr>
        <w:t xml:space="preserve"> (SA) s 6.</w:t>
      </w:r>
    </w:p>
  </w:endnote>
  <w:endnote w:id="145">
    <w:p w:rsidRPr="00417EB4" w:rsidR="005C4CC3" w:rsidP="005C4CC3" w:rsidRDefault="005C4CC3" w14:paraId="7191F939" w14:textId="77777777">
      <w:pPr>
        <w:pStyle w:val="EndnoteText"/>
        <w:rPr>
          <w:rFonts w:cs="Open Sans"/>
          <w:lang w:val="en-US"/>
        </w:rPr>
      </w:pPr>
      <w:r w:rsidRPr="00417EB4">
        <w:rPr>
          <w:rStyle w:val="EndnoteReference"/>
        </w:rPr>
        <w:endnoteRef/>
      </w:r>
      <w:r w:rsidRPr="00417EB4">
        <w:t xml:space="preserve"> </w:t>
      </w:r>
      <w:r w:rsidRPr="00417EB4">
        <w:rPr>
          <w:rFonts w:cs="Open Sans"/>
          <w:i/>
          <w:iCs/>
          <w:lang w:val="en-US"/>
        </w:rPr>
        <w:t>Secretary, Department of Health and Community Services v JWB and SMB</w:t>
      </w:r>
      <w:r w:rsidRPr="00417EB4">
        <w:rPr>
          <w:rFonts w:cs="Open Sans"/>
          <w:lang w:val="en-US"/>
        </w:rPr>
        <w:t xml:space="preserve"> (1992) 175 CLR 218</w:t>
      </w:r>
      <w:r>
        <w:rPr>
          <w:rFonts w:cs="Open Sans"/>
          <w:lang w:val="en-US"/>
        </w:rPr>
        <w:t>,</w:t>
      </w:r>
      <w:r w:rsidRPr="00417EB4">
        <w:rPr>
          <w:rFonts w:cs="Open Sans"/>
          <w:lang w:val="en-US"/>
        </w:rPr>
        <w:t xml:space="preserve"> 235 (Mason CJ, Dawson, Toohey &amp; Gaudron JJ),</w:t>
      </w:r>
      <w:r w:rsidRPr="00417EB4">
        <w:t xml:space="preserve"> </w:t>
      </w:r>
    </w:p>
  </w:endnote>
  <w:endnote w:id="146">
    <w:p w:rsidRPr="00417EB4" w:rsidR="005C4CC3" w:rsidP="005C4CC3" w:rsidRDefault="005C4CC3" w14:paraId="0812F07A" w14:textId="77777777">
      <w:pPr>
        <w:pStyle w:val="EndnoteText"/>
        <w:rPr>
          <w:rFonts w:cs="Open Sans"/>
          <w:lang w:val="en-US"/>
        </w:rPr>
      </w:pPr>
      <w:r w:rsidRPr="00417EB4">
        <w:rPr>
          <w:rStyle w:val="EndnoteReference"/>
        </w:rPr>
        <w:endnoteRef/>
      </w:r>
      <w:r w:rsidRPr="00417EB4">
        <w:t xml:space="preserve"> </w:t>
      </w:r>
      <w:r w:rsidRPr="142DBD8A">
        <w:rPr>
          <w:rFonts w:cs="Open Sans"/>
          <w:i/>
          <w:iCs/>
          <w:lang w:val="en-US"/>
        </w:rPr>
        <w:t>Secretary, Department of Health and Community Services v JWB and SMB</w:t>
      </w:r>
      <w:r w:rsidRPr="00417EB4">
        <w:rPr>
          <w:rFonts w:cs="Open Sans"/>
          <w:lang w:val="en-US"/>
        </w:rPr>
        <w:t xml:space="preserve"> (1992) 175 CLR 218</w:t>
      </w:r>
      <w:r>
        <w:rPr>
          <w:rFonts w:cs="Open Sans"/>
          <w:lang w:val="en-US"/>
        </w:rPr>
        <w:t xml:space="preserve">, </w:t>
      </w:r>
      <w:r w:rsidRPr="00417EB4">
        <w:rPr>
          <w:rFonts w:cs="Open Sans"/>
          <w:lang w:val="en-US"/>
        </w:rPr>
        <w:t>295. See also the joint judgment at 239</w:t>
      </w:r>
      <w:r>
        <w:rPr>
          <w:rFonts w:cs="Open Sans"/>
          <w:lang w:val="en-US"/>
        </w:rPr>
        <w:t>–</w:t>
      </w:r>
      <w:r w:rsidRPr="00417EB4">
        <w:rPr>
          <w:rFonts w:cs="Open Sans"/>
          <w:lang w:val="en-US"/>
        </w:rPr>
        <w:t>240</w:t>
      </w:r>
    </w:p>
  </w:endnote>
  <w:endnote w:id="147">
    <w:p w:rsidRPr="00417EB4" w:rsidR="005C4CC3" w:rsidP="005C4CC3" w:rsidRDefault="005C4CC3" w14:paraId="59A03A08" w14:textId="77777777">
      <w:pPr>
        <w:pStyle w:val="EndnoteText"/>
        <w:rPr>
          <w:rFonts w:cs="Open Sans"/>
          <w:lang w:val="en-US"/>
        </w:rPr>
      </w:pPr>
      <w:r w:rsidRPr="00417EB4">
        <w:rPr>
          <w:rStyle w:val="EndnoteReference"/>
          <w:rFonts w:cs="Open Sans"/>
        </w:rPr>
        <w:endnoteRef/>
      </w:r>
      <w:r w:rsidRPr="00417EB4">
        <w:rPr>
          <w:rFonts w:cs="Open Sans"/>
        </w:rPr>
        <w:t xml:space="preserve"> </w:t>
      </w:r>
      <w:r w:rsidRPr="142DBD8A">
        <w:rPr>
          <w:rFonts w:cs="Open Sans"/>
          <w:i/>
          <w:iCs/>
        </w:rPr>
        <w:t>Gillick v West Norfolk AHA</w:t>
      </w:r>
      <w:r w:rsidRPr="00417EB4">
        <w:rPr>
          <w:rFonts w:cs="Open Sans"/>
        </w:rPr>
        <w:t xml:space="preserve"> [1986] AC 112. </w:t>
      </w:r>
    </w:p>
  </w:endnote>
  <w:endnote w:id="148">
    <w:p w:rsidRPr="00417EB4" w:rsidR="005C4CC3" w:rsidP="005C4CC3" w:rsidRDefault="005C4CC3" w14:paraId="72DF2A35" w14:textId="77777777">
      <w:pPr>
        <w:pStyle w:val="EndnoteText"/>
        <w:rPr>
          <w:rFonts w:cs="Open Sans"/>
          <w:lang w:val="en-US"/>
        </w:rPr>
      </w:pPr>
      <w:r w:rsidRPr="00417EB4">
        <w:rPr>
          <w:rStyle w:val="EndnoteReference"/>
          <w:rFonts w:cs="Open Sans"/>
        </w:rPr>
        <w:endnoteRef/>
      </w:r>
      <w:r w:rsidRPr="00417EB4">
        <w:rPr>
          <w:rFonts w:cs="Open Sans"/>
        </w:rPr>
        <w:t xml:space="preserve"> </w:t>
      </w:r>
      <w:r w:rsidRPr="142DBD8A">
        <w:rPr>
          <w:rFonts w:cs="Open Sans"/>
          <w:i/>
          <w:iCs/>
        </w:rPr>
        <w:t>Gillick v West Norfolk AHA</w:t>
      </w:r>
      <w:r w:rsidRPr="00417EB4">
        <w:rPr>
          <w:rFonts w:cs="Open Sans"/>
        </w:rPr>
        <w:t xml:space="preserve"> [1986] AC 112, 188</w:t>
      </w:r>
      <w:r>
        <w:rPr>
          <w:rFonts w:cs="Open Sans"/>
        </w:rPr>
        <w:t>–</w:t>
      </w:r>
      <w:r w:rsidRPr="00417EB4">
        <w:rPr>
          <w:rFonts w:cs="Open Sans"/>
        </w:rPr>
        <w:t xml:space="preserve">189. </w:t>
      </w:r>
    </w:p>
  </w:endnote>
  <w:endnote w:id="149">
    <w:p w:rsidRPr="00417EB4" w:rsidR="005C4CC3" w:rsidP="005C4CC3" w:rsidRDefault="005C4CC3" w14:paraId="76632345" w14:textId="77777777">
      <w:pPr>
        <w:pStyle w:val="EndnoteText"/>
        <w:rPr>
          <w:rFonts w:cs="Open Sans"/>
          <w:lang w:val="en-US"/>
        </w:rPr>
      </w:pPr>
      <w:r w:rsidRPr="00417EB4">
        <w:rPr>
          <w:rStyle w:val="EndnoteReference"/>
          <w:rFonts w:cs="Open Sans"/>
        </w:rPr>
        <w:endnoteRef/>
      </w:r>
      <w:r w:rsidRPr="00417EB4">
        <w:rPr>
          <w:rFonts w:cs="Open Sans"/>
        </w:rPr>
        <w:t xml:space="preserve"> </w:t>
      </w:r>
      <w:r w:rsidRPr="00417EB4">
        <w:rPr>
          <w:rFonts w:cs="Open Sans"/>
          <w:i/>
          <w:iCs/>
        </w:rPr>
        <w:t>Secretary, Department of Health and Community Services v JWB and SMB</w:t>
      </w:r>
      <w:r w:rsidRPr="00417EB4">
        <w:rPr>
          <w:rFonts w:cs="Open Sans"/>
        </w:rPr>
        <w:t xml:space="preserve"> (1992) 175 CLR 218, 237 (Mason CJ, Dawson, Toohey &amp; Gaudron JJ), quoting Lord Scarman in </w:t>
      </w:r>
      <w:r w:rsidRPr="00417EB4">
        <w:rPr>
          <w:rFonts w:cs="Open Sans"/>
          <w:i/>
        </w:rPr>
        <w:t>Gillick v West Norfolk and Wisbech Area Health Authority</w:t>
      </w:r>
      <w:r w:rsidRPr="00417EB4">
        <w:rPr>
          <w:rFonts w:cs="Open Sans"/>
        </w:rPr>
        <w:t xml:space="preserve"> [1986] AC 112, 183-184 (</w:t>
      </w:r>
      <w:r w:rsidRPr="00417EB4">
        <w:rPr>
          <w:rFonts w:cs="Open Sans"/>
          <w:bCs/>
        </w:rPr>
        <w:t>emphasis added).</w:t>
      </w:r>
    </w:p>
  </w:endnote>
  <w:endnote w:id="150">
    <w:p w:rsidRPr="00417EB4" w:rsidR="005C4CC3" w:rsidP="005C4CC3" w:rsidRDefault="005C4CC3" w14:paraId="544CFD2F" w14:textId="77777777">
      <w:pPr>
        <w:pStyle w:val="EndnoteText"/>
        <w:rPr>
          <w:rFonts w:cs="Open Sans"/>
          <w:lang w:val="en-US"/>
        </w:rPr>
      </w:pPr>
      <w:r w:rsidRPr="00417EB4">
        <w:rPr>
          <w:rStyle w:val="EndnoteReference"/>
          <w:rFonts w:cs="Open Sans"/>
        </w:rPr>
        <w:endnoteRef/>
      </w:r>
      <w:r w:rsidRPr="00417EB4">
        <w:rPr>
          <w:rFonts w:cs="Open Sans"/>
        </w:rPr>
        <w:t xml:space="preserve"> </w:t>
      </w:r>
      <w:r w:rsidRPr="00417EB4">
        <w:rPr>
          <w:rFonts w:cs="Open Sans"/>
          <w:i/>
        </w:rPr>
        <w:t xml:space="preserve">Re W (a minor) (medical treatment) </w:t>
      </w:r>
      <w:r w:rsidRPr="00417EB4">
        <w:rPr>
          <w:rFonts w:cs="Open Sans"/>
        </w:rPr>
        <w:t>[1992] 4 All</w:t>
      </w:r>
      <w:r>
        <w:rPr>
          <w:rFonts w:cs="Open Sans"/>
        </w:rPr>
        <w:t xml:space="preserve"> </w:t>
      </w:r>
      <w:r w:rsidRPr="00417EB4">
        <w:rPr>
          <w:rFonts w:cs="Open Sans"/>
        </w:rPr>
        <w:t>ER 627.</w:t>
      </w:r>
    </w:p>
  </w:endnote>
  <w:endnote w:id="151">
    <w:p w:rsidRPr="00417EB4" w:rsidR="005C4CC3" w:rsidP="005C4CC3" w:rsidRDefault="005C4CC3" w14:paraId="2899DC4D" w14:textId="77777777">
      <w:pPr>
        <w:pStyle w:val="EndnoteText"/>
        <w:rPr>
          <w:rFonts w:cs="Open Sans"/>
          <w:lang w:val="en-US"/>
        </w:rPr>
      </w:pPr>
      <w:r w:rsidRPr="00417EB4">
        <w:rPr>
          <w:rStyle w:val="EndnoteReference"/>
          <w:rFonts w:cs="Open Sans"/>
        </w:rPr>
        <w:endnoteRef/>
      </w:r>
      <w:r w:rsidRPr="00417EB4">
        <w:rPr>
          <w:rFonts w:cs="Open Sans"/>
        </w:rPr>
        <w:t xml:space="preserve"> </w:t>
      </w:r>
      <w:r w:rsidRPr="142DBD8A">
        <w:rPr>
          <w:rFonts w:cs="Open Sans"/>
          <w:i/>
          <w:iCs/>
          <w:spacing w:val="-5"/>
        </w:rPr>
        <w:t>In the Matter Of: H Appellant/Husband and W Respondent/Wife Appeal</w:t>
      </w:r>
      <w:r w:rsidRPr="00417EB4">
        <w:rPr>
          <w:rFonts w:cs="Open Sans"/>
          <w:spacing w:val="-5"/>
        </w:rPr>
        <w:t xml:space="preserve"> [1995] FamCA 30, paragraph 58, having noted such recognition in other jurisdictions, including the United Kingdom, citing (for example) Butler</w:t>
      </w:r>
      <w:r w:rsidRPr="00417EB4">
        <w:rPr>
          <w:rFonts w:cs="Open Sans"/>
          <w:spacing w:val="-5"/>
        </w:rPr>
        <w:noBreakHyphen/>
        <w:t xml:space="preserve">Sloss LJ in </w:t>
      </w:r>
      <w:r w:rsidRPr="142DBD8A">
        <w:rPr>
          <w:rFonts w:eastAsia="Times New Roman" w:cs="Open Sans"/>
          <w:i/>
          <w:iCs/>
          <w:shd w:val="clear" w:color="auto" w:fill="FFFFFF"/>
          <w:lang w:val="en-US"/>
        </w:rPr>
        <w:t>Re P (A Minor) (Education)</w:t>
      </w:r>
      <w:r w:rsidRPr="00417EB4">
        <w:rPr>
          <w:rFonts w:eastAsia="Times New Roman" w:cs="Open Sans"/>
          <w:shd w:val="clear" w:color="auto" w:fill="FFFFFF"/>
          <w:lang w:val="en-US"/>
        </w:rPr>
        <w:t xml:space="preserve"> (1992) 1 FLR 316 at 321. In</w:t>
      </w:r>
      <w:r w:rsidRPr="00417EB4" w:rsidDel="142DBD8A">
        <w:rPr>
          <w:rFonts w:eastAsia="Times New Roman" w:cs="Open Sans"/>
          <w:shd w:val="clear" w:color="auto" w:fill="FFFFFF"/>
          <w:lang w:val="en-US"/>
        </w:rPr>
        <w:t xml:space="preserve"> </w:t>
      </w:r>
      <w:r w:rsidRPr="142DBD8A">
        <w:rPr>
          <w:rFonts w:eastAsia="Times New Roman" w:cs="Open Sans"/>
          <w:i/>
          <w:iCs/>
          <w:shd w:val="clear" w:color="auto" w:fill="FFFFFF"/>
          <w:lang w:val="en-US"/>
        </w:rPr>
        <w:t>Marion</w:t>
      </w:r>
      <w:r w:rsidRPr="142DBD8A">
        <w:rPr>
          <w:rFonts w:eastAsia="Times New Roman" w:cs="Open Sans"/>
          <w:i/>
          <w:iCs/>
          <w:lang w:val="en-US"/>
        </w:rPr>
        <w:t>’s case</w:t>
      </w:r>
      <w:r w:rsidRPr="00417EB4">
        <w:rPr>
          <w:rFonts w:eastAsia="Times New Roman" w:cs="Open Sans"/>
          <w:shd w:val="clear" w:color="auto" w:fill="FFFFFF"/>
          <w:lang w:val="en-US"/>
        </w:rPr>
        <w:t xml:space="preserve"> (1992) 175 CLR 281, the majority accepted that the </w:t>
      </w:r>
      <w:r w:rsidRPr="142DBD8A">
        <w:rPr>
          <w:rFonts w:eastAsia="Times New Roman" w:cs="Open Sans"/>
          <w:i/>
          <w:iCs/>
          <w:shd w:val="clear" w:color="auto" w:fill="FFFFFF"/>
          <w:lang w:val="en-US"/>
        </w:rPr>
        <w:t>parens patriae</w:t>
      </w:r>
      <w:r w:rsidRPr="00417EB4">
        <w:rPr>
          <w:rFonts w:eastAsia="Times New Roman" w:cs="Open Sans"/>
          <w:shd w:val="clear" w:color="auto" w:fill="FFFFFF"/>
          <w:lang w:val="en-US"/>
        </w:rPr>
        <w:t xml:space="preserve"> jurisdiction (in all respects but for the power to make a child a ward of the state, as noted in </w:t>
      </w:r>
      <w:r w:rsidRPr="142DBD8A">
        <w:rPr>
          <w:rFonts w:eastAsia="Times New Roman" w:cs="Open Sans"/>
          <w:i/>
          <w:iCs/>
          <w:shd w:val="clear" w:color="auto" w:fill="FFFFFF"/>
          <w:lang w:val="en-US"/>
        </w:rPr>
        <w:t xml:space="preserve">Fountain &amp; Anor v Alexander &amp; Anor </w:t>
      </w:r>
      <w:r w:rsidRPr="00417EB4">
        <w:rPr>
          <w:rFonts w:eastAsia="Times New Roman" w:cs="Open Sans"/>
          <w:shd w:val="clear" w:color="auto" w:fill="FFFFFF"/>
          <w:lang w:val="en-US"/>
        </w:rPr>
        <w:t>[1982] HCA 16 per Gibbs CJ and Mason J) had been vested in the Family Court by amendments in 1983 (see p 257).</w:t>
      </w:r>
    </w:p>
  </w:endnote>
  <w:endnote w:id="152">
    <w:p w:rsidRPr="00417EB4" w:rsidR="005C4CC3" w:rsidP="005C4CC3" w:rsidRDefault="005C4CC3" w14:paraId="31A542DA" w14:textId="77777777">
      <w:pPr>
        <w:pStyle w:val="EndnoteText"/>
        <w:rPr>
          <w:rFonts w:cs="Open Sans"/>
          <w:lang w:val="en-US"/>
        </w:rPr>
      </w:pPr>
      <w:r w:rsidRPr="00417EB4">
        <w:rPr>
          <w:rStyle w:val="EndnoteReference"/>
          <w:rFonts w:cs="Open Sans"/>
        </w:rPr>
        <w:endnoteRef/>
      </w:r>
      <w:r w:rsidRPr="00417EB4">
        <w:rPr>
          <w:rFonts w:cs="Open Sans"/>
        </w:rPr>
        <w:t xml:space="preserve"> </w:t>
      </w:r>
      <w:r w:rsidRPr="00417EB4">
        <w:rPr>
          <w:rFonts w:cs="Open Sans"/>
          <w:lang w:val="en-US"/>
        </w:rPr>
        <w:t xml:space="preserve">A range of constraints have impaired the efficacy of ICLs (eg the concern has often been expressed that independent children’s lawyers, because of timing constraints, do not have sufficient – or indeed any – opportunity to talk directly to children themselves: see </w:t>
      </w:r>
      <w:r w:rsidRPr="00417EB4">
        <w:rPr>
          <w:rFonts w:cs="Open Sans"/>
        </w:rPr>
        <w:t xml:space="preserve">Kaspiew et al, </w:t>
      </w:r>
      <w:r w:rsidRPr="142DBD8A">
        <w:rPr>
          <w:rFonts w:cs="Open Sans"/>
          <w:i/>
          <w:iCs/>
        </w:rPr>
        <w:t>Independent Children’s Lawyers Study</w:t>
      </w:r>
      <w:r w:rsidRPr="00417EB4">
        <w:rPr>
          <w:rFonts w:cs="Open Sans"/>
        </w:rPr>
        <w:t>, Final Report, 2</w:t>
      </w:r>
      <w:r w:rsidRPr="00417EB4">
        <w:rPr>
          <w:rFonts w:cs="Open Sans"/>
          <w:vertAlign w:val="superscript"/>
        </w:rPr>
        <w:t>nd</w:t>
      </w:r>
      <w:r w:rsidRPr="00417EB4">
        <w:rPr>
          <w:rFonts w:cs="Open Sans"/>
        </w:rPr>
        <w:t xml:space="preserve"> edition, 2014</w:t>
      </w:r>
      <w:r w:rsidRPr="00417EB4">
        <w:rPr>
          <w:rFonts w:cs="Open Sans"/>
          <w:lang w:val="en-US"/>
        </w:rPr>
        <w:t>)</w:t>
      </w:r>
      <w:r>
        <w:rPr>
          <w:rFonts w:cs="Open Sans"/>
          <w:lang w:val="en-US"/>
        </w:rPr>
        <w:t>.</w:t>
      </w:r>
      <w:r w:rsidRPr="00417EB4">
        <w:rPr>
          <w:rFonts w:cs="Open Sans"/>
          <w:lang w:val="en-US"/>
        </w:rPr>
        <w:t xml:space="preserve"> The importance, to children’s healthy development, of being heard in matters affecting them has recently been the subject of a major research project by the Australian Institute of Family Studies: see </w:t>
      </w:r>
      <w:r w:rsidRPr="00417EB4">
        <w:rPr>
          <w:rFonts w:cs="Open Sans"/>
        </w:rPr>
        <w:t xml:space="preserve">Carson et al, </w:t>
      </w:r>
      <w:r w:rsidRPr="142DBD8A">
        <w:rPr>
          <w:rFonts w:cs="Open Sans"/>
          <w:i/>
          <w:iCs/>
        </w:rPr>
        <w:t>Children and young people in separated families: Family law system experiences and needs</w:t>
      </w:r>
      <w:r w:rsidRPr="00417EB4">
        <w:rPr>
          <w:rFonts w:cs="Open Sans"/>
        </w:rPr>
        <w:t xml:space="preserve">, 2018. </w:t>
      </w:r>
    </w:p>
  </w:endnote>
  <w:endnote w:id="153">
    <w:p w:rsidRPr="00417EB4" w:rsidR="005C4CC3" w:rsidP="005C4CC3" w:rsidRDefault="005C4CC3" w14:paraId="2C02669C" w14:textId="77777777">
      <w:pPr>
        <w:pStyle w:val="EndnoteText"/>
        <w:rPr>
          <w:rFonts w:cs="Open Sans"/>
          <w:lang w:val="en-US"/>
        </w:rPr>
      </w:pPr>
      <w:r w:rsidRPr="00417EB4">
        <w:rPr>
          <w:rStyle w:val="EndnoteReference"/>
          <w:rFonts w:cs="Open Sans"/>
        </w:rPr>
        <w:endnoteRef/>
      </w:r>
      <w:r w:rsidRPr="00417EB4">
        <w:rPr>
          <w:rFonts w:cs="Open Sans"/>
        </w:rPr>
        <w:t xml:space="preserve"> </w:t>
      </w:r>
      <w:r w:rsidRPr="00DC38DE">
        <w:rPr>
          <w:rFonts w:cs="Open Sans"/>
          <w:i/>
        </w:rPr>
        <w:t>Secretary, Department of Health and Community Services v JWB and SMB</w:t>
      </w:r>
      <w:r w:rsidRPr="00C15E11">
        <w:rPr>
          <w:rFonts w:cs="Open Sans"/>
        </w:rPr>
        <w:t xml:space="preserve"> (1992) 175 CLR 218</w:t>
      </w:r>
      <w:r>
        <w:rPr>
          <w:rFonts w:cs="Open Sans"/>
        </w:rPr>
        <w:t>.</w:t>
      </w:r>
    </w:p>
  </w:endnote>
  <w:endnote w:id="154">
    <w:p w:rsidRPr="00417EB4" w:rsidR="005C4CC3" w:rsidP="005C4CC3" w:rsidRDefault="005C4CC3" w14:paraId="73273819" w14:textId="77777777">
      <w:pPr>
        <w:pStyle w:val="EndnoteText"/>
        <w:rPr>
          <w:lang w:val="en-US"/>
        </w:rPr>
      </w:pPr>
      <w:r w:rsidRPr="00417EB4">
        <w:rPr>
          <w:rStyle w:val="EndnoteReference"/>
        </w:rPr>
        <w:endnoteRef/>
      </w:r>
      <w:r w:rsidRPr="00417EB4">
        <w:t xml:space="preserve"> This is the term employed in the</w:t>
      </w:r>
      <w:r w:rsidRPr="00417EB4">
        <w:rPr>
          <w:i/>
          <w:iCs/>
        </w:rPr>
        <w:t xml:space="preserve"> </w:t>
      </w:r>
      <w:r w:rsidRPr="00417EB4">
        <w:rPr>
          <w:rFonts w:cs="Open Sans"/>
          <w:i/>
          <w:iCs/>
        </w:rPr>
        <w:t>Family Law Act 1975</w:t>
      </w:r>
      <w:r w:rsidRPr="00417EB4">
        <w:rPr>
          <w:rFonts w:cs="Open Sans"/>
        </w:rPr>
        <w:t xml:space="preserve"> (Cth)</w:t>
      </w:r>
      <w:r>
        <w:rPr>
          <w:rFonts w:cs="Open Sans"/>
        </w:rPr>
        <w:t>:</w:t>
      </w:r>
      <w:r w:rsidRPr="00417EB4">
        <w:rPr>
          <w:rFonts w:cs="Open Sans"/>
        </w:rPr>
        <w:t xml:space="preserve"> s</w:t>
      </w:r>
      <w:r>
        <w:rPr>
          <w:rFonts w:cs="Open Sans"/>
        </w:rPr>
        <w:t xml:space="preserve"> </w:t>
      </w:r>
      <w:r w:rsidRPr="00417EB4">
        <w:rPr>
          <w:rFonts w:cs="Open Sans"/>
        </w:rPr>
        <w:t>67ZC.</w:t>
      </w:r>
    </w:p>
  </w:endnote>
  <w:endnote w:id="155">
    <w:p w:rsidRPr="00417EB4" w:rsidR="005C4CC3" w:rsidP="005C4CC3" w:rsidRDefault="005C4CC3" w14:paraId="42A01796" w14:textId="77777777">
      <w:pPr>
        <w:pStyle w:val="EndnoteText"/>
        <w:rPr>
          <w:rFonts w:cs="Open Sans"/>
          <w:lang w:val="en-US"/>
        </w:rPr>
      </w:pPr>
      <w:r w:rsidRPr="00417EB4">
        <w:rPr>
          <w:rStyle w:val="EndnoteReference"/>
          <w:rFonts w:cs="Open Sans"/>
        </w:rPr>
        <w:endnoteRef/>
      </w:r>
      <w:r w:rsidRPr="00417EB4">
        <w:rPr>
          <w:rFonts w:cs="Open Sans"/>
        </w:rPr>
        <w:t xml:space="preserve"> </w:t>
      </w:r>
      <w:r w:rsidRPr="142DBD8A">
        <w:rPr>
          <w:rFonts w:cs="Open Sans"/>
          <w:i/>
          <w:iCs/>
        </w:rPr>
        <w:t>Secretary, Department of Health and Community Services v JWB and SMB</w:t>
      </w:r>
      <w:r w:rsidRPr="00417EB4">
        <w:rPr>
          <w:rFonts w:cs="Open Sans"/>
        </w:rPr>
        <w:t xml:space="preserve"> (1992) 175 CLR 218, 246 (joint judgment quoting </w:t>
      </w:r>
      <w:r w:rsidRPr="142DBD8A">
        <w:rPr>
          <w:rFonts w:cs="Open Sans"/>
          <w:i/>
          <w:iCs/>
        </w:rPr>
        <w:t>In re F</w:t>
      </w:r>
      <w:r w:rsidRPr="00417EB4">
        <w:rPr>
          <w:rFonts w:cs="Open Sans"/>
        </w:rPr>
        <w:t xml:space="preserve"> [1990] 2 AC 1, 56 (Lord Brandon)), 249</w:t>
      </w:r>
      <w:r>
        <w:rPr>
          <w:rFonts w:cs="Open Sans"/>
        </w:rPr>
        <w:t>–</w:t>
      </w:r>
      <w:r w:rsidRPr="00417EB4">
        <w:rPr>
          <w:rFonts w:cs="Open Sans"/>
        </w:rPr>
        <w:t>52 (joint judgment), 296, 303 (Deane J), 320</w:t>
      </w:r>
      <w:r>
        <w:rPr>
          <w:rFonts w:cs="Open Sans"/>
        </w:rPr>
        <w:t>–32</w:t>
      </w:r>
      <w:r w:rsidRPr="00417EB4">
        <w:rPr>
          <w:rFonts w:cs="Open Sans"/>
        </w:rPr>
        <w:t xml:space="preserve">1 (McHugh J). In </w:t>
      </w:r>
      <w:r w:rsidRPr="142DBD8A">
        <w:rPr>
          <w:rFonts w:cs="Open Sans"/>
          <w:i/>
          <w:iCs/>
        </w:rPr>
        <w:t>Re Sean &amp; Russell</w:t>
      </w:r>
      <w:r w:rsidRPr="00417EB4">
        <w:rPr>
          <w:rFonts w:cs="Open Sans"/>
        </w:rPr>
        <w:t xml:space="preserve"> [2010] FamCA 948, Murphy J expressed the view that this is also recognised in the Family Law Act: </w:t>
      </w:r>
      <w:r>
        <w:rPr>
          <w:rFonts w:cs="Open Sans"/>
        </w:rPr>
        <w:t>[</w:t>
      </w:r>
      <w:r w:rsidRPr="00417EB4">
        <w:rPr>
          <w:rFonts w:cs="Open Sans"/>
        </w:rPr>
        <w:t>70</w:t>
      </w:r>
      <w:r>
        <w:rPr>
          <w:rFonts w:cs="Open Sans"/>
        </w:rPr>
        <w:t>]</w:t>
      </w:r>
      <w:r w:rsidRPr="00417EB4">
        <w:rPr>
          <w:rFonts w:cs="Open Sans"/>
        </w:rPr>
        <w:t>.</w:t>
      </w:r>
    </w:p>
  </w:endnote>
  <w:endnote w:id="156">
    <w:p w:rsidRPr="00417EB4" w:rsidR="005C4CC3" w:rsidP="005C4CC3" w:rsidRDefault="005C4CC3" w14:paraId="12B59CC1" w14:textId="77777777">
      <w:pPr>
        <w:pStyle w:val="EndnoteText"/>
        <w:rPr>
          <w:lang w:val="en-US"/>
        </w:rPr>
      </w:pPr>
      <w:r w:rsidRPr="00417EB4">
        <w:rPr>
          <w:rStyle w:val="EndnoteReference"/>
        </w:rPr>
        <w:endnoteRef/>
      </w:r>
      <w:r w:rsidRPr="00417EB4">
        <w:t xml:space="preserve"> </w:t>
      </w:r>
      <w:r w:rsidRPr="00417EB4">
        <w:rPr>
          <w:i/>
          <w:iCs/>
        </w:rPr>
        <w:t>Secretary, Department of Health and Community Services v JWB and SMB</w:t>
      </w:r>
      <w:r w:rsidRPr="00417EB4">
        <w:t xml:space="preserve"> (1992) 175 CLR 218, </w:t>
      </w:r>
      <w:r w:rsidRPr="00417EB4">
        <w:rPr>
          <w:lang w:val="en-US"/>
        </w:rPr>
        <w:t>250 (Mason CJ, Dawson, Toohey and Gaudron JJ).</w:t>
      </w:r>
    </w:p>
  </w:endnote>
  <w:endnote w:id="157">
    <w:p w:rsidRPr="00417EB4" w:rsidR="005C4CC3" w:rsidP="005C4CC3" w:rsidRDefault="005C4CC3" w14:paraId="5C4B419F" w14:textId="77777777">
      <w:pPr>
        <w:pStyle w:val="EndnoteText"/>
        <w:rPr>
          <w:lang w:val="en-US"/>
        </w:rPr>
      </w:pPr>
      <w:r w:rsidRPr="00417EB4">
        <w:rPr>
          <w:rStyle w:val="EndnoteReference"/>
        </w:rPr>
        <w:endnoteRef/>
      </w:r>
      <w:r w:rsidRPr="00417EB4">
        <w:t xml:space="preserve"> </w:t>
      </w:r>
      <w:r w:rsidRPr="00417EB4">
        <w:rPr>
          <w:i/>
          <w:iCs/>
        </w:rPr>
        <w:t>Secretary, Department of Health and Community Services v JWB and SMB</w:t>
      </w:r>
      <w:r w:rsidRPr="00417EB4">
        <w:t xml:space="preserve"> (1992) 175 CLR 218, </w:t>
      </w:r>
      <w:r w:rsidRPr="00417EB4">
        <w:rPr>
          <w:lang w:val="en-US"/>
        </w:rPr>
        <w:t>250 (Mason CJ, Dawson, Toohey and Gaudron JJ)</w:t>
      </w:r>
    </w:p>
  </w:endnote>
  <w:endnote w:id="158">
    <w:p w:rsidRPr="00417EB4" w:rsidR="005C4CC3" w:rsidP="005C4CC3" w:rsidRDefault="005C4CC3" w14:paraId="4E2162BA" w14:textId="77777777">
      <w:pPr>
        <w:pStyle w:val="EndnoteText"/>
        <w:rPr>
          <w:lang w:val="en-US"/>
        </w:rPr>
      </w:pPr>
      <w:r w:rsidRPr="00417EB4">
        <w:rPr>
          <w:rStyle w:val="EndnoteReference"/>
        </w:rPr>
        <w:endnoteRef/>
      </w:r>
      <w:r w:rsidRPr="00417EB4">
        <w:t xml:space="preserve"> </w:t>
      </w:r>
      <w:r w:rsidRPr="00417EB4">
        <w:rPr>
          <w:i/>
          <w:iCs/>
        </w:rPr>
        <w:t>Secretary, Department of Health and Community Services v JWB and SMB</w:t>
      </w:r>
      <w:r w:rsidRPr="00417EB4">
        <w:t xml:space="preserve"> (1992) 175 CLR 218, </w:t>
      </w:r>
      <w:r w:rsidRPr="00417EB4">
        <w:rPr>
          <w:lang w:val="en-US"/>
        </w:rPr>
        <w:t>250 (Mason CJ, Dawson, Toohey and Gaudron JJ).</w:t>
      </w:r>
    </w:p>
  </w:endnote>
  <w:endnote w:id="159">
    <w:p w:rsidRPr="00327F1A" w:rsidR="005C4CC3" w:rsidP="005C4CC3" w:rsidRDefault="005C4CC3" w14:paraId="71D55DF9" w14:textId="77777777">
      <w:pPr>
        <w:pStyle w:val="EndnoteText"/>
        <w:rPr>
          <w:lang w:val="en-US"/>
        </w:rPr>
      </w:pPr>
      <w:r>
        <w:rPr>
          <w:rStyle w:val="EndnoteReference"/>
        </w:rPr>
        <w:endnoteRef/>
      </w:r>
      <w:r>
        <w:t xml:space="preserve"> </w:t>
      </w:r>
      <w:r w:rsidRPr="00417EB4">
        <w:rPr>
          <w:i/>
          <w:iCs/>
        </w:rPr>
        <w:t>Secretary, Department of Health and Community Services v JWB and SMB</w:t>
      </w:r>
      <w:r w:rsidRPr="00417EB4">
        <w:t xml:space="preserve"> (1992) 175 CLR 218, </w:t>
      </w:r>
      <w:r w:rsidRPr="00417EB4">
        <w:rPr>
          <w:lang w:val="en-US"/>
        </w:rPr>
        <w:t>251 (Mason CJ, Dawson, Toohey and Gaudron JJ) (citations omitted).</w:t>
      </w:r>
    </w:p>
  </w:endnote>
  <w:endnote w:id="160">
    <w:p w:rsidRPr="00417EB4" w:rsidR="005C4CC3" w:rsidP="005C4CC3" w:rsidRDefault="005C4CC3" w14:paraId="21830295" w14:textId="77777777">
      <w:pPr>
        <w:pStyle w:val="EndnoteText"/>
        <w:rPr>
          <w:lang w:val="en-US"/>
        </w:rPr>
      </w:pPr>
      <w:r w:rsidRPr="00417EB4">
        <w:rPr>
          <w:rStyle w:val="EndnoteReference"/>
        </w:rPr>
        <w:endnoteRef/>
      </w:r>
      <w:r w:rsidRPr="00417EB4">
        <w:t xml:space="preserve"> </w:t>
      </w:r>
      <w:r w:rsidRPr="00417EB4">
        <w:rPr>
          <w:i/>
          <w:iCs/>
        </w:rPr>
        <w:t>Secretary, Department of Health and Community Services v JWB and SMB</w:t>
      </w:r>
      <w:r w:rsidRPr="00417EB4">
        <w:t xml:space="preserve"> (1992) 175 CLR 218, </w:t>
      </w:r>
      <w:r w:rsidRPr="00417EB4">
        <w:rPr>
          <w:lang w:val="en-US"/>
        </w:rPr>
        <w:t>251 (Mason CJ, Dawson, Toohey and Gaudron JJ) (citations omitted).</w:t>
      </w:r>
    </w:p>
  </w:endnote>
  <w:endnote w:id="161">
    <w:p w:rsidRPr="00417EB4" w:rsidR="005C4CC3" w:rsidP="005C4CC3" w:rsidRDefault="005C4CC3" w14:paraId="3A06E1F9" w14:textId="77777777">
      <w:pPr>
        <w:pStyle w:val="EndnoteText"/>
        <w:rPr>
          <w:lang w:val="en-US"/>
        </w:rPr>
      </w:pPr>
      <w:r w:rsidRPr="00417EB4">
        <w:rPr>
          <w:rStyle w:val="EndnoteReference"/>
        </w:rPr>
        <w:endnoteRef/>
      </w:r>
      <w:r w:rsidRPr="00417EB4">
        <w:t xml:space="preserve"> </w:t>
      </w:r>
      <w:r w:rsidRPr="00417EB4">
        <w:rPr>
          <w:i/>
          <w:iCs/>
        </w:rPr>
        <w:t>Secretary, Department of Health and Community Services v JWB and SMB</w:t>
      </w:r>
      <w:r w:rsidRPr="00417EB4">
        <w:t xml:space="preserve"> (1992) 175 CLR 218, </w:t>
      </w:r>
      <w:r w:rsidRPr="00417EB4">
        <w:rPr>
          <w:lang w:val="en-US"/>
        </w:rPr>
        <w:t>252 (Mason CJ, Dawson, Toohey and Gaudron JJ) (citations omitted).</w:t>
      </w:r>
    </w:p>
  </w:endnote>
  <w:endnote w:id="162">
    <w:p w:rsidRPr="00417EB4" w:rsidR="005C4CC3" w:rsidP="005C4CC3" w:rsidRDefault="005C4CC3" w14:paraId="3517F11D" w14:textId="77777777">
      <w:pPr>
        <w:pStyle w:val="EndnoteText"/>
        <w:rPr>
          <w:lang w:val="en-US"/>
        </w:rPr>
      </w:pPr>
      <w:r w:rsidRPr="00417EB4">
        <w:rPr>
          <w:rStyle w:val="EndnoteReference"/>
        </w:rPr>
        <w:endnoteRef/>
      </w:r>
      <w:r w:rsidRPr="00417EB4">
        <w:t xml:space="preserve"> </w:t>
      </w:r>
      <w:r w:rsidRPr="00417EB4">
        <w:rPr>
          <w:i/>
          <w:iCs/>
        </w:rPr>
        <w:t>Secretary, Department of Health and Community Services v JWB and SMB</w:t>
      </w:r>
      <w:r w:rsidRPr="00417EB4">
        <w:t xml:space="preserve"> (1992) 175 CLR 218, </w:t>
      </w:r>
      <w:r w:rsidRPr="00417EB4">
        <w:rPr>
          <w:lang w:val="en-US"/>
        </w:rPr>
        <w:t>252 (Mason CJ, Dawson, Toohey and Gaudron JJ) (citations omitted).</w:t>
      </w:r>
    </w:p>
  </w:endnote>
  <w:endnote w:id="163">
    <w:p w:rsidRPr="00417EB4" w:rsidR="005C4CC3" w:rsidP="005C4CC3" w:rsidRDefault="005C4CC3" w14:paraId="7289AF56" w14:textId="77777777">
      <w:pPr>
        <w:pStyle w:val="EndnoteText"/>
        <w:rPr>
          <w:lang w:val="en-US"/>
        </w:rPr>
      </w:pPr>
      <w:r w:rsidRPr="00417EB4">
        <w:rPr>
          <w:rStyle w:val="EndnoteReference"/>
        </w:rPr>
        <w:endnoteRef/>
      </w:r>
      <w:r w:rsidRPr="00417EB4">
        <w:t xml:space="preserve"> </w:t>
      </w:r>
      <w:r w:rsidRPr="00DC38DE">
        <w:rPr>
          <w:i/>
          <w:lang w:val="en-US"/>
        </w:rPr>
        <w:t>Re Jamie</w:t>
      </w:r>
      <w:r w:rsidRPr="00417EB4">
        <w:rPr>
          <w:lang w:val="en-US"/>
        </w:rPr>
        <w:t xml:space="preserve"> [2013] FamCAFC 110, </w:t>
      </w:r>
      <w:r w:rsidRPr="00DC38DE">
        <w:rPr>
          <w:i/>
          <w:lang w:val="en-US"/>
        </w:rPr>
        <w:t>Re Kelvin</w:t>
      </w:r>
      <w:r w:rsidRPr="00417EB4">
        <w:rPr>
          <w:lang w:val="en-US"/>
        </w:rPr>
        <w:t xml:space="preserve"> [2017] FamCAFC</w:t>
      </w:r>
      <w:r>
        <w:rPr>
          <w:lang w:val="en-US"/>
        </w:rPr>
        <w:t>.</w:t>
      </w:r>
    </w:p>
  </w:endnote>
  <w:endnote w:id="164">
    <w:p w:rsidRPr="00417EB4" w:rsidR="005C4CC3" w:rsidP="005C4CC3" w:rsidRDefault="005C4CC3" w14:paraId="27187339" w14:textId="77777777">
      <w:pPr>
        <w:pStyle w:val="EndnoteText"/>
        <w:rPr>
          <w:rFonts w:cs="Open Sans"/>
          <w:lang w:val="en-US"/>
        </w:rPr>
      </w:pPr>
      <w:r w:rsidRPr="00417EB4">
        <w:rPr>
          <w:rStyle w:val="EndnoteReference"/>
          <w:rFonts w:cs="Open Sans"/>
        </w:rPr>
        <w:endnoteRef/>
      </w:r>
      <w:r w:rsidRPr="00417EB4">
        <w:rPr>
          <w:rFonts w:cs="Open Sans"/>
        </w:rPr>
        <w:t xml:space="preserve"> </w:t>
      </w:r>
      <w:r w:rsidRPr="00417EB4">
        <w:rPr>
          <w:rFonts w:cs="Open Sans"/>
          <w:lang w:val="en-US"/>
        </w:rPr>
        <w:t xml:space="preserve">Other responses to </w:t>
      </w:r>
      <w:r w:rsidRPr="00417EB4">
        <w:rPr>
          <w:rFonts w:cs="Open Sans"/>
          <w:i/>
          <w:lang w:val="en-US"/>
        </w:rPr>
        <w:t>Marion</w:t>
      </w:r>
      <w:r>
        <w:rPr>
          <w:rFonts w:cs="Open Sans"/>
          <w:i/>
          <w:lang w:val="en-US"/>
        </w:rPr>
        <w:t>’s case</w:t>
      </w:r>
      <w:r w:rsidRPr="00417EB4">
        <w:rPr>
          <w:rFonts w:cs="Open Sans"/>
          <w:lang w:val="en-US"/>
        </w:rPr>
        <w:t xml:space="preserve"> included the insertion of Order 23B in the Family Law Rules and protocols developed by the Family Court, the Office of the Public Advocate (Vic) and Victoria Legal Aid.</w:t>
      </w:r>
    </w:p>
  </w:endnote>
  <w:endnote w:id="165">
    <w:p w:rsidRPr="00417EB4" w:rsidR="005C4CC3" w:rsidP="005C4CC3" w:rsidRDefault="005C4CC3" w14:paraId="70092AA5" w14:textId="77777777">
      <w:pPr>
        <w:pStyle w:val="EndnoteText"/>
        <w:rPr>
          <w:rFonts w:cs="Open Sans"/>
          <w:lang w:val="en-US"/>
        </w:rPr>
      </w:pPr>
      <w:r w:rsidRPr="00417EB4">
        <w:rPr>
          <w:rStyle w:val="EndnoteReference"/>
          <w:rFonts w:cs="Open Sans"/>
        </w:rPr>
        <w:endnoteRef/>
      </w:r>
      <w:r w:rsidRPr="00417EB4">
        <w:rPr>
          <w:rFonts w:cs="Open Sans"/>
        </w:rPr>
        <w:t xml:space="preserve"> </w:t>
      </w:r>
      <w:r w:rsidRPr="00417EB4">
        <w:rPr>
          <w:rFonts w:cs="Open Sans"/>
          <w:lang w:val="en-US"/>
        </w:rPr>
        <w:t xml:space="preserve">See </w:t>
      </w:r>
      <w:r w:rsidRPr="142DBD8A">
        <w:rPr>
          <w:rFonts w:cs="Open Sans"/>
          <w:i/>
          <w:iCs/>
          <w:lang w:val="en-US"/>
        </w:rPr>
        <w:t>Re Sean and Russell (Special Medical Procedures)</w:t>
      </w:r>
      <w:r w:rsidRPr="00417EB4">
        <w:rPr>
          <w:rFonts w:cs="Open Sans"/>
          <w:lang w:val="en-US"/>
        </w:rPr>
        <w:t xml:space="preserve"> [2010] FamCA 948, per Murphy J</w:t>
      </w:r>
      <w:r>
        <w:rPr>
          <w:rFonts w:cs="Open Sans"/>
          <w:lang w:val="en-US"/>
        </w:rPr>
        <w:t>,</w:t>
      </w:r>
      <w:r w:rsidRPr="00417EB4">
        <w:rPr>
          <w:rFonts w:cs="Open Sans"/>
          <w:lang w:val="en-US"/>
        </w:rPr>
        <w:t xml:space="preserve"> </w:t>
      </w:r>
      <w:r>
        <w:rPr>
          <w:rFonts w:cs="Open Sans"/>
          <w:lang w:val="en-US"/>
        </w:rPr>
        <w:t>[</w:t>
      </w:r>
      <w:r w:rsidRPr="00417EB4">
        <w:rPr>
          <w:rFonts w:cs="Open Sans"/>
          <w:lang w:val="en-US"/>
        </w:rPr>
        <w:t>44</w:t>
      </w:r>
      <w:r>
        <w:rPr>
          <w:rFonts w:cs="Open Sans"/>
          <w:lang w:val="en-US"/>
        </w:rPr>
        <w:t>]</w:t>
      </w:r>
      <w:r w:rsidRPr="00417EB4">
        <w:rPr>
          <w:rFonts w:cs="Open Sans"/>
          <w:lang w:val="en-US"/>
        </w:rPr>
        <w:t xml:space="preserve">. For a discussion of the limits of s 67ZC (in particular, that there be an attachment to a ‘matter’ within the application of Part VII of the Family Law Act), see also Murphy J in </w:t>
      </w:r>
      <w:r w:rsidRPr="142DBD8A">
        <w:rPr>
          <w:rFonts w:cs="Open Sans"/>
          <w:i/>
          <w:iCs/>
          <w:lang w:val="en-US"/>
        </w:rPr>
        <w:t>Re Shane (Gender Dysphoria)</w:t>
      </w:r>
      <w:r w:rsidRPr="00417EB4">
        <w:rPr>
          <w:rFonts w:cs="Open Sans"/>
          <w:lang w:val="en-US"/>
        </w:rPr>
        <w:t xml:space="preserve"> [2013] FamCA 864, </w:t>
      </w:r>
      <w:r>
        <w:rPr>
          <w:rFonts w:cs="Open Sans"/>
          <w:lang w:val="en-US"/>
        </w:rPr>
        <w:t>[6]</w:t>
      </w:r>
      <w:r w:rsidRPr="00417EB4">
        <w:rPr>
          <w:rFonts w:cs="Open Sans"/>
          <w:lang w:val="en-US"/>
        </w:rPr>
        <w:t xml:space="preserve">. The </w:t>
      </w:r>
      <w:r w:rsidRPr="142DBD8A">
        <w:rPr>
          <w:rFonts w:cs="Open Sans"/>
          <w:i/>
          <w:iCs/>
          <w:lang w:val="en-US"/>
        </w:rPr>
        <w:t>Family Court Act 1997</w:t>
      </w:r>
      <w:r w:rsidRPr="00417EB4">
        <w:rPr>
          <w:rFonts w:cs="Open Sans"/>
          <w:lang w:val="en-US"/>
        </w:rPr>
        <w:t xml:space="preserve"> (WA) confers a similar welfare jurisdiction on the Family Court of Western Australia: see section 162. For consideration of the operation of that provision, see for example, </w:t>
      </w:r>
      <w:r w:rsidRPr="142DBD8A">
        <w:rPr>
          <w:rFonts w:cs="Open Sans"/>
          <w:i/>
          <w:iCs/>
          <w:lang w:val="en-US"/>
        </w:rPr>
        <w:t>Director Clinical Services, Child &amp; Adolescent Health Services and Kiszko &amp; Anor</w:t>
      </w:r>
      <w:r w:rsidRPr="00417EB4">
        <w:rPr>
          <w:rFonts w:cs="Open Sans"/>
          <w:lang w:val="en-US"/>
        </w:rPr>
        <w:t xml:space="preserve"> [2016] FCWA 75, especially </w:t>
      </w:r>
      <w:r>
        <w:rPr>
          <w:rFonts w:cs="Open Sans"/>
          <w:lang w:val="en-US"/>
        </w:rPr>
        <w:t>[</w:t>
      </w:r>
      <w:r w:rsidRPr="00417EB4">
        <w:rPr>
          <w:rFonts w:cs="Open Sans"/>
          <w:lang w:val="en-US"/>
        </w:rPr>
        <w:t>63</w:t>
      </w:r>
      <w:r>
        <w:rPr>
          <w:rFonts w:cs="Open Sans"/>
          <w:lang w:val="en-US"/>
        </w:rPr>
        <w:t>]</w:t>
      </w:r>
      <w:r w:rsidRPr="00417EB4">
        <w:rPr>
          <w:rFonts w:cs="Open Sans"/>
          <w:lang w:val="en-US"/>
        </w:rPr>
        <w:t>ff.</w:t>
      </w:r>
    </w:p>
  </w:endnote>
  <w:endnote w:id="166">
    <w:p w:rsidRPr="00417EB4" w:rsidR="005C4CC3" w:rsidP="005C4CC3" w:rsidRDefault="005C4CC3" w14:paraId="2AB5ED16" w14:textId="77777777">
      <w:pPr>
        <w:pStyle w:val="EndnoteText"/>
        <w:rPr>
          <w:lang w:val="en-US"/>
        </w:rPr>
      </w:pPr>
      <w:r w:rsidRPr="00417EB4">
        <w:rPr>
          <w:rStyle w:val="EndnoteReference"/>
        </w:rPr>
        <w:endnoteRef/>
      </w:r>
      <w:r w:rsidRPr="00417EB4">
        <w:t xml:space="preserve"> </w:t>
      </w:r>
      <w:r w:rsidRPr="00417EB4">
        <w:rPr>
          <w:rFonts w:cs="Open Sans"/>
        </w:rPr>
        <w:t>Family Law Rules 2004, Rule 4.09</w:t>
      </w:r>
      <w:r>
        <w:rPr>
          <w:rFonts w:cs="Open Sans"/>
        </w:rPr>
        <w:t>.</w:t>
      </w:r>
    </w:p>
  </w:endnote>
  <w:endnote w:id="167">
    <w:p w:rsidRPr="00417EB4" w:rsidR="005C4CC3" w:rsidP="005C4CC3" w:rsidRDefault="005C4CC3" w14:paraId="20552343" w14:textId="77777777">
      <w:pPr>
        <w:pStyle w:val="EndnoteText"/>
        <w:rPr>
          <w:rFonts w:cs="Open Sans"/>
          <w:lang w:val="en-US"/>
        </w:rPr>
      </w:pPr>
      <w:r w:rsidRPr="00417EB4">
        <w:rPr>
          <w:rStyle w:val="EndnoteReference"/>
        </w:rPr>
        <w:endnoteRef/>
      </w:r>
      <w:r w:rsidRPr="00417EB4">
        <w:t xml:space="preserve"> United Nations General Assembly, </w:t>
      </w:r>
      <w:r w:rsidRPr="00417EB4">
        <w:rPr>
          <w:i/>
          <w:iCs/>
        </w:rPr>
        <w:t>Report of the Special Rapporteur on the right of everyone to the enjoyment of the highest attainable standard of physical and mental health</w:t>
      </w:r>
      <w:r w:rsidRPr="00417EB4">
        <w:t>, 64th sess, UN doc A/64/272 (2009), para 23 &lt;https://undocs.org/A/64/272&gt;</w:t>
      </w:r>
      <w:r>
        <w:t>.</w:t>
      </w:r>
    </w:p>
  </w:endnote>
  <w:endnote w:id="168">
    <w:p w:rsidRPr="00417EB4" w:rsidR="005C4CC3" w:rsidP="005C4CC3" w:rsidRDefault="005C4CC3" w14:paraId="7D3672A4" w14:textId="77777777">
      <w:pPr>
        <w:pStyle w:val="EndnoteText"/>
        <w:rPr>
          <w:rFonts w:ascii="Arial" w:hAnsi="Arial" w:eastAsia="Times New Roman" w:cs="Arial"/>
          <w:lang w:val="en-US"/>
        </w:rPr>
      </w:pPr>
      <w:r w:rsidRPr="00417EB4">
        <w:rPr>
          <w:rStyle w:val="EndnoteReference"/>
        </w:rPr>
        <w:endnoteRef/>
      </w:r>
      <w:r w:rsidRPr="00417EB4">
        <w:t xml:space="preserve"> United Nations General Assembly, </w:t>
      </w:r>
      <w:r w:rsidRPr="00417EB4">
        <w:rPr>
          <w:i/>
          <w:iCs/>
        </w:rPr>
        <w:t>Report of the Special Rapporteur on the right of everyone to the enjoyment of the highest attainable standard of physical and mental health,</w:t>
      </w:r>
      <w:r w:rsidRPr="00417EB4">
        <w:t xml:space="preserve"> 64th sess, UN doc A/64/272 (2009), para 23 &lt;https://undocs.org/A/64/272&gt;</w:t>
      </w:r>
      <w:r>
        <w:t>.</w:t>
      </w:r>
    </w:p>
  </w:endnote>
  <w:endnote w:id="169">
    <w:p w:rsidRPr="00327F1A" w:rsidR="005C4CC3" w:rsidP="005C4CC3" w:rsidRDefault="005C4CC3" w14:paraId="2CD8EB59" w14:textId="77777777">
      <w:pPr>
        <w:pStyle w:val="EndnoteText"/>
        <w:rPr>
          <w:lang w:val="en-US"/>
        </w:rPr>
      </w:pPr>
      <w:r>
        <w:rPr>
          <w:rStyle w:val="EndnoteReference"/>
        </w:rPr>
        <w:endnoteRef/>
      </w:r>
      <w:r>
        <w:t xml:space="preserve"> </w:t>
      </w:r>
      <w:r w:rsidRPr="00EC3EA6">
        <w:rPr>
          <w:i/>
        </w:rPr>
        <w:t>Convention on the Rights of the Child</w:t>
      </w:r>
      <w:r>
        <w:t>, opened for signature 20 November 1989, 1577 UNTS 171 (entered into force 2 September 1990.</w:t>
      </w:r>
    </w:p>
  </w:endnote>
  <w:endnote w:id="170">
    <w:p w:rsidRPr="00417EB4" w:rsidR="005C4CC3" w:rsidP="005C4CC3" w:rsidRDefault="005C4CC3" w14:paraId="18C99338" w14:textId="77777777">
      <w:pPr>
        <w:pStyle w:val="EndnoteText"/>
        <w:rPr>
          <w:lang w:val="en-US"/>
        </w:rPr>
      </w:pPr>
      <w:r w:rsidRPr="00417EB4">
        <w:rPr>
          <w:rStyle w:val="EndnoteReference"/>
        </w:rPr>
        <w:endnoteRef/>
      </w:r>
      <w:r w:rsidRPr="00417EB4">
        <w:t xml:space="preserve"> United Nations General Assembly, </w:t>
      </w:r>
      <w:r w:rsidRPr="00417EB4">
        <w:rPr>
          <w:i/>
          <w:iCs/>
        </w:rPr>
        <w:t>Report of the Special Rapporteur on the right of everyone to the enjoyment of the highest attainable standard of physical and mental health</w:t>
      </w:r>
      <w:r w:rsidRPr="00417EB4">
        <w:t>, 64</w:t>
      </w:r>
      <w:r w:rsidRPr="00417EB4">
        <w:rPr>
          <w:vertAlign w:val="superscript"/>
        </w:rPr>
        <w:t>th</w:t>
      </w:r>
      <w:r w:rsidRPr="00417EB4">
        <w:t xml:space="preserve"> sess, UN doc A/64/272 (2009), para </w:t>
      </w:r>
      <w:r>
        <w:t>46</w:t>
      </w:r>
      <w:r w:rsidRPr="00417EB4">
        <w:t xml:space="preserve"> &lt;</w:t>
      </w:r>
      <w:hyperlink w:history="1" r:id="rId17">
        <w:r w:rsidRPr="00417EB4">
          <w:rPr>
            <w:rStyle w:val="Hyperlink"/>
          </w:rPr>
          <w:t>https://undocs.org/A/64/272</w:t>
        </w:r>
      </w:hyperlink>
      <w:r w:rsidRPr="00417EB4">
        <w:t>&gt;</w:t>
      </w:r>
      <w:r>
        <w:t>.</w:t>
      </w:r>
    </w:p>
  </w:endnote>
  <w:endnote w:id="171">
    <w:p w:rsidRPr="00417EB4" w:rsidR="005C4CC3" w:rsidP="005C4CC3" w:rsidRDefault="005C4CC3" w14:paraId="082195AD" w14:textId="77777777">
      <w:pPr>
        <w:pStyle w:val="EndnoteText"/>
      </w:pPr>
      <w:r w:rsidRPr="00417EB4">
        <w:rPr>
          <w:rStyle w:val="EndnoteReference"/>
        </w:rPr>
        <w:endnoteRef/>
      </w:r>
      <w:r>
        <w:t xml:space="preserve"> </w:t>
      </w:r>
      <w:r w:rsidRPr="00417EB4">
        <w:t xml:space="preserve">United Nations General Assembly, </w:t>
      </w:r>
      <w:r w:rsidRPr="142DBD8A">
        <w:rPr>
          <w:i/>
          <w:iCs/>
        </w:rPr>
        <w:t>Report of the Special Rapporteur on the right of everyone to the enjoyment of the highest attainable standard of physical and mental health</w:t>
      </w:r>
      <w:r w:rsidRPr="00417EB4">
        <w:t>, 64</w:t>
      </w:r>
      <w:r w:rsidRPr="00417EB4">
        <w:rPr>
          <w:vertAlign w:val="superscript"/>
        </w:rPr>
        <w:t>th</w:t>
      </w:r>
      <w:r w:rsidRPr="00417EB4">
        <w:t xml:space="preserve"> sess, UN doc A/64/272 (2009), para </w:t>
      </w:r>
      <w:r>
        <w:t>47</w:t>
      </w:r>
      <w:r w:rsidRPr="00417EB4">
        <w:t xml:space="preserve"> &lt;</w:t>
      </w:r>
      <w:hyperlink w:history="1" r:id="rId18">
        <w:r w:rsidRPr="00417EB4">
          <w:rPr>
            <w:rStyle w:val="Hyperlink"/>
          </w:rPr>
          <w:t>https://undocs.org/A/64/272</w:t>
        </w:r>
      </w:hyperlink>
      <w:r w:rsidRPr="00417EB4">
        <w:t>&gt;</w:t>
      </w:r>
      <w:r>
        <w:t>.</w:t>
      </w:r>
    </w:p>
  </w:endnote>
  <w:endnote w:id="172">
    <w:p w:rsidRPr="00417EB4" w:rsidR="005C4CC3" w:rsidP="005C4CC3" w:rsidRDefault="005C4CC3" w14:paraId="0B77C885" w14:textId="77777777">
      <w:pPr>
        <w:pStyle w:val="EndnoteText"/>
      </w:pPr>
      <w:r w:rsidRPr="00417EB4">
        <w:rPr>
          <w:rStyle w:val="EndnoteReference"/>
        </w:rPr>
        <w:endnoteRef/>
      </w:r>
      <w:r w:rsidRPr="00417EB4">
        <w:t xml:space="preserve"> UN Committee on the Rights of the Child, </w:t>
      </w:r>
      <w:r w:rsidRPr="00417EB4">
        <w:rPr>
          <w:i/>
          <w:iCs/>
        </w:rPr>
        <w:t>General comment No. 15 (2013) on the right of the child to the enjoyment of the highest attainable standard of health (art. 24)*</w:t>
      </w:r>
      <w:r w:rsidRPr="00417EB4">
        <w:t>, 62</w:t>
      </w:r>
      <w:r w:rsidRPr="00417EB4">
        <w:rPr>
          <w:vertAlign w:val="superscript"/>
        </w:rPr>
        <w:t>nd</w:t>
      </w:r>
      <w:r w:rsidRPr="00417EB4">
        <w:t xml:space="preserve"> sess, UN Doc CRC/C/GC/15 (17 April 2013) 5 &lt;</w:t>
      </w:r>
      <w:hyperlink w:history="1" r:id="rId19">
        <w:r w:rsidRPr="00417EB4">
          <w:rPr>
            <w:rStyle w:val="Hyperlink"/>
          </w:rPr>
          <w:t>https://www2.ohchr.org/english/bodies/crc/docs/GC/CRC-C-GC-15_en.doc</w:t>
        </w:r>
      </w:hyperlink>
      <w:r w:rsidRPr="00417EB4">
        <w:t xml:space="preserve">&gt; </w:t>
      </w:r>
    </w:p>
  </w:endnote>
  <w:endnote w:id="173">
    <w:p w:rsidRPr="00A32950" w:rsidR="005C4CC3" w:rsidP="005C4CC3" w:rsidRDefault="005C4CC3" w14:paraId="0D54526A" w14:textId="77777777">
      <w:pPr>
        <w:pStyle w:val="EndnoteText"/>
        <w:rPr>
          <w:lang w:val="en-US"/>
        </w:rPr>
      </w:pPr>
      <w:r>
        <w:rPr>
          <w:rStyle w:val="EndnoteReference"/>
        </w:rPr>
        <w:endnoteRef/>
      </w:r>
      <w:r>
        <w:t xml:space="preserve"> </w:t>
      </w:r>
      <w:r w:rsidDel="00BC3D37">
        <w:t xml:space="preserve">I.A. Hughes et al, ‘Consensus statement on management of intersex disorders’ </w:t>
      </w:r>
      <w:r>
        <w:t>(</w:t>
      </w:r>
      <w:r w:rsidDel="00BC3D37">
        <w:t>2006</w:t>
      </w:r>
      <w:r>
        <w:t>)</w:t>
      </w:r>
      <w:r w:rsidDel="00BC3D37">
        <w:t xml:space="preserve"> 2 </w:t>
      </w:r>
      <w:r w:rsidRPr="284A4336" w:rsidDel="00BC3D37">
        <w:rPr>
          <w:i/>
          <w:iCs/>
        </w:rPr>
        <w:t xml:space="preserve">Journal of Pediatric Urology, </w:t>
      </w:r>
      <w:r w:rsidRPr="007F5645" w:rsidDel="00BC3D37">
        <w:t>148</w:t>
      </w:r>
      <w:r w:rsidDel="00BC3D37">
        <w:t>.</w:t>
      </w:r>
    </w:p>
  </w:endnote>
  <w:endnote w:id="174">
    <w:p w:rsidRPr="00A32950" w:rsidR="005C4CC3" w:rsidP="005C4CC3" w:rsidRDefault="005C4CC3" w14:paraId="76EA538B" w14:textId="77777777">
      <w:pPr>
        <w:pStyle w:val="EndnoteText"/>
        <w:rPr>
          <w:lang w:val="en-US"/>
        </w:rPr>
      </w:pPr>
      <w:r>
        <w:rPr>
          <w:rStyle w:val="EndnoteReference"/>
        </w:rPr>
        <w:endnoteRef/>
      </w:r>
      <w:r>
        <w:t xml:space="preserve"> </w:t>
      </w:r>
      <w:r w:rsidRPr="00CB4F30">
        <w:rPr>
          <w:rFonts w:cs="Open Sans"/>
        </w:rPr>
        <w:t xml:space="preserve">Peter A. Lee et al, ‘Global Disorders of Sex Development Update since 2006: Perceptions, Approach and Care’ (2016) 85 </w:t>
      </w:r>
      <w:r w:rsidRPr="00CB4F30">
        <w:rPr>
          <w:rFonts w:cs="Open Sans"/>
          <w:i/>
        </w:rPr>
        <w:t>Hormone Research in Paediatrics</w:t>
      </w:r>
      <w:r w:rsidRPr="00CB4F30">
        <w:rPr>
          <w:rFonts w:cs="Open Sans"/>
        </w:rPr>
        <w:t xml:space="preserve"> 158</w:t>
      </w:r>
      <w:r>
        <w:rPr>
          <w:rFonts w:cs="Open Sans"/>
        </w:rPr>
        <w:t>.</w:t>
      </w:r>
    </w:p>
  </w:endnote>
  <w:endnote w:id="175">
    <w:p w:rsidRPr="00A32950" w:rsidR="005C4CC3" w:rsidP="005C4CC3" w:rsidRDefault="005C4CC3" w14:paraId="1693EDB1" w14:textId="77777777">
      <w:pPr>
        <w:pStyle w:val="EndnoteText"/>
        <w:rPr>
          <w:lang w:val="en-US"/>
        </w:rPr>
      </w:pPr>
      <w:r>
        <w:rPr>
          <w:rStyle w:val="EndnoteReference"/>
        </w:rPr>
        <w:endnoteRef/>
      </w:r>
      <w:r>
        <w:t xml:space="preserve"> </w:t>
      </w:r>
      <w:r w:rsidRPr="0047276F">
        <w:rPr>
          <w:rFonts w:cs="Open Sans"/>
        </w:rPr>
        <w:t>Victorian Government (Department of Health), ‘Decision-making principles</w:t>
      </w:r>
      <w:r w:rsidRPr="004D2BDE">
        <w:rPr>
          <w:rFonts w:ascii="Arial" w:hAnsi="Arial" w:cs="Arial"/>
        </w:rPr>
        <w:t xml:space="preserve"> </w:t>
      </w:r>
      <w:r w:rsidRPr="00576FAA">
        <w:rPr>
          <w:rFonts w:cs="Open Sans"/>
        </w:rPr>
        <w:t xml:space="preserve">for the care of infants, children and adolescents with intersex conditions’ (February 2013) </w:t>
      </w:r>
      <w:r>
        <w:rPr>
          <w:rFonts w:cs="Open Sans"/>
        </w:rPr>
        <w:t>&lt;</w:t>
      </w:r>
      <w:hyperlink w:history="1" r:id="rId20">
        <w:r w:rsidRPr="00310050">
          <w:rPr>
            <w:rStyle w:val="Hyperlink"/>
            <w:rFonts w:cs="Open Sans"/>
          </w:rPr>
          <w:t>https://www2.health.vic.gov.au/about/populations/lgbti-health/rainbow-equality/working-with-specific-groups/infants-children-adolescents-with-intersex-conditions</w:t>
        </w:r>
      </w:hyperlink>
      <w:r>
        <w:rPr>
          <w:rStyle w:val="Hyperlink"/>
          <w:rFonts w:cs="Open Sans"/>
        </w:rPr>
        <w:t>&gt;.</w:t>
      </w:r>
    </w:p>
  </w:endnote>
  <w:endnote w:id="176">
    <w:p w:rsidRPr="00417EB4" w:rsidR="005C4CC3" w:rsidP="005C4CC3" w:rsidRDefault="005C4CC3" w14:paraId="44124BE2" w14:textId="77777777">
      <w:pPr>
        <w:pStyle w:val="EndnoteText"/>
        <w:rPr>
          <w:lang w:val="en-US"/>
        </w:rPr>
      </w:pPr>
      <w:r w:rsidRPr="00417EB4">
        <w:rPr>
          <w:rStyle w:val="EndnoteReference"/>
        </w:rPr>
        <w:endnoteRef/>
      </w:r>
      <w:r w:rsidRPr="00417EB4">
        <w:t xml:space="preserve"> The Endocrine Society of Australia, Submission No </w:t>
      </w:r>
      <w:r w:rsidRPr="00417EB4">
        <w:rPr>
          <w:lang w:val="en-US"/>
        </w:rPr>
        <w:t xml:space="preserve">39, 2. </w:t>
      </w:r>
    </w:p>
  </w:endnote>
  <w:endnote w:id="177">
    <w:p w:rsidRPr="00417EB4" w:rsidR="005C4CC3" w:rsidP="005C4CC3" w:rsidRDefault="005C4CC3" w14:paraId="0CF5F9DE" w14:textId="77777777">
      <w:pPr>
        <w:pStyle w:val="EndnoteText"/>
        <w:rPr>
          <w:lang w:val="en-US"/>
        </w:rPr>
      </w:pPr>
      <w:r w:rsidRPr="00417EB4">
        <w:rPr>
          <w:rStyle w:val="EndnoteReference"/>
        </w:rPr>
        <w:endnoteRef/>
      </w:r>
      <w:r w:rsidRPr="00417EB4">
        <w:t xml:space="preserve"> IA Hughes et al, ‘Consensus statement on management of intersex disorders’ </w:t>
      </w:r>
      <w:r>
        <w:t>(</w:t>
      </w:r>
      <w:r w:rsidRPr="00417EB4">
        <w:t>2006</w:t>
      </w:r>
      <w:r>
        <w:t>)</w:t>
      </w:r>
      <w:r w:rsidRPr="00417EB4">
        <w:t xml:space="preserve"> 2 </w:t>
      </w:r>
      <w:r w:rsidRPr="00417EB4">
        <w:rPr>
          <w:i/>
          <w:iCs/>
        </w:rPr>
        <w:t>Journal of Pediatric Urology</w:t>
      </w:r>
      <w:r w:rsidRPr="00417EB4">
        <w:rPr>
          <w:lang w:val="en-US"/>
        </w:rPr>
        <w:t xml:space="preserve">, Appendix 2. </w:t>
      </w:r>
    </w:p>
  </w:endnote>
  <w:endnote w:id="178">
    <w:p w:rsidRPr="00417EB4" w:rsidR="005C4CC3" w:rsidP="005C4CC3" w:rsidRDefault="005C4CC3" w14:paraId="537F682E" w14:textId="77777777">
      <w:pPr>
        <w:pStyle w:val="EndnoteText"/>
        <w:rPr>
          <w:lang w:val="en-US"/>
        </w:rPr>
      </w:pPr>
      <w:r w:rsidRPr="00417EB4">
        <w:rPr>
          <w:rStyle w:val="EndnoteReference"/>
        </w:rPr>
        <w:endnoteRef/>
      </w:r>
      <w:r>
        <w:rPr>
          <w:rFonts w:cs="Open Sans"/>
        </w:rPr>
        <w:t xml:space="preserve"> </w:t>
      </w:r>
      <w:r w:rsidRPr="00417EB4">
        <w:rPr>
          <w:rFonts w:cs="Open Sans"/>
        </w:rPr>
        <w:t xml:space="preserve">Peter A Lee et al, ‘Global Disorders of Sex Development Update since 2006: Perceptions, Approach and Care’ (2016) 85 </w:t>
      </w:r>
      <w:r w:rsidRPr="00417EB4">
        <w:rPr>
          <w:rFonts w:cs="Open Sans"/>
          <w:i/>
        </w:rPr>
        <w:t>Hormone Research in Paediatrics</w:t>
      </w:r>
      <w:r w:rsidRPr="00417EB4">
        <w:rPr>
          <w:rFonts w:cs="Open Sans"/>
        </w:rPr>
        <w:t xml:space="preserve"> 158, </w:t>
      </w:r>
      <w:r w:rsidRPr="00417EB4">
        <w:t>176.</w:t>
      </w:r>
    </w:p>
  </w:endnote>
  <w:endnote w:id="179">
    <w:p w:rsidRPr="00417EB4" w:rsidR="005C4CC3" w:rsidP="005C4CC3" w:rsidRDefault="005C4CC3" w14:paraId="59CC7ED5" w14:textId="77777777">
      <w:pPr>
        <w:pStyle w:val="EndnoteText"/>
        <w:rPr>
          <w:lang w:val="en-US"/>
        </w:rPr>
      </w:pPr>
      <w:r w:rsidRPr="00417EB4">
        <w:rPr>
          <w:rStyle w:val="EndnoteReference"/>
        </w:rPr>
        <w:endnoteRef/>
      </w:r>
      <w:r>
        <w:rPr>
          <w:rFonts w:cs="Open Sans"/>
        </w:rPr>
        <w:t xml:space="preserve"> </w:t>
      </w:r>
      <w:r w:rsidRPr="00417EB4">
        <w:rPr>
          <w:rFonts w:cs="Open Sans"/>
        </w:rPr>
        <w:t xml:space="preserve">Peter A Lee et al, ‘Global Disorders of Sex Development Update since 2006: Perceptions, Approach and Care’ (2016) 85 </w:t>
      </w:r>
      <w:r w:rsidRPr="00417EB4">
        <w:rPr>
          <w:rFonts w:cs="Open Sans"/>
          <w:i/>
        </w:rPr>
        <w:t>Hormone Research in Paediatrics</w:t>
      </w:r>
      <w:r w:rsidRPr="00417EB4">
        <w:rPr>
          <w:rFonts w:cs="Open Sans"/>
        </w:rPr>
        <w:t xml:space="preserve"> 158, </w:t>
      </w:r>
      <w:r w:rsidRPr="00417EB4">
        <w:rPr>
          <w:lang w:val="en-US"/>
        </w:rPr>
        <w:t xml:space="preserve">177. </w:t>
      </w:r>
    </w:p>
  </w:endnote>
  <w:endnote w:id="180">
    <w:p w:rsidRPr="00417EB4" w:rsidR="005C4CC3" w:rsidP="005C4CC3" w:rsidRDefault="005C4CC3" w14:paraId="152A8E38" w14:textId="77777777">
      <w:pPr>
        <w:pStyle w:val="EndnoteText"/>
        <w:rPr>
          <w:lang w:val="en-US"/>
        </w:rPr>
      </w:pPr>
      <w:r w:rsidRPr="00417EB4">
        <w:rPr>
          <w:rStyle w:val="EndnoteReference"/>
        </w:rPr>
        <w:endnoteRef/>
      </w:r>
      <w:r w:rsidRPr="00417EB4">
        <w:t xml:space="preserve"> </w:t>
      </w:r>
      <w:r w:rsidRPr="00417EB4">
        <w:rPr>
          <w:rFonts w:cs="Open Sans"/>
        </w:rPr>
        <w:t>Victorian Government (Department of Health), ‘Decision-making principles</w:t>
      </w:r>
      <w:r w:rsidRPr="00417EB4">
        <w:rPr>
          <w:rFonts w:ascii="Arial" w:hAnsi="Arial" w:cs="Arial"/>
        </w:rPr>
        <w:t xml:space="preserve"> </w:t>
      </w:r>
      <w:r w:rsidRPr="00417EB4">
        <w:rPr>
          <w:rFonts w:cs="Open Sans"/>
        </w:rPr>
        <w:t xml:space="preserve">for the care of infants, children and adolescents with intersex conditions’ (February 2013) </w:t>
      </w:r>
      <w:r w:rsidRPr="00417EB4">
        <w:t>p</w:t>
      </w:r>
      <w:r>
        <w:t> </w:t>
      </w:r>
      <w:r w:rsidRPr="00417EB4">
        <w:t xml:space="preserve">4. </w:t>
      </w:r>
      <w:r w:rsidRPr="00417EB4">
        <w:rPr>
          <w:rFonts w:cs="Open Sans"/>
        </w:rPr>
        <w:t>&lt;</w:t>
      </w:r>
      <w:hyperlink w:history="1" r:id="rId21">
        <w:r w:rsidRPr="00417EB4">
          <w:rPr>
            <w:rStyle w:val="Hyperlink"/>
            <w:rFonts w:cs="Open Sans"/>
          </w:rPr>
          <w:t>https://www2.health.vic.gov.au/about/populations/lgbti-health/rainbow-equality/working-with-specific-groups/infants-children-adolescents-with-intersex-conditions</w:t>
        </w:r>
      </w:hyperlink>
      <w:r w:rsidRPr="00417EB4">
        <w:rPr>
          <w:rStyle w:val="Hyperlink"/>
          <w:rFonts w:cs="Open Sans"/>
        </w:rPr>
        <w:t>&gt;</w:t>
      </w:r>
    </w:p>
  </w:endnote>
  <w:endnote w:id="181">
    <w:p w:rsidRPr="00417EB4" w:rsidR="005C4CC3" w:rsidP="005C4CC3" w:rsidRDefault="005C4CC3" w14:paraId="1C9EAFD8" w14:textId="77777777">
      <w:pPr>
        <w:pStyle w:val="EndnoteText"/>
        <w:rPr>
          <w:lang w:val="en-US"/>
        </w:rPr>
      </w:pPr>
      <w:r w:rsidRPr="00417EB4">
        <w:rPr>
          <w:rStyle w:val="EndnoteReference"/>
        </w:rPr>
        <w:endnoteRef/>
      </w:r>
      <w:r w:rsidRPr="00417EB4">
        <w:t xml:space="preserve"> </w:t>
      </w:r>
      <w:r w:rsidRPr="00417EB4">
        <w:rPr>
          <w:rFonts w:cs="Open Sans"/>
        </w:rPr>
        <w:t>Victorian Government (Department of Health), ‘Decision-making principles</w:t>
      </w:r>
      <w:r w:rsidRPr="00417EB4">
        <w:rPr>
          <w:rFonts w:ascii="Arial" w:hAnsi="Arial" w:cs="Arial"/>
        </w:rPr>
        <w:t xml:space="preserve"> </w:t>
      </w:r>
      <w:r w:rsidRPr="00417EB4">
        <w:rPr>
          <w:rFonts w:cs="Open Sans"/>
        </w:rPr>
        <w:t>for the care of infants, children and adolescents with intersex conditions’ (February 2013) Appendix 1,</w:t>
      </w:r>
      <w:r>
        <w:rPr>
          <w:rFonts w:cs="Open Sans"/>
        </w:rPr>
        <w:t xml:space="preserve"> </w:t>
      </w:r>
      <w:r w:rsidRPr="00417EB4">
        <w:rPr>
          <w:rFonts w:cs="Open Sans"/>
        </w:rPr>
        <w:t>p</w:t>
      </w:r>
      <w:r>
        <w:rPr>
          <w:rFonts w:cs="Open Sans"/>
        </w:rPr>
        <w:t> </w:t>
      </w:r>
      <w:r w:rsidRPr="00417EB4">
        <w:rPr>
          <w:rFonts w:cs="Open Sans"/>
        </w:rPr>
        <w:t>12. &lt;</w:t>
      </w:r>
      <w:hyperlink w:history="1" r:id="rId22">
        <w:r w:rsidRPr="00417EB4">
          <w:rPr>
            <w:rStyle w:val="Hyperlink"/>
            <w:rFonts w:cs="Open Sans"/>
          </w:rPr>
          <w:t>https://www2.health.vic.gov.au/about/populations/lgbti-health/rainbow-equality/working-with-specific-groups/infants-children-adolescents-with-intersex-conditions</w:t>
        </w:r>
      </w:hyperlink>
      <w:r w:rsidRPr="00417EB4">
        <w:rPr>
          <w:rFonts w:cs="Open Sans"/>
        </w:rPr>
        <w:t xml:space="preserve">&gt; </w:t>
      </w:r>
    </w:p>
  </w:endnote>
  <w:endnote w:id="182">
    <w:p w:rsidRPr="00417EB4" w:rsidR="005C4CC3" w:rsidP="005C4CC3" w:rsidRDefault="005C4CC3" w14:paraId="0ECCBF79" w14:textId="77777777">
      <w:pPr>
        <w:pStyle w:val="EndnoteText"/>
        <w:rPr>
          <w:lang w:val="en-US"/>
        </w:rPr>
      </w:pPr>
      <w:r w:rsidRPr="00417EB4">
        <w:rPr>
          <w:rStyle w:val="EndnoteReference"/>
        </w:rPr>
        <w:endnoteRef/>
      </w:r>
      <w:r w:rsidRPr="00417EB4">
        <w:t xml:space="preserve"> </w:t>
      </w:r>
      <w:r w:rsidRPr="00417EB4">
        <w:rPr>
          <w:rFonts w:cs="Open Sans"/>
        </w:rPr>
        <w:t>Victorian Government (Department of Health), ‘Decision-making principles</w:t>
      </w:r>
      <w:r w:rsidRPr="00417EB4">
        <w:rPr>
          <w:rFonts w:ascii="Arial" w:hAnsi="Arial" w:cs="Arial"/>
        </w:rPr>
        <w:t xml:space="preserve"> </w:t>
      </w:r>
      <w:r w:rsidRPr="00417EB4">
        <w:rPr>
          <w:rFonts w:cs="Open Sans"/>
        </w:rPr>
        <w:t>for the care of infants, children and adolescents with intersex conditions’ (February 2013) Appendix 1, p</w:t>
      </w:r>
      <w:r>
        <w:rPr>
          <w:rFonts w:cs="Open Sans"/>
        </w:rPr>
        <w:t> </w:t>
      </w:r>
      <w:r w:rsidRPr="00417EB4">
        <w:rPr>
          <w:rFonts w:cs="Open Sans"/>
        </w:rPr>
        <w:t>12. &lt;</w:t>
      </w:r>
      <w:hyperlink w:history="1" r:id="rId23">
        <w:r w:rsidRPr="00417EB4">
          <w:rPr>
            <w:rStyle w:val="Hyperlink"/>
            <w:rFonts w:cs="Open Sans"/>
          </w:rPr>
          <w:t>https://www2.health.vic.gov.au/about/populations/lgbti-health/rainbow-equality/working-with-specific-groups/infants-children-adolescents-with-intersex-conditions</w:t>
        </w:r>
      </w:hyperlink>
      <w:r w:rsidRPr="00417EB4">
        <w:rPr>
          <w:rFonts w:cs="Open Sans"/>
        </w:rPr>
        <w:t xml:space="preserve">&gt; </w:t>
      </w:r>
    </w:p>
  </w:endnote>
  <w:endnote w:id="183">
    <w:p w:rsidRPr="00417EB4" w:rsidR="005C4CC3" w:rsidP="005C4CC3" w:rsidRDefault="005C4CC3" w14:paraId="5FDA3BCE" w14:textId="77777777">
      <w:pPr>
        <w:pStyle w:val="EndnoteText"/>
        <w:rPr>
          <w:lang w:val="en-US"/>
        </w:rPr>
      </w:pPr>
      <w:r w:rsidRPr="00417EB4">
        <w:rPr>
          <w:rStyle w:val="EndnoteReference"/>
        </w:rPr>
        <w:endnoteRef/>
      </w:r>
      <w:r w:rsidRPr="00417EB4">
        <w:t xml:space="preserve"> </w:t>
      </w:r>
      <w:r w:rsidRPr="00417EB4">
        <w:rPr>
          <w:rFonts w:cs="Open Sans"/>
        </w:rPr>
        <w:t>Victorian Government (Department of Health), ‘Decision-making principles</w:t>
      </w:r>
      <w:r w:rsidRPr="00417EB4">
        <w:rPr>
          <w:rFonts w:ascii="Arial" w:hAnsi="Arial" w:cs="Arial"/>
        </w:rPr>
        <w:t xml:space="preserve"> </w:t>
      </w:r>
      <w:r w:rsidRPr="00417EB4">
        <w:rPr>
          <w:rFonts w:cs="Open Sans"/>
        </w:rPr>
        <w:t>for the care of infants, children and adolescents with intersex conditions’ (February 2013) Appendix 1, p</w:t>
      </w:r>
      <w:r>
        <w:rPr>
          <w:rFonts w:cs="Open Sans"/>
        </w:rPr>
        <w:t> </w:t>
      </w:r>
      <w:r w:rsidRPr="00417EB4">
        <w:rPr>
          <w:rFonts w:cs="Open Sans"/>
        </w:rPr>
        <w:t>13</w:t>
      </w:r>
      <w:r>
        <w:rPr>
          <w:rFonts w:cs="Open Sans"/>
        </w:rPr>
        <w:t>.</w:t>
      </w:r>
      <w:r w:rsidRPr="00417EB4">
        <w:rPr>
          <w:rFonts w:cs="Open Sans"/>
        </w:rPr>
        <w:t xml:space="preserve"> &lt;</w:t>
      </w:r>
      <w:hyperlink w:history="1" r:id="rId24">
        <w:r w:rsidRPr="00417EB4">
          <w:rPr>
            <w:rStyle w:val="Hyperlink"/>
            <w:rFonts w:cs="Open Sans"/>
          </w:rPr>
          <w:t>https://www2.health.vic.gov.au/about/populations/lgbti-health/rainbow-equality/working-with-specific-groups/infants-children-adolescents-with-intersex-conditions</w:t>
        </w:r>
      </w:hyperlink>
      <w:r w:rsidRPr="00417EB4">
        <w:rPr>
          <w:rFonts w:cs="Open Sans"/>
        </w:rPr>
        <w:t xml:space="preserve">&gt; </w:t>
      </w:r>
    </w:p>
  </w:endnote>
  <w:endnote w:id="184">
    <w:p w:rsidRPr="00417EB4" w:rsidR="005C4CC3" w:rsidP="005C4CC3" w:rsidRDefault="005C4CC3" w14:paraId="5235262D" w14:textId="77777777">
      <w:pPr>
        <w:pStyle w:val="EndnoteText"/>
        <w:rPr>
          <w:lang w:val="en-US"/>
        </w:rPr>
      </w:pPr>
      <w:r w:rsidRPr="00417EB4">
        <w:rPr>
          <w:rStyle w:val="EndnoteReference"/>
        </w:rPr>
        <w:endnoteRef/>
      </w:r>
      <w:r w:rsidRPr="00417EB4">
        <w:t xml:space="preserve"> </w:t>
      </w:r>
      <w:r w:rsidRPr="00417EB4">
        <w:rPr>
          <w:rFonts w:cs="Open Sans"/>
        </w:rPr>
        <w:t>Victorian Government (Department of Health), ‘Decision-making principles</w:t>
      </w:r>
      <w:r w:rsidRPr="00417EB4">
        <w:rPr>
          <w:rFonts w:ascii="Arial" w:hAnsi="Arial" w:cs="Arial"/>
        </w:rPr>
        <w:t xml:space="preserve"> </w:t>
      </w:r>
      <w:r w:rsidRPr="00417EB4">
        <w:rPr>
          <w:rFonts w:cs="Open Sans"/>
        </w:rPr>
        <w:t>for the care of infants, children and adolescents with intersex conditions’ (February 2013) Appendix 1,</w:t>
      </w:r>
      <w:r>
        <w:rPr>
          <w:rFonts w:cs="Open Sans"/>
        </w:rPr>
        <w:t> </w:t>
      </w:r>
      <w:r w:rsidRPr="00417EB4">
        <w:rPr>
          <w:rFonts w:cs="Open Sans"/>
        </w:rPr>
        <w:t>14</w:t>
      </w:r>
      <w:r>
        <w:rPr>
          <w:rFonts w:cs="Open Sans"/>
        </w:rPr>
        <w:t>.</w:t>
      </w:r>
      <w:r w:rsidRPr="00417EB4">
        <w:rPr>
          <w:rFonts w:cs="Open Sans"/>
        </w:rPr>
        <w:t xml:space="preserve"> &lt;</w:t>
      </w:r>
      <w:hyperlink w:history="1" r:id="rId25">
        <w:r w:rsidRPr="00417EB4">
          <w:rPr>
            <w:rStyle w:val="Hyperlink"/>
            <w:rFonts w:cs="Open Sans"/>
          </w:rPr>
          <w:t>https://www2.health.vic.gov.au/about/populations/lgbti-health/rainbow-equality/working-with-specific-groups/infants-children-adolescents-with-intersex-conditions</w:t>
        </w:r>
      </w:hyperlink>
      <w:r w:rsidRPr="00417EB4">
        <w:rPr>
          <w:rFonts w:cs="Open Sans"/>
        </w:rPr>
        <w:t>&gt;</w:t>
      </w:r>
      <w:r>
        <w:rPr>
          <w:rFonts w:cs="Open Sans"/>
        </w:rPr>
        <w:t>.</w:t>
      </w:r>
    </w:p>
  </w:endnote>
  <w:endnote w:id="185">
    <w:p w:rsidRPr="00417EB4" w:rsidR="005C4CC3" w:rsidP="005C4CC3" w:rsidRDefault="005C4CC3" w14:paraId="5C066C1B" w14:textId="77777777">
      <w:pPr>
        <w:pStyle w:val="EndnoteText"/>
        <w:rPr>
          <w:rFonts w:cs="Open Sans"/>
        </w:rPr>
      </w:pPr>
      <w:r w:rsidRPr="00417EB4">
        <w:rPr>
          <w:rStyle w:val="EndnoteReference"/>
          <w:rFonts w:cs="Open Sans"/>
        </w:rPr>
        <w:endnoteRef/>
      </w:r>
      <w:r w:rsidRPr="00417EB4">
        <w:rPr>
          <w:rFonts w:cs="Open Sans"/>
        </w:rPr>
        <w:t xml:space="preserve"> Submission 21</w:t>
      </w:r>
      <w:r>
        <w:rPr>
          <w:rFonts w:cs="Open Sans"/>
          <w:lang w:val="en-US"/>
        </w:rPr>
        <w:t xml:space="preserve">, </w:t>
      </w:r>
      <w:r>
        <w:rPr>
          <w:rFonts w:cs="Open Sans"/>
          <w:i/>
        </w:rPr>
        <w:t>Intersex Inquiry</w:t>
      </w:r>
      <w:r>
        <w:rPr>
          <w:rFonts w:cs="Open Sans"/>
        </w:rPr>
        <w:t>;</w:t>
      </w:r>
      <w:r w:rsidRPr="00417EB4">
        <w:rPr>
          <w:rFonts w:cs="Open Sans"/>
        </w:rPr>
        <w:t xml:space="preserve"> Submission 36</w:t>
      </w:r>
      <w:r>
        <w:rPr>
          <w:rFonts w:cs="Open Sans"/>
          <w:lang w:val="en-US"/>
        </w:rPr>
        <w:t xml:space="preserve">, </w:t>
      </w:r>
      <w:r>
        <w:rPr>
          <w:rFonts w:cs="Open Sans"/>
          <w:i/>
        </w:rPr>
        <w:t>Intersex Inquiry</w:t>
      </w:r>
      <w:r w:rsidRPr="00417EB4" w:rsidDel="00B223EB">
        <w:rPr>
          <w:rFonts w:cs="Open Sans"/>
        </w:rPr>
        <w:t>;</w:t>
      </w:r>
      <w:r w:rsidRPr="00417EB4">
        <w:rPr>
          <w:rFonts w:cs="Open Sans"/>
        </w:rPr>
        <w:t xml:space="preserve"> Submission 35</w:t>
      </w:r>
      <w:r>
        <w:rPr>
          <w:rFonts w:cs="Open Sans"/>
          <w:lang w:val="en-US"/>
        </w:rPr>
        <w:t xml:space="preserve">, </w:t>
      </w:r>
      <w:r>
        <w:rPr>
          <w:rFonts w:cs="Open Sans"/>
          <w:i/>
        </w:rPr>
        <w:t>Intersex Inquiry</w:t>
      </w:r>
      <w:r w:rsidRPr="00417EB4" w:rsidDel="00B223EB">
        <w:rPr>
          <w:rFonts w:cs="Open Sans"/>
        </w:rPr>
        <w:t>;</w:t>
      </w:r>
      <w:r w:rsidRPr="00417EB4">
        <w:rPr>
          <w:rFonts w:cs="Open Sans"/>
        </w:rPr>
        <w:t xml:space="preserve"> Submission 50,</w:t>
      </w:r>
      <w:r w:rsidRPr="00B223EB">
        <w:rPr>
          <w:rFonts w:cs="Open Sans"/>
          <w:lang w:val="en-US"/>
        </w:rPr>
        <w:t xml:space="preserve"> </w:t>
      </w:r>
      <w:r>
        <w:rPr>
          <w:rFonts w:cs="Open Sans"/>
          <w:lang w:val="en-US"/>
        </w:rPr>
        <w:t xml:space="preserve"> </w:t>
      </w:r>
      <w:r>
        <w:rPr>
          <w:rFonts w:cs="Open Sans"/>
          <w:i/>
        </w:rPr>
        <w:t>Intersex Inquiry</w:t>
      </w:r>
      <w:r>
        <w:rPr>
          <w:rFonts w:cs="Open Sans"/>
        </w:rPr>
        <w:t>,</w:t>
      </w:r>
      <w:r w:rsidRPr="00417EB4">
        <w:rPr>
          <w:rFonts w:cs="Open Sans"/>
        </w:rPr>
        <w:t xml:space="preserve"> 2; NHMRC Funded Program, Submission 30,</w:t>
      </w:r>
      <w:r w:rsidRPr="00B223EB">
        <w:rPr>
          <w:rFonts w:cs="Open Sans"/>
          <w:lang w:val="en-US"/>
        </w:rPr>
        <w:t xml:space="preserve"> </w:t>
      </w:r>
      <w:r>
        <w:rPr>
          <w:rFonts w:cs="Open Sans"/>
          <w:i/>
        </w:rPr>
        <w:t>Intersex Inquiry</w:t>
      </w:r>
      <w:r>
        <w:rPr>
          <w:rFonts w:cs="Open Sans"/>
        </w:rPr>
        <w:t>,</w:t>
      </w:r>
      <w:r w:rsidRPr="00417EB4">
        <w:rPr>
          <w:rFonts w:cs="Open Sans"/>
        </w:rPr>
        <w:t xml:space="preserve"> 5; Endocrine Society of Australia, Submission 39,</w:t>
      </w:r>
      <w:r>
        <w:rPr>
          <w:rFonts w:cs="Open Sans"/>
          <w:lang w:val="en-US"/>
        </w:rPr>
        <w:t xml:space="preserve"> </w:t>
      </w:r>
      <w:r>
        <w:rPr>
          <w:rFonts w:cs="Open Sans"/>
          <w:i/>
        </w:rPr>
        <w:t>Intersex Inquiry</w:t>
      </w:r>
      <w:r>
        <w:rPr>
          <w:rFonts w:cs="Open Sans"/>
        </w:rPr>
        <w:t>,</w:t>
      </w:r>
      <w:r w:rsidRPr="00417EB4">
        <w:rPr>
          <w:rFonts w:cs="Open Sans"/>
        </w:rPr>
        <w:t xml:space="preserve"> 3. </w:t>
      </w:r>
    </w:p>
  </w:endnote>
  <w:endnote w:id="186">
    <w:p w:rsidRPr="00417EB4" w:rsidR="005C4CC3" w:rsidP="005C4CC3" w:rsidRDefault="005C4CC3" w14:paraId="7D6E26E4" w14:textId="77777777">
      <w:pPr>
        <w:pStyle w:val="EndnoteText"/>
        <w:rPr>
          <w:lang w:val="en-US"/>
        </w:rPr>
      </w:pPr>
      <w:r w:rsidRPr="00417EB4">
        <w:rPr>
          <w:rStyle w:val="EndnoteReference"/>
        </w:rPr>
        <w:endnoteRef/>
      </w:r>
      <w:r w:rsidRPr="00417EB4">
        <w:t xml:space="preserve"> </w:t>
      </w:r>
      <w:r w:rsidRPr="00417EB4">
        <w:rPr>
          <w:lang w:val="en-US"/>
        </w:rPr>
        <w:t>Submission 50,</w:t>
      </w:r>
      <w:r w:rsidRPr="00032355">
        <w:rPr>
          <w:rFonts w:cs="Open Sans"/>
          <w:lang w:val="en-US"/>
        </w:rPr>
        <w:t xml:space="preserve"> </w:t>
      </w:r>
      <w:r>
        <w:rPr>
          <w:rFonts w:cs="Open Sans"/>
          <w:i/>
        </w:rPr>
        <w:t>Intersex Inquiry</w:t>
      </w:r>
      <w:r>
        <w:rPr>
          <w:rFonts w:cs="Open Sans"/>
        </w:rPr>
        <w:t>,</w:t>
      </w:r>
      <w:r w:rsidRPr="00417EB4">
        <w:rPr>
          <w:lang w:val="en-US"/>
        </w:rPr>
        <w:t xml:space="preserve"> 2. </w:t>
      </w:r>
    </w:p>
  </w:endnote>
  <w:endnote w:id="187">
    <w:p w:rsidRPr="00327F1A" w:rsidR="005C4CC3" w:rsidP="005C4CC3" w:rsidRDefault="005C4CC3" w14:paraId="05D6E5ED" w14:textId="77777777">
      <w:pPr>
        <w:pStyle w:val="EndnoteText"/>
        <w:rPr>
          <w:lang w:val="en-US"/>
        </w:rPr>
      </w:pPr>
      <w:r>
        <w:rPr>
          <w:rStyle w:val="EndnoteReference"/>
        </w:rPr>
        <w:endnoteRef/>
      </w:r>
      <w:r>
        <w:t xml:space="preserve"> </w:t>
      </w:r>
      <w:r>
        <w:rPr>
          <w:lang w:val="en-US"/>
        </w:rPr>
        <w:t>NHMRC Funded Program, Submission 30,</w:t>
      </w:r>
      <w:r w:rsidRPr="00032355">
        <w:rPr>
          <w:rFonts w:cs="Open Sans"/>
          <w:lang w:val="en-US"/>
        </w:rPr>
        <w:t xml:space="preserve"> </w:t>
      </w:r>
      <w:r>
        <w:rPr>
          <w:rFonts w:cs="Open Sans"/>
          <w:i/>
        </w:rPr>
        <w:t>Intersex Inquiry</w:t>
      </w:r>
      <w:r>
        <w:rPr>
          <w:rFonts w:cs="Open Sans"/>
        </w:rPr>
        <w:t>,</w:t>
      </w:r>
      <w:r>
        <w:rPr>
          <w:lang w:val="en-US"/>
        </w:rPr>
        <w:t xml:space="preserve"> 3; </w:t>
      </w:r>
      <w:r>
        <w:rPr>
          <w:rFonts w:cs="Open Sans"/>
        </w:rPr>
        <w:t>Australasian Paediatric Endocrine Group</w:t>
      </w:r>
      <w:r w:rsidRPr="00417EB4">
        <w:rPr>
          <w:rFonts w:cs="Open Sans"/>
        </w:rPr>
        <w:t>, Submission 20</w:t>
      </w:r>
      <w:bookmarkStart w:name="_Hlk79763108" w:id="213"/>
      <w:r w:rsidRPr="00417EB4">
        <w:rPr>
          <w:rFonts w:cs="Open Sans"/>
        </w:rPr>
        <w:t>,</w:t>
      </w:r>
      <w:r w:rsidRPr="00032355">
        <w:rPr>
          <w:rFonts w:cs="Open Sans"/>
          <w:lang w:val="en-US"/>
        </w:rPr>
        <w:t xml:space="preserve"> </w:t>
      </w:r>
      <w:r>
        <w:rPr>
          <w:rFonts w:cs="Open Sans"/>
          <w:i/>
        </w:rPr>
        <w:t>Intersex Inquiry</w:t>
      </w:r>
      <w:r>
        <w:rPr>
          <w:rFonts w:cs="Open Sans"/>
        </w:rPr>
        <w:t>,</w:t>
      </w:r>
      <w:r w:rsidRPr="00417EB4">
        <w:rPr>
          <w:rFonts w:cs="Open Sans"/>
        </w:rPr>
        <w:t xml:space="preserve"> </w:t>
      </w:r>
      <w:bookmarkEnd w:id="213"/>
      <w:r w:rsidRPr="00417EB4">
        <w:rPr>
          <w:rFonts w:cs="Open Sans"/>
        </w:rPr>
        <w:t>3</w:t>
      </w:r>
      <w:r>
        <w:rPr>
          <w:rFonts w:cs="Open Sans"/>
        </w:rPr>
        <w:t>.</w:t>
      </w:r>
    </w:p>
  </w:endnote>
  <w:endnote w:id="188">
    <w:p w:rsidRPr="00417EB4" w:rsidR="005C4CC3" w:rsidP="005C4CC3" w:rsidRDefault="005C4CC3" w14:paraId="203F7A8F" w14:textId="77777777">
      <w:pPr>
        <w:pStyle w:val="EndnoteText"/>
        <w:rPr>
          <w:rFonts w:cs="Open Sans"/>
        </w:rPr>
      </w:pPr>
      <w:r w:rsidRPr="00417EB4">
        <w:rPr>
          <w:rStyle w:val="EndnoteReference"/>
          <w:rFonts w:cs="Open Sans"/>
        </w:rPr>
        <w:endnoteRef/>
      </w:r>
      <w:r w:rsidRPr="00417EB4">
        <w:rPr>
          <w:rFonts w:cs="Open Sans"/>
        </w:rPr>
        <w:t xml:space="preserve"> </w:t>
      </w:r>
      <w:r>
        <w:rPr>
          <w:rFonts w:cs="Open Sans"/>
        </w:rPr>
        <w:t>Australasian Paediatric Endocrine Group</w:t>
      </w:r>
      <w:r w:rsidRPr="00417EB4">
        <w:rPr>
          <w:rFonts w:cs="Open Sans"/>
        </w:rPr>
        <w:t>, Submission 20,</w:t>
      </w:r>
      <w:r w:rsidRPr="00EA1345">
        <w:rPr>
          <w:rFonts w:cs="Open Sans"/>
        </w:rPr>
        <w:t xml:space="preserve"> </w:t>
      </w:r>
      <w:r>
        <w:rPr>
          <w:rFonts w:cs="Open Sans"/>
          <w:i/>
        </w:rPr>
        <w:t>Intersex Inquiry</w:t>
      </w:r>
      <w:r>
        <w:rPr>
          <w:rFonts w:cs="Open Sans"/>
        </w:rPr>
        <w:t>,</w:t>
      </w:r>
      <w:r w:rsidRPr="00417EB4">
        <w:rPr>
          <w:rFonts w:cs="Open Sans"/>
        </w:rPr>
        <w:t xml:space="preserve"> 3.</w:t>
      </w:r>
    </w:p>
  </w:endnote>
  <w:endnote w:id="189">
    <w:p w:rsidRPr="00417EB4" w:rsidR="005C4CC3" w:rsidP="005C4CC3" w:rsidRDefault="005C4CC3" w14:paraId="3E4D8209" w14:textId="77777777">
      <w:pPr>
        <w:pStyle w:val="EndnoteText"/>
        <w:rPr>
          <w:lang w:val="en-US"/>
        </w:rPr>
      </w:pPr>
      <w:r w:rsidRPr="00417EB4">
        <w:rPr>
          <w:rStyle w:val="EndnoteReference"/>
        </w:rPr>
        <w:endnoteRef/>
      </w:r>
      <w:r w:rsidRPr="00417EB4">
        <w:t xml:space="preserve"> Western Australian Multidisciplinary DSD Team, Submission </w:t>
      </w:r>
      <w:r w:rsidRPr="00417EB4">
        <w:rPr>
          <w:lang w:val="en-US"/>
        </w:rPr>
        <w:t>23,</w:t>
      </w:r>
      <w:r w:rsidRPr="00EA1345">
        <w:rPr>
          <w:rFonts w:cs="Open Sans"/>
        </w:rPr>
        <w:t xml:space="preserve"> </w:t>
      </w:r>
      <w:r>
        <w:rPr>
          <w:rFonts w:cs="Open Sans"/>
          <w:i/>
        </w:rPr>
        <w:t>Intersex Inquiry</w:t>
      </w:r>
      <w:r>
        <w:rPr>
          <w:rFonts w:cs="Open Sans"/>
        </w:rPr>
        <w:t>,</w:t>
      </w:r>
      <w:r w:rsidRPr="00417EB4">
        <w:rPr>
          <w:rFonts w:cs="Open Sans"/>
        </w:rPr>
        <w:t xml:space="preserve"> </w:t>
      </w:r>
      <w:r w:rsidRPr="00417EB4">
        <w:rPr>
          <w:lang w:val="en-US"/>
        </w:rPr>
        <w:t>2; NHMRC Funded Program, Submission 30,</w:t>
      </w:r>
      <w:r w:rsidRPr="00EA1345">
        <w:rPr>
          <w:rFonts w:cs="Open Sans"/>
        </w:rPr>
        <w:t xml:space="preserve"> </w:t>
      </w:r>
      <w:r>
        <w:rPr>
          <w:rFonts w:cs="Open Sans"/>
          <w:i/>
        </w:rPr>
        <w:t>Intersex Inquiry</w:t>
      </w:r>
      <w:r>
        <w:rPr>
          <w:rFonts w:cs="Open Sans"/>
        </w:rPr>
        <w:t>,</w:t>
      </w:r>
      <w:r w:rsidRPr="00417EB4">
        <w:rPr>
          <w:rFonts w:cs="Open Sans"/>
        </w:rPr>
        <w:t xml:space="preserve"> </w:t>
      </w:r>
      <w:r w:rsidRPr="00417EB4">
        <w:rPr>
          <w:lang w:val="en-US"/>
        </w:rPr>
        <w:t>3; Submission 50,</w:t>
      </w:r>
      <w:r>
        <w:rPr>
          <w:rFonts w:cs="Open Sans"/>
          <w:lang w:val="en-US"/>
        </w:rPr>
        <w:t xml:space="preserve"> </w:t>
      </w:r>
      <w:r>
        <w:rPr>
          <w:rFonts w:cs="Open Sans"/>
          <w:i/>
        </w:rPr>
        <w:t>Intersex Inquiry</w:t>
      </w:r>
      <w:r>
        <w:rPr>
          <w:rFonts w:cs="Open Sans"/>
        </w:rPr>
        <w:t>,</w:t>
      </w:r>
      <w:r w:rsidRPr="00417EB4">
        <w:rPr>
          <w:rFonts w:cs="Open Sans"/>
        </w:rPr>
        <w:t xml:space="preserve"> </w:t>
      </w:r>
      <w:r w:rsidRPr="00417EB4">
        <w:rPr>
          <w:lang w:val="en-US"/>
        </w:rPr>
        <w:t xml:space="preserve">2. </w:t>
      </w:r>
    </w:p>
  </w:endnote>
  <w:endnote w:id="190">
    <w:p w:rsidRPr="00417EB4" w:rsidR="005C4CC3" w:rsidP="005C4CC3" w:rsidRDefault="005C4CC3" w14:paraId="3E82750D" w14:textId="77777777">
      <w:pPr>
        <w:pStyle w:val="EndnoteText"/>
        <w:rPr>
          <w:lang w:val="en-US"/>
        </w:rPr>
      </w:pPr>
      <w:r w:rsidRPr="00417EB4">
        <w:rPr>
          <w:rStyle w:val="EndnoteReference"/>
        </w:rPr>
        <w:endnoteRef/>
      </w:r>
      <w:r w:rsidRPr="00417EB4">
        <w:t xml:space="preserve"> Submission 20,</w:t>
      </w:r>
      <w:r w:rsidRPr="00EA1345">
        <w:rPr>
          <w:rFonts w:cs="Open Sans"/>
        </w:rPr>
        <w:t xml:space="preserve"> </w:t>
      </w:r>
      <w:r>
        <w:rPr>
          <w:rFonts w:cs="Open Sans"/>
          <w:i/>
        </w:rPr>
        <w:t>Intersex Inquiry</w:t>
      </w:r>
      <w:r>
        <w:rPr>
          <w:rFonts w:cs="Open Sans"/>
        </w:rPr>
        <w:t>,</w:t>
      </w:r>
      <w:r w:rsidRPr="00417EB4">
        <w:t xml:space="preserve"> 5.</w:t>
      </w:r>
    </w:p>
  </w:endnote>
  <w:endnote w:id="191">
    <w:p w:rsidRPr="00417EB4" w:rsidR="005C4CC3" w:rsidP="005C4CC3" w:rsidRDefault="005C4CC3" w14:paraId="2DD14F23" w14:textId="77777777">
      <w:pPr>
        <w:pStyle w:val="EndnoteText"/>
        <w:rPr>
          <w:lang w:val="en-US"/>
        </w:rPr>
      </w:pPr>
      <w:r w:rsidRPr="00417EB4">
        <w:rPr>
          <w:rStyle w:val="EndnoteReference"/>
        </w:rPr>
        <w:endnoteRef/>
      </w:r>
      <w:r w:rsidRPr="00417EB4">
        <w:t xml:space="preserve"> </w:t>
      </w:r>
      <w:r>
        <w:rPr>
          <w:rFonts w:cs="Open Sans"/>
        </w:rPr>
        <w:t>Australasian Paediatric Endocrine Group</w:t>
      </w:r>
      <w:r w:rsidRPr="00417EB4">
        <w:rPr>
          <w:rFonts w:cs="Open Sans"/>
        </w:rPr>
        <w:t xml:space="preserve">, Submission </w:t>
      </w:r>
      <w:r w:rsidRPr="00417EB4">
        <w:rPr>
          <w:lang w:val="en-US"/>
        </w:rPr>
        <w:t>20,</w:t>
      </w:r>
      <w:r>
        <w:rPr>
          <w:rFonts w:cs="Open Sans"/>
          <w:lang w:val="en-US"/>
        </w:rPr>
        <w:t xml:space="preserve"> </w:t>
      </w:r>
      <w:r>
        <w:rPr>
          <w:rFonts w:cs="Open Sans"/>
          <w:i/>
        </w:rPr>
        <w:t>Intersex Inquiry</w:t>
      </w:r>
      <w:r>
        <w:rPr>
          <w:rFonts w:cs="Open Sans"/>
        </w:rPr>
        <w:t>,</w:t>
      </w:r>
      <w:r w:rsidRPr="00417EB4">
        <w:rPr>
          <w:rFonts w:cs="Open Sans"/>
        </w:rPr>
        <w:t xml:space="preserve"> </w:t>
      </w:r>
      <w:r w:rsidRPr="00417EB4">
        <w:rPr>
          <w:lang w:val="en-US"/>
        </w:rPr>
        <w:t>1; NHRMC Funded Program, Submission 30,</w:t>
      </w:r>
      <w:r w:rsidRPr="00032355">
        <w:rPr>
          <w:rFonts w:cs="Open Sans"/>
          <w:lang w:val="en-US"/>
        </w:rPr>
        <w:t xml:space="preserve"> </w:t>
      </w:r>
      <w:r>
        <w:rPr>
          <w:rFonts w:cs="Open Sans"/>
          <w:i/>
        </w:rPr>
        <w:t>Intersex Inquiry</w:t>
      </w:r>
      <w:r>
        <w:rPr>
          <w:rFonts w:cs="Open Sans"/>
        </w:rPr>
        <w:t>,</w:t>
      </w:r>
      <w:r w:rsidRPr="00417EB4">
        <w:rPr>
          <w:rFonts w:cs="Open Sans"/>
        </w:rPr>
        <w:t xml:space="preserve"> </w:t>
      </w:r>
      <w:r w:rsidRPr="00417EB4">
        <w:rPr>
          <w:lang w:val="en-US"/>
        </w:rPr>
        <w:t>4.</w:t>
      </w:r>
    </w:p>
  </w:endnote>
  <w:endnote w:id="192">
    <w:p w:rsidRPr="00417EB4" w:rsidR="005C4CC3" w:rsidP="005C4CC3" w:rsidRDefault="005C4CC3" w14:paraId="51D5BC45" w14:textId="77777777">
      <w:pPr>
        <w:pStyle w:val="EndnoteText"/>
        <w:rPr>
          <w:lang w:val="en-US"/>
        </w:rPr>
      </w:pPr>
      <w:r w:rsidRPr="00417EB4">
        <w:rPr>
          <w:rStyle w:val="EndnoteReference"/>
        </w:rPr>
        <w:endnoteRef/>
      </w:r>
      <w:r w:rsidRPr="00417EB4">
        <w:t xml:space="preserve"> </w:t>
      </w:r>
      <w:r w:rsidRPr="00417EB4">
        <w:rPr>
          <w:lang w:val="en-US"/>
        </w:rPr>
        <w:t>NHRMC Funded Program, Submission 30,</w:t>
      </w:r>
      <w:r w:rsidRPr="001665B6">
        <w:rPr>
          <w:rFonts w:cs="Open Sans"/>
        </w:rPr>
        <w:t xml:space="preserve"> </w:t>
      </w:r>
      <w:r>
        <w:rPr>
          <w:rFonts w:cs="Open Sans"/>
          <w:i/>
        </w:rPr>
        <w:t>Intersex Inquiry</w:t>
      </w:r>
      <w:r>
        <w:rPr>
          <w:rFonts w:cs="Open Sans"/>
        </w:rPr>
        <w:t>,</w:t>
      </w:r>
      <w:r w:rsidRPr="00417EB4">
        <w:rPr>
          <w:rFonts w:cs="Open Sans"/>
        </w:rPr>
        <w:t xml:space="preserve"> </w:t>
      </w:r>
      <w:r w:rsidRPr="00417EB4">
        <w:rPr>
          <w:lang w:val="en-US"/>
        </w:rPr>
        <w:t>4.</w:t>
      </w:r>
    </w:p>
  </w:endnote>
  <w:endnote w:id="193">
    <w:p w:rsidRPr="000A09E3" w:rsidR="005C4CC3" w:rsidP="005C4CC3" w:rsidRDefault="005C4CC3" w14:paraId="0FA472A5" w14:textId="77777777">
      <w:pPr>
        <w:pStyle w:val="EndnoteText"/>
        <w:rPr>
          <w:lang w:val="en-US"/>
        </w:rPr>
      </w:pPr>
      <w:r>
        <w:rPr>
          <w:rStyle w:val="EndnoteReference"/>
        </w:rPr>
        <w:endnoteRef/>
      </w:r>
      <w:r>
        <w:t xml:space="preserve"> Submission 39,</w:t>
      </w:r>
      <w:r w:rsidRPr="001665B6">
        <w:rPr>
          <w:rFonts w:cs="Open Sans"/>
        </w:rPr>
        <w:t xml:space="preserve"> </w:t>
      </w:r>
      <w:r>
        <w:rPr>
          <w:rFonts w:cs="Open Sans"/>
          <w:i/>
        </w:rPr>
        <w:t>Intersex Inquiry</w:t>
      </w:r>
      <w:r>
        <w:rPr>
          <w:rFonts w:cs="Open Sans"/>
        </w:rPr>
        <w:t>,</w:t>
      </w:r>
      <w:r w:rsidRPr="00417EB4">
        <w:rPr>
          <w:rFonts w:cs="Open Sans"/>
        </w:rPr>
        <w:t xml:space="preserve"> </w:t>
      </w:r>
      <w:r>
        <w:t>2.</w:t>
      </w:r>
    </w:p>
  </w:endnote>
  <w:endnote w:id="194">
    <w:p w:rsidRPr="00417EB4" w:rsidR="005C4CC3" w:rsidP="005C4CC3" w:rsidRDefault="005C4CC3" w14:paraId="32CED3AC" w14:textId="32EE7C98">
      <w:pPr>
        <w:pStyle w:val="EndnoteText"/>
        <w:rPr>
          <w:rFonts w:cs="Open Sans"/>
        </w:rPr>
      </w:pPr>
      <w:r w:rsidRPr="00417EB4">
        <w:rPr>
          <w:rStyle w:val="EndnoteReference"/>
          <w:rFonts w:cs="Open Sans"/>
        </w:rPr>
        <w:endnoteRef/>
      </w:r>
      <w:r w:rsidRPr="00417EB4">
        <w:rPr>
          <w:rFonts w:cs="Open Sans"/>
        </w:rPr>
        <w:t xml:space="preserve"> Submission 68,</w:t>
      </w:r>
      <w:r w:rsidRPr="00AB3F12">
        <w:rPr>
          <w:rFonts w:cs="Open Sans"/>
        </w:rPr>
        <w:t xml:space="preserve"> </w:t>
      </w:r>
      <w:r>
        <w:rPr>
          <w:rFonts w:cs="Open Sans"/>
          <w:i/>
        </w:rPr>
        <w:t>Intersex Inquir</w:t>
      </w:r>
      <w:r w:rsidRPr="00515458">
        <w:rPr>
          <w:rFonts w:cs="Open Sans"/>
          <w:i/>
        </w:rPr>
        <w:t>y</w:t>
      </w:r>
      <w:r w:rsidRPr="00515458">
        <w:rPr>
          <w:rFonts w:cs="Open Sans"/>
        </w:rPr>
        <w:t>,</w:t>
      </w:r>
      <w:r w:rsidRPr="00417EB4">
        <w:rPr>
          <w:rFonts w:cs="Open Sans"/>
        </w:rPr>
        <w:t xml:space="preserve"> </w:t>
      </w:r>
      <w:r w:rsidR="00172D52">
        <w:rPr>
          <w:rFonts w:cs="Open Sans"/>
        </w:rPr>
        <w:t>4</w:t>
      </w:r>
      <w:r w:rsidR="00515458">
        <w:rPr>
          <w:rFonts w:cs="Open Sans"/>
        </w:rPr>
        <w:t xml:space="preserve">, </w:t>
      </w:r>
      <w:r w:rsidRPr="00417EB4">
        <w:rPr>
          <w:rFonts w:cs="Open Sans"/>
        </w:rPr>
        <w:t xml:space="preserve">remarking that while there is little evidence to support deferral of treatment, clinicians hold diverse views on management and bring to bear extensive collective experience and insight. </w:t>
      </w:r>
      <w:r w:rsidR="003551E9">
        <w:rPr>
          <w:rFonts w:cs="Open Sans"/>
        </w:rPr>
        <w:t xml:space="preserve"> Submission </w:t>
      </w:r>
      <w:r w:rsidRPr="00417EB4">
        <w:rPr>
          <w:rFonts w:cs="Open Sans"/>
        </w:rPr>
        <w:t>68 further said that the existing system ensures that decisions are informed not only by this breadth of experience, but also the most contemporary research-findings.</w:t>
      </w:r>
    </w:p>
  </w:endnote>
  <w:endnote w:id="195">
    <w:p w:rsidRPr="00417EB4" w:rsidR="005C4CC3" w:rsidP="005C4CC3" w:rsidRDefault="005C4CC3" w14:paraId="439B3C02" w14:textId="77777777">
      <w:pPr>
        <w:pStyle w:val="EndnoteText"/>
        <w:rPr>
          <w:rFonts w:cs="Open Sans"/>
        </w:rPr>
      </w:pPr>
      <w:r w:rsidRPr="00417EB4">
        <w:rPr>
          <w:rStyle w:val="EndnoteReference"/>
          <w:rFonts w:cs="Open Sans"/>
        </w:rPr>
        <w:endnoteRef/>
      </w:r>
      <w:r w:rsidRPr="00417EB4">
        <w:rPr>
          <w:rFonts w:cs="Open Sans"/>
        </w:rPr>
        <w:t xml:space="preserve"> Submission 20,</w:t>
      </w:r>
      <w:r w:rsidRPr="00032355" w:rsidDel="00F943E6">
        <w:rPr>
          <w:rFonts w:cs="Open Sans"/>
          <w:lang w:val="en-US"/>
        </w:rPr>
        <w:t xml:space="preserve"> </w:t>
      </w:r>
      <w:r>
        <w:rPr>
          <w:rFonts w:cs="Open Sans"/>
          <w:i/>
        </w:rPr>
        <w:t>Intersex Inquiry</w:t>
      </w:r>
      <w:r>
        <w:rPr>
          <w:rFonts w:cs="Open Sans"/>
        </w:rPr>
        <w:t xml:space="preserve">, </w:t>
      </w:r>
      <w:r w:rsidRPr="00417EB4">
        <w:rPr>
          <w:rFonts w:cs="Open Sans"/>
        </w:rPr>
        <w:t xml:space="preserve">1. </w:t>
      </w:r>
    </w:p>
  </w:endnote>
  <w:endnote w:id="196">
    <w:p w:rsidRPr="00417EB4" w:rsidR="005C4CC3" w:rsidP="005C4CC3" w:rsidRDefault="005C4CC3" w14:paraId="355A005A" w14:textId="77777777">
      <w:pPr>
        <w:pStyle w:val="EndnoteText"/>
        <w:rPr>
          <w:rStyle w:val="EndnoteReference"/>
        </w:rPr>
      </w:pPr>
      <w:r w:rsidRPr="00417EB4">
        <w:rPr>
          <w:rStyle w:val="EndnoteReference"/>
        </w:rPr>
        <w:endnoteRef/>
      </w:r>
      <w:r w:rsidRPr="00417EB4">
        <w:rPr>
          <w:rStyle w:val="EndnoteReference"/>
        </w:rPr>
        <w:t xml:space="preserve"> </w:t>
      </w:r>
      <w:r w:rsidRPr="00417EB4">
        <w:rPr>
          <w:rStyle w:val="EndnoteReference"/>
          <w:vertAlign w:val="baseline"/>
        </w:rPr>
        <w:t>Western Australian Multidisciplinary DSD Team, Submission 23,</w:t>
      </w:r>
      <w:r w:rsidRPr="00F943E6">
        <w:rPr>
          <w:rFonts w:cs="Open Sans"/>
        </w:rPr>
        <w:t xml:space="preserve"> </w:t>
      </w:r>
      <w:r>
        <w:rPr>
          <w:rFonts w:cs="Open Sans"/>
          <w:i/>
        </w:rPr>
        <w:t>Intersex Inquiry</w:t>
      </w:r>
      <w:r>
        <w:rPr>
          <w:rFonts w:cs="Open Sans"/>
        </w:rPr>
        <w:t>,</w:t>
      </w:r>
      <w:r w:rsidRPr="00417EB4">
        <w:rPr>
          <w:rFonts w:cs="Open Sans"/>
        </w:rPr>
        <w:t xml:space="preserve"> </w:t>
      </w:r>
      <w:r w:rsidRPr="00417EB4">
        <w:rPr>
          <w:rStyle w:val="EndnoteReference"/>
          <w:vertAlign w:val="baseline"/>
        </w:rPr>
        <w:t>2; APEG, Submission 20,</w:t>
      </w:r>
      <w:r w:rsidRPr="00F943E6">
        <w:rPr>
          <w:rFonts w:cs="Open Sans"/>
        </w:rPr>
        <w:t xml:space="preserve"> </w:t>
      </w:r>
      <w:r>
        <w:rPr>
          <w:rFonts w:cs="Open Sans"/>
          <w:i/>
        </w:rPr>
        <w:t>Intersex Inquiry</w:t>
      </w:r>
      <w:r>
        <w:rPr>
          <w:rFonts w:cs="Open Sans"/>
        </w:rPr>
        <w:t>,</w:t>
      </w:r>
      <w:r w:rsidRPr="00417EB4">
        <w:rPr>
          <w:rStyle w:val="EndnoteReference"/>
          <w:vertAlign w:val="baseline"/>
        </w:rPr>
        <w:t xml:space="preserve"> 1; Endocrine Society of Australia, Submission 39</w:t>
      </w:r>
      <w:r>
        <w:t xml:space="preserve"> </w:t>
      </w:r>
      <w:r w:rsidRPr="00417EB4">
        <w:rPr>
          <w:rFonts w:cs="Open Sans"/>
        </w:rPr>
        <w:t>,</w:t>
      </w:r>
      <w:r w:rsidRPr="00032355">
        <w:rPr>
          <w:rFonts w:cs="Open Sans"/>
          <w:lang w:val="en-US"/>
        </w:rPr>
        <w:t xml:space="preserve"> </w:t>
      </w:r>
      <w:r>
        <w:rPr>
          <w:rFonts w:cs="Open Sans"/>
          <w:i/>
        </w:rPr>
        <w:t>Intersex Inquiry</w:t>
      </w:r>
      <w:r>
        <w:rPr>
          <w:rFonts w:cs="Open Sans"/>
        </w:rPr>
        <w:t>,</w:t>
      </w:r>
      <w:r w:rsidRPr="00417EB4">
        <w:rPr>
          <w:rFonts w:cs="Open Sans"/>
        </w:rPr>
        <w:t xml:space="preserve"> </w:t>
      </w:r>
      <w:r w:rsidRPr="00417EB4">
        <w:rPr>
          <w:rStyle w:val="EndnoteReference"/>
          <w:vertAlign w:val="baseline"/>
        </w:rPr>
        <w:t>(2) &amp; (2); NHRMC Funded Program, Submission 30,</w:t>
      </w:r>
      <w:r w:rsidRPr="0038542F">
        <w:rPr>
          <w:rFonts w:cs="Open Sans"/>
        </w:rPr>
        <w:t xml:space="preserve"> </w:t>
      </w:r>
      <w:r>
        <w:rPr>
          <w:rFonts w:cs="Open Sans"/>
          <w:i/>
        </w:rPr>
        <w:t>Intersex Inquiry</w:t>
      </w:r>
      <w:r>
        <w:rPr>
          <w:rFonts w:cs="Open Sans"/>
        </w:rPr>
        <w:t>,</w:t>
      </w:r>
      <w:r w:rsidRPr="00417EB4">
        <w:rPr>
          <w:rFonts w:cs="Open Sans"/>
        </w:rPr>
        <w:t xml:space="preserve"> </w:t>
      </w:r>
      <w:r w:rsidRPr="00417EB4">
        <w:rPr>
          <w:rStyle w:val="EndnoteReference"/>
          <w:vertAlign w:val="baseline"/>
        </w:rPr>
        <w:t>3; S</w:t>
      </w:r>
      <w:r w:rsidRPr="00417EB4">
        <w:t>ubmission 50,</w:t>
      </w:r>
      <w:r w:rsidRPr="00032355">
        <w:rPr>
          <w:rFonts w:cs="Open Sans"/>
          <w:lang w:val="en-US"/>
        </w:rPr>
        <w:t xml:space="preserve"> </w:t>
      </w:r>
      <w:r>
        <w:rPr>
          <w:rFonts w:cs="Open Sans"/>
          <w:i/>
        </w:rPr>
        <w:t>Intersex Inquiry</w:t>
      </w:r>
      <w:r>
        <w:rPr>
          <w:rFonts w:cs="Open Sans"/>
        </w:rPr>
        <w:t>,</w:t>
      </w:r>
      <w:r w:rsidRPr="00417EB4">
        <w:rPr>
          <w:rFonts w:cs="Open Sans"/>
        </w:rPr>
        <w:t xml:space="preserve"> </w:t>
      </w:r>
      <w:r w:rsidRPr="00417EB4">
        <w:t xml:space="preserve">2. </w:t>
      </w:r>
    </w:p>
  </w:endnote>
  <w:endnote w:id="197">
    <w:p w:rsidRPr="00417EB4" w:rsidR="005C4CC3" w:rsidP="005C4CC3" w:rsidRDefault="005C4CC3" w14:paraId="58CC5E8D" w14:textId="77777777">
      <w:pPr>
        <w:pStyle w:val="EndnoteText"/>
        <w:rPr>
          <w:lang w:val="en-US"/>
        </w:rPr>
      </w:pPr>
      <w:r w:rsidRPr="00417EB4">
        <w:rPr>
          <w:rStyle w:val="EndnoteReference"/>
        </w:rPr>
        <w:endnoteRef/>
      </w:r>
      <w:r w:rsidRPr="00417EB4">
        <w:t xml:space="preserve"> Western Australian Multidisciplinary DSD Team, Submission </w:t>
      </w:r>
      <w:r w:rsidRPr="00417EB4">
        <w:rPr>
          <w:lang w:val="en-US"/>
        </w:rPr>
        <w:t>23,</w:t>
      </w:r>
      <w:r w:rsidRPr="00F86FE0">
        <w:rPr>
          <w:rFonts w:cs="Open Sans"/>
        </w:rPr>
        <w:t xml:space="preserve"> </w:t>
      </w:r>
      <w:r>
        <w:rPr>
          <w:rFonts w:cs="Open Sans"/>
          <w:i/>
        </w:rPr>
        <w:t>Intersex Inquiry</w:t>
      </w:r>
      <w:r>
        <w:rPr>
          <w:rFonts w:cs="Open Sans"/>
        </w:rPr>
        <w:t>,</w:t>
      </w:r>
      <w:r w:rsidRPr="00417EB4">
        <w:rPr>
          <w:lang w:val="en-US"/>
        </w:rPr>
        <w:t xml:space="preserve"> 2.</w:t>
      </w:r>
    </w:p>
  </w:endnote>
  <w:endnote w:id="198">
    <w:p w:rsidRPr="00417EB4" w:rsidR="005C4CC3" w:rsidP="005C4CC3" w:rsidRDefault="005C4CC3" w14:paraId="3354299B" w14:textId="77777777">
      <w:pPr>
        <w:pStyle w:val="EndnoteText"/>
        <w:rPr>
          <w:lang w:val="en-US"/>
        </w:rPr>
      </w:pPr>
      <w:r w:rsidRPr="00417EB4">
        <w:rPr>
          <w:rStyle w:val="EndnoteReference"/>
        </w:rPr>
        <w:endnoteRef/>
      </w:r>
      <w:r w:rsidRPr="00417EB4">
        <w:t xml:space="preserve"> </w:t>
      </w:r>
      <w:r w:rsidRPr="00417EB4">
        <w:rPr>
          <w:lang w:val="en-US"/>
        </w:rPr>
        <w:t xml:space="preserve">Submission 50, </w:t>
      </w:r>
      <w:r>
        <w:rPr>
          <w:rFonts w:cs="Open Sans"/>
          <w:i/>
        </w:rPr>
        <w:t>Intersex Inquiry</w:t>
      </w:r>
      <w:r>
        <w:rPr>
          <w:rFonts w:cs="Open Sans"/>
        </w:rPr>
        <w:t>,</w:t>
      </w:r>
      <w:r w:rsidRPr="00417EB4">
        <w:rPr>
          <w:rFonts w:cs="Open Sans"/>
        </w:rPr>
        <w:t xml:space="preserve"> </w:t>
      </w:r>
      <w:r w:rsidRPr="00417EB4">
        <w:rPr>
          <w:lang w:val="en-US"/>
        </w:rPr>
        <w:t>2.</w:t>
      </w:r>
    </w:p>
  </w:endnote>
  <w:endnote w:id="199">
    <w:p w:rsidRPr="008A0865" w:rsidR="005C4CC3" w:rsidP="005C4CC3" w:rsidRDefault="005C4CC3" w14:paraId="3ECCE5BE" w14:textId="77777777">
      <w:pPr>
        <w:pStyle w:val="EndnoteText"/>
        <w:rPr>
          <w:lang w:val="en-US"/>
        </w:rPr>
      </w:pPr>
      <w:r>
        <w:rPr>
          <w:rStyle w:val="EndnoteReference"/>
        </w:rPr>
        <w:endnoteRef/>
      </w:r>
      <w:r>
        <w:t xml:space="preserve"> Australian Commission on Safety and Quality in Health Care,</w:t>
      </w:r>
      <w:r>
        <w:rPr>
          <w:i/>
          <w:iCs/>
        </w:rPr>
        <w:t xml:space="preserve"> Fact Sheet:</w:t>
      </w:r>
      <w:r>
        <w:t xml:space="preserve"> </w:t>
      </w:r>
      <w:r>
        <w:rPr>
          <w:i/>
          <w:iCs/>
        </w:rPr>
        <w:t xml:space="preserve">Informed consent in health </w:t>
      </w:r>
      <w:r w:rsidRPr="00775575">
        <w:rPr>
          <w:i/>
          <w:iCs/>
        </w:rPr>
        <w:t>care</w:t>
      </w:r>
      <w:r>
        <w:t>, 2 &lt;</w:t>
      </w:r>
      <w:hyperlink w:history="1" r:id="rId26">
        <w:r w:rsidRPr="00775575">
          <w:rPr>
            <w:rStyle w:val="Hyperlink"/>
          </w:rPr>
          <w:t>https://www.safetyandquality.gov.au/sites/default/files/2020-09/sq20-030_-_fact_sheet_-_informed_consent_-_nsqhs-8.9a.pdf</w:t>
        </w:r>
      </w:hyperlink>
      <w:r>
        <w:t xml:space="preserve">&gt;. </w:t>
      </w:r>
    </w:p>
  </w:endnote>
  <w:endnote w:id="200">
    <w:p w:rsidRPr="00417EB4" w:rsidR="005C4CC3" w:rsidP="005C4CC3" w:rsidRDefault="005C4CC3" w14:paraId="4674D46B" w14:textId="77777777">
      <w:pPr>
        <w:pStyle w:val="EndnoteText"/>
        <w:rPr>
          <w:rFonts w:cs="Open Sans"/>
        </w:rPr>
      </w:pPr>
      <w:r w:rsidRPr="00417EB4">
        <w:rPr>
          <w:rStyle w:val="EndnoteReference"/>
          <w:rFonts w:cs="Open Sans"/>
        </w:rPr>
        <w:endnoteRef/>
      </w:r>
      <w:r w:rsidRPr="00417EB4">
        <w:rPr>
          <w:rFonts w:cs="Open Sans"/>
        </w:rPr>
        <w:t xml:space="preserve"> </w:t>
      </w:r>
      <w:r>
        <w:rPr>
          <w:rFonts w:cs="Open Sans"/>
        </w:rPr>
        <w:t>Australasian Paediatric Endocrine Group</w:t>
      </w:r>
      <w:r w:rsidRPr="00417EB4">
        <w:rPr>
          <w:rFonts w:cs="Open Sans"/>
        </w:rPr>
        <w:t>, Submission 20,</w:t>
      </w:r>
      <w:r w:rsidRPr="004B6C4A">
        <w:rPr>
          <w:rFonts w:cs="Open Sans"/>
          <w:i/>
        </w:rPr>
        <w:t xml:space="preserve"> </w:t>
      </w:r>
      <w:r>
        <w:rPr>
          <w:rFonts w:cs="Open Sans"/>
          <w:i/>
        </w:rPr>
        <w:t>Intersex Inquiry</w:t>
      </w:r>
      <w:r>
        <w:rPr>
          <w:rFonts w:cs="Open Sans"/>
        </w:rPr>
        <w:t>,</w:t>
      </w:r>
      <w:r w:rsidRPr="00417EB4">
        <w:rPr>
          <w:rFonts w:cs="Open Sans"/>
        </w:rPr>
        <w:t xml:space="preserve"> 9; NHMRC Funded Program Submission 30,</w:t>
      </w:r>
      <w:r w:rsidRPr="004B6C4A">
        <w:rPr>
          <w:rFonts w:cs="Open Sans"/>
          <w:i/>
        </w:rPr>
        <w:t xml:space="preserve"> </w:t>
      </w:r>
      <w:r>
        <w:rPr>
          <w:rFonts w:cs="Open Sans"/>
          <w:i/>
        </w:rPr>
        <w:t>Intersex Inquiry</w:t>
      </w:r>
      <w:r>
        <w:rPr>
          <w:rFonts w:cs="Open Sans"/>
        </w:rPr>
        <w:t>,</w:t>
      </w:r>
      <w:r w:rsidRPr="00417EB4">
        <w:rPr>
          <w:rFonts w:cs="Open Sans"/>
        </w:rPr>
        <w:t xml:space="preserve"> 2; Endocrine Society of Australia, Submission 39,</w:t>
      </w:r>
      <w:r w:rsidRPr="004B6C4A">
        <w:rPr>
          <w:rFonts w:cs="Open Sans"/>
          <w:i/>
        </w:rPr>
        <w:t xml:space="preserve"> </w:t>
      </w:r>
      <w:r>
        <w:rPr>
          <w:rFonts w:cs="Open Sans"/>
          <w:i/>
        </w:rPr>
        <w:t>Intersex Inquiry</w:t>
      </w:r>
      <w:r>
        <w:rPr>
          <w:rFonts w:cs="Open Sans"/>
        </w:rPr>
        <w:t>,</w:t>
      </w:r>
      <w:r w:rsidRPr="00417EB4">
        <w:rPr>
          <w:rFonts w:cs="Open Sans"/>
        </w:rPr>
        <w:t xml:space="preserve"> 2. </w:t>
      </w:r>
    </w:p>
  </w:endnote>
  <w:endnote w:id="201">
    <w:p w:rsidRPr="00417EB4" w:rsidR="005C4CC3" w:rsidP="005C4CC3" w:rsidRDefault="005C4CC3" w14:paraId="0B05D508" w14:textId="77777777">
      <w:pPr>
        <w:pStyle w:val="EndnoteText"/>
        <w:rPr>
          <w:rFonts w:cs="Open Sans"/>
        </w:rPr>
      </w:pPr>
      <w:r w:rsidRPr="00417EB4">
        <w:rPr>
          <w:rStyle w:val="EndnoteReference"/>
          <w:rFonts w:cs="Open Sans"/>
        </w:rPr>
        <w:endnoteRef/>
      </w:r>
      <w:r w:rsidRPr="00417EB4">
        <w:rPr>
          <w:rFonts w:cs="Open Sans"/>
        </w:rPr>
        <w:t xml:space="preserve"> Austral</w:t>
      </w:r>
      <w:r>
        <w:rPr>
          <w:rFonts w:cs="Open Sans"/>
        </w:rPr>
        <w:t>as</w:t>
      </w:r>
      <w:r w:rsidRPr="00417EB4">
        <w:rPr>
          <w:rFonts w:cs="Open Sans"/>
        </w:rPr>
        <w:t>ia</w:t>
      </w:r>
      <w:r>
        <w:rPr>
          <w:rFonts w:cs="Open Sans"/>
        </w:rPr>
        <w:t>n</w:t>
      </w:r>
      <w:r w:rsidRPr="00417EB4">
        <w:rPr>
          <w:rFonts w:cs="Open Sans"/>
        </w:rPr>
        <w:t xml:space="preserve"> Paediatric Endocrine Group, Submission 20,</w:t>
      </w:r>
      <w:r w:rsidRPr="004B6C4A">
        <w:rPr>
          <w:rFonts w:cs="Open Sans"/>
          <w:i/>
        </w:rPr>
        <w:t xml:space="preserve"> </w:t>
      </w:r>
      <w:r>
        <w:rPr>
          <w:rFonts w:cs="Open Sans"/>
          <w:i/>
        </w:rPr>
        <w:t>Intersex Inquiry</w:t>
      </w:r>
      <w:r>
        <w:rPr>
          <w:rFonts w:cs="Open Sans"/>
        </w:rPr>
        <w:t>,</w:t>
      </w:r>
      <w:r w:rsidRPr="00417EB4">
        <w:rPr>
          <w:rFonts w:cs="Open Sans"/>
        </w:rPr>
        <w:t xml:space="preserve"> 5.</w:t>
      </w:r>
    </w:p>
  </w:endnote>
  <w:endnote w:id="202">
    <w:p w:rsidRPr="00417EB4" w:rsidR="005C4CC3" w:rsidP="005C4CC3" w:rsidRDefault="005C4CC3" w14:paraId="79CA444F" w14:textId="77777777">
      <w:pPr>
        <w:pStyle w:val="EndnoteText"/>
        <w:rPr>
          <w:lang w:val="en-US"/>
        </w:rPr>
      </w:pPr>
      <w:r w:rsidRPr="00417EB4">
        <w:rPr>
          <w:rStyle w:val="EndnoteReference"/>
        </w:rPr>
        <w:endnoteRef/>
      </w:r>
      <w:r w:rsidRPr="00417EB4">
        <w:t xml:space="preserve"> </w:t>
      </w:r>
      <w:r w:rsidRPr="00417EB4">
        <w:rPr>
          <w:lang w:val="en-US"/>
        </w:rPr>
        <w:t>Submission 68,</w:t>
      </w:r>
      <w:r w:rsidRPr="004B6C4A">
        <w:rPr>
          <w:rFonts w:cs="Open Sans"/>
          <w:i/>
        </w:rPr>
        <w:t xml:space="preserve"> </w:t>
      </w:r>
      <w:r>
        <w:rPr>
          <w:rFonts w:cs="Open Sans"/>
          <w:i/>
        </w:rPr>
        <w:t>Intersex Inquiry</w:t>
      </w:r>
      <w:r>
        <w:rPr>
          <w:rFonts w:cs="Open Sans"/>
        </w:rPr>
        <w:t>,</w:t>
      </w:r>
      <w:r w:rsidRPr="00417EB4">
        <w:rPr>
          <w:rFonts w:cs="Open Sans"/>
        </w:rPr>
        <w:t xml:space="preserve"> </w:t>
      </w:r>
      <w:r w:rsidRPr="00417EB4">
        <w:rPr>
          <w:lang w:val="en-US"/>
        </w:rPr>
        <w:t xml:space="preserve">4. </w:t>
      </w:r>
    </w:p>
  </w:endnote>
  <w:endnote w:id="203">
    <w:p w:rsidRPr="00417EB4" w:rsidR="005C4CC3" w:rsidP="005C4CC3" w:rsidRDefault="005C4CC3" w14:paraId="5FAB7193" w14:textId="77777777">
      <w:pPr>
        <w:pStyle w:val="EndnoteText"/>
        <w:rPr>
          <w:lang w:val="en-US"/>
        </w:rPr>
      </w:pPr>
      <w:r w:rsidRPr="00417EB4">
        <w:rPr>
          <w:rStyle w:val="EndnoteReference"/>
        </w:rPr>
        <w:endnoteRef/>
      </w:r>
      <w:r w:rsidRPr="00417EB4">
        <w:t xml:space="preserve"> </w:t>
      </w:r>
      <w:r>
        <w:rPr>
          <w:lang w:val="en-US"/>
        </w:rPr>
        <w:t>Australasian Paediatric Endocrine Group</w:t>
      </w:r>
      <w:r w:rsidRPr="00417EB4">
        <w:rPr>
          <w:lang w:val="en-US"/>
        </w:rPr>
        <w:t>, Submission 20,</w:t>
      </w:r>
      <w:r w:rsidRPr="004B6C4A">
        <w:rPr>
          <w:rFonts w:cs="Open Sans"/>
          <w:i/>
        </w:rPr>
        <w:t xml:space="preserve"> </w:t>
      </w:r>
      <w:r>
        <w:rPr>
          <w:rFonts w:cs="Open Sans"/>
          <w:i/>
        </w:rPr>
        <w:t>Intersex Inquiry</w:t>
      </w:r>
      <w:r>
        <w:rPr>
          <w:rFonts w:cs="Open Sans"/>
        </w:rPr>
        <w:t>,</w:t>
      </w:r>
      <w:r w:rsidRPr="00417EB4">
        <w:rPr>
          <w:rFonts w:cs="Open Sans"/>
        </w:rPr>
        <w:t xml:space="preserve"> </w:t>
      </w:r>
      <w:r w:rsidRPr="00417EB4">
        <w:rPr>
          <w:lang w:val="en-US"/>
        </w:rPr>
        <w:t xml:space="preserve">2. </w:t>
      </w:r>
    </w:p>
  </w:endnote>
  <w:endnote w:id="204">
    <w:p w:rsidRPr="00417EB4" w:rsidR="005C4CC3" w:rsidP="005C4CC3" w:rsidRDefault="005C4CC3" w14:paraId="4F30FD60" w14:textId="77777777">
      <w:pPr>
        <w:pStyle w:val="EndnoteText"/>
        <w:rPr>
          <w:lang w:val="en-US"/>
        </w:rPr>
      </w:pPr>
      <w:r w:rsidRPr="00417EB4">
        <w:rPr>
          <w:rStyle w:val="EndnoteReference"/>
        </w:rPr>
        <w:endnoteRef/>
      </w:r>
      <w:r w:rsidRPr="00417EB4">
        <w:t xml:space="preserve"> Submission 23,</w:t>
      </w:r>
      <w:r w:rsidRPr="005C438A">
        <w:rPr>
          <w:rFonts w:cs="Open Sans"/>
          <w:i/>
        </w:rPr>
        <w:t xml:space="preserve"> </w:t>
      </w:r>
      <w:r>
        <w:rPr>
          <w:rFonts w:cs="Open Sans"/>
          <w:i/>
        </w:rPr>
        <w:t>Intersex Inquiry</w:t>
      </w:r>
      <w:r>
        <w:rPr>
          <w:rFonts w:cs="Open Sans"/>
        </w:rPr>
        <w:t>,</w:t>
      </w:r>
      <w:r w:rsidRPr="00417EB4">
        <w:rPr>
          <w:rFonts w:cs="Open Sans"/>
        </w:rPr>
        <w:t xml:space="preserve"> </w:t>
      </w:r>
      <w:r w:rsidRPr="00417EB4">
        <w:t>2.</w:t>
      </w:r>
    </w:p>
  </w:endnote>
  <w:endnote w:id="205">
    <w:p w:rsidRPr="00417EB4" w:rsidR="005C4CC3" w:rsidP="005C4CC3" w:rsidRDefault="005C4CC3" w14:paraId="25753813" w14:textId="77777777">
      <w:pPr>
        <w:pStyle w:val="EndnoteText"/>
        <w:rPr>
          <w:lang w:val="en-US"/>
        </w:rPr>
      </w:pPr>
      <w:r w:rsidRPr="00417EB4">
        <w:rPr>
          <w:rStyle w:val="EndnoteReference"/>
        </w:rPr>
        <w:endnoteRef/>
      </w:r>
      <w:r w:rsidRPr="00417EB4">
        <w:t xml:space="preserve"> Submission 23,</w:t>
      </w:r>
      <w:r w:rsidRPr="005C438A">
        <w:rPr>
          <w:rFonts w:cs="Open Sans"/>
          <w:i/>
        </w:rPr>
        <w:t xml:space="preserve"> </w:t>
      </w:r>
      <w:r>
        <w:rPr>
          <w:rFonts w:cs="Open Sans"/>
          <w:i/>
        </w:rPr>
        <w:t>Intersex Inquiry</w:t>
      </w:r>
      <w:r>
        <w:rPr>
          <w:rFonts w:cs="Open Sans"/>
        </w:rPr>
        <w:t>,</w:t>
      </w:r>
      <w:r w:rsidRPr="00417EB4">
        <w:rPr>
          <w:rFonts w:cs="Open Sans"/>
        </w:rPr>
        <w:t xml:space="preserve"> </w:t>
      </w:r>
      <w:r w:rsidRPr="00417EB4">
        <w:t>2.</w:t>
      </w:r>
    </w:p>
  </w:endnote>
  <w:endnote w:id="206">
    <w:p w:rsidRPr="00417EB4" w:rsidR="005C4CC3" w:rsidP="005C4CC3" w:rsidRDefault="005C4CC3" w14:paraId="1CF4EF78" w14:textId="77777777">
      <w:pPr>
        <w:pStyle w:val="EndnoteText"/>
        <w:rPr>
          <w:lang w:val="en-US"/>
        </w:rPr>
      </w:pPr>
      <w:r w:rsidRPr="00417EB4">
        <w:rPr>
          <w:rStyle w:val="EndnoteReference"/>
        </w:rPr>
        <w:endnoteRef/>
      </w:r>
      <w:r w:rsidRPr="00417EB4">
        <w:t xml:space="preserve"> </w:t>
      </w:r>
      <w:r w:rsidRPr="00417EB4">
        <w:rPr>
          <w:lang w:val="en-US"/>
        </w:rPr>
        <w:t>Submission 20,</w:t>
      </w:r>
      <w:r w:rsidRPr="005C438A">
        <w:rPr>
          <w:rFonts w:cs="Open Sans"/>
          <w:i/>
        </w:rPr>
        <w:t xml:space="preserve"> </w:t>
      </w:r>
      <w:r>
        <w:rPr>
          <w:rFonts w:cs="Open Sans"/>
          <w:i/>
        </w:rPr>
        <w:t>Intersex Inquiry</w:t>
      </w:r>
      <w:r>
        <w:rPr>
          <w:rFonts w:cs="Open Sans"/>
        </w:rPr>
        <w:t>,</w:t>
      </w:r>
      <w:r w:rsidRPr="00417EB4">
        <w:rPr>
          <w:rFonts w:cs="Open Sans"/>
        </w:rPr>
        <w:t xml:space="preserve"> </w:t>
      </w:r>
      <w:r w:rsidRPr="00417EB4">
        <w:rPr>
          <w:lang w:val="en-US"/>
        </w:rPr>
        <w:t>5.</w:t>
      </w:r>
    </w:p>
  </w:endnote>
  <w:endnote w:id="207">
    <w:p w:rsidRPr="00417EB4" w:rsidR="005C4CC3" w:rsidP="005C4CC3" w:rsidRDefault="005C4CC3" w14:paraId="7B939BC4" w14:textId="77777777">
      <w:pPr>
        <w:pStyle w:val="EndnoteText"/>
        <w:rPr>
          <w:rFonts w:cs="Open Sans"/>
        </w:rPr>
      </w:pPr>
      <w:r w:rsidRPr="00417EB4">
        <w:rPr>
          <w:rStyle w:val="EndnoteReference"/>
          <w:rFonts w:cs="Open Sans"/>
        </w:rPr>
        <w:endnoteRef/>
      </w:r>
      <w:r w:rsidRPr="00417EB4">
        <w:rPr>
          <w:rFonts w:cs="Open Sans"/>
        </w:rPr>
        <w:t xml:space="preserve"> Submission 68,</w:t>
      </w:r>
      <w:r w:rsidRPr="005C438A">
        <w:rPr>
          <w:rFonts w:cs="Open Sans"/>
          <w:i/>
        </w:rPr>
        <w:t xml:space="preserve"> </w:t>
      </w:r>
      <w:r>
        <w:rPr>
          <w:rFonts w:cs="Open Sans"/>
          <w:i/>
        </w:rPr>
        <w:t>Intersex Inquiry</w:t>
      </w:r>
      <w:r>
        <w:rPr>
          <w:rFonts w:cs="Open Sans"/>
        </w:rPr>
        <w:t>,</w:t>
      </w:r>
      <w:r w:rsidRPr="00417EB4">
        <w:rPr>
          <w:rFonts w:cs="Open Sans"/>
        </w:rPr>
        <w:t xml:space="preserve"> 4</w:t>
      </w:r>
      <w:r>
        <w:rPr>
          <w:rFonts w:cs="Open Sans"/>
        </w:rPr>
        <w:t>;</w:t>
      </w:r>
      <w:r w:rsidRPr="00417EB4">
        <w:rPr>
          <w:rFonts w:cs="Open Sans"/>
        </w:rPr>
        <w:t xml:space="preserve"> Submission 65,</w:t>
      </w:r>
      <w:r w:rsidRPr="005C438A">
        <w:rPr>
          <w:rFonts w:cs="Open Sans"/>
          <w:i/>
        </w:rPr>
        <w:t xml:space="preserve"> </w:t>
      </w:r>
      <w:r>
        <w:rPr>
          <w:rFonts w:cs="Open Sans"/>
          <w:i/>
        </w:rPr>
        <w:t>Intersex Inquiry</w:t>
      </w:r>
      <w:r>
        <w:rPr>
          <w:rFonts w:cs="Open Sans"/>
        </w:rPr>
        <w:t>,</w:t>
      </w:r>
      <w:r w:rsidRPr="00417EB4">
        <w:rPr>
          <w:rFonts w:cs="Open Sans"/>
        </w:rPr>
        <w:t xml:space="preserve"> 2, referring to APEG sources.</w:t>
      </w:r>
    </w:p>
  </w:endnote>
  <w:endnote w:id="208">
    <w:p w:rsidRPr="00417EB4" w:rsidR="005C4CC3" w:rsidP="005C4CC3" w:rsidRDefault="005C4CC3" w14:paraId="68CBB1DA" w14:textId="77777777">
      <w:pPr>
        <w:pStyle w:val="EndnoteText"/>
        <w:rPr>
          <w:rFonts w:cs="Open Sans"/>
        </w:rPr>
      </w:pPr>
      <w:r w:rsidRPr="00417EB4">
        <w:rPr>
          <w:rStyle w:val="EndnoteReference"/>
          <w:rFonts w:cs="Open Sans"/>
        </w:rPr>
        <w:endnoteRef/>
      </w:r>
      <w:r w:rsidRPr="00417EB4">
        <w:rPr>
          <w:rFonts w:cs="Open Sans"/>
        </w:rPr>
        <w:t xml:space="preserve"> Submission 30,</w:t>
      </w:r>
      <w:r w:rsidRPr="005C438A">
        <w:rPr>
          <w:rFonts w:cs="Open Sans"/>
          <w:i/>
        </w:rPr>
        <w:t xml:space="preserve"> </w:t>
      </w:r>
      <w:r>
        <w:rPr>
          <w:rFonts w:cs="Open Sans"/>
          <w:i/>
        </w:rPr>
        <w:t>Intersex Inquiry</w:t>
      </w:r>
      <w:r>
        <w:rPr>
          <w:rFonts w:cs="Open Sans"/>
        </w:rPr>
        <w:t>,</w:t>
      </w:r>
      <w:r w:rsidRPr="00417EB4">
        <w:rPr>
          <w:rFonts w:cs="Open Sans"/>
        </w:rPr>
        <w:t xml:space="preserve"> 2.</w:t>
      </w:r>
    </w:p>
  </w:endnote>
  <w:endnote w:id="209">
    <w:p w:rsidRPr="00417EB4" w:rsidR="005C4CC3" w:rsidP="005C4CC3" w:rsidRDefault="005C4CC3" w14:paraId="6972D794" w14:textId="77777777">
      <w:pPr>
        <w:pStyle w:val="EndnoteText"/>
        <w:rPr>
          <w:rFonts w:cs="Open Sans"/>
        </w:rPr>
      </w:pPr>
      <w:r w:rsidRPr="00417EB4">
        <w:rPr>
          <w:rStyle w:val="EndnoteReference"/>
          <w:rFonts w:cs="Open Sans"/>
        </w:rPr>
        <w:endnoteRef/>
      </w:r>
      <w:r w:rsidRPr="00417EB4">
        <w:rPr>
          <w:rFonts w:cs="Open Sans"/>
        </w:rPr>
        <w:t xml:space="preserve"> Submission 36,</w:t>
      </w:r>
      <w:r w:rsidRPr="005C438A">
        <w:rPr>
          <w:rFonts w:cs="Open Sans"/>
          <w:i/>
        </w:rPr>
        <w:t xml:space="preserve"> </w:t>
      </w:r>
      <w:r>
        <w:rPr>
          <w:rFonts w:cs="Open Sans"/>
          <w:i/>
        </w:rPr>
        <w:t>Intersex Inquiry</w:t>
      </w:r>
      <w:r>
        <w:rPr>
          <w:rFonts w:cs="Open Sans"/>
        </w:rPr>
        <w:t>,</w:t>
      </w:r>
      <w:r w:rsidRPr="00417EB4">
        <w:rPr>
          <w:rFonts w:cs="Open Sans"/>
        </w:rPr>
        <w:t xml:space="preserve"> 12; Submission 57</w:t>
      </w:r>
      <w:r>
        <w:rPr>
          <w:rFonts w:cs="Open Sans"/>
        </w:rPr>
        <w:t>,</w:t>
      </w:r>
      <w:r w:rsidRPr="005C438A">
        <w:rPr>
          <w:rFonts w:cs="Open Sans"/>
          <w:i/>
        </w:rPr>
        <w:t xml:space="preserve"> </w:t>
      </w:r>
      <w:r>
        <w:rPr>
          <w:rFonts w:cs="Open Sans"/>
          <w:i/>
        </w:rPr>
        <w:t>Intersex Inquiry</w:t>
      </w:r>
      <w:r w:rsidRPr="00417EB4">
        <w:rPr>
          <w:rFonts w:cs="Open Sans"/>
        </w:rPr>
        <w:t>.</w:t>
      </w:r>
    </w:p>
  </w:endnote>
  <w:endnote w:id="210">
    <w:p w:rsidRPr="00417EB4" w:rsidR="005C4CC3" w:rsidP="005C4CC3" w:rsidRDefault="005C4CC3" w14:paraId="75C52B5E" w14:textId="77777777">
      <w:pPr>
        <w:pStyle w:val="EndnoteText"/>
        <w:rPr>
          <w:rFonts w:cs="Open Sans"/>
        </w:rPr>
      </w:pPr>
      <w:r w:rsidRPr="00417EB4">
        <w:rPr>
          <w:rStyle w:val="EndnoteReference"/>
          <w:rFonts w:cs="Open Sans"/>
        </w:rPr>
        <w:endnoteRef/>
      </w:r>
      <w:r w:rsidRPr="00417EB4">
        <w:rPr>
          <w:rFonts w:cs="Open Sans"/>
        </w:rPr>
        <w:t xml:space="preserve"> Submission 70,</w:t>
      </w:r>
      <w:r w:rsidRPr="00F673EB">
        <w:rPr>
          <w:rFonts w:cs="Open Sans"/>
          <w:i/>
        </w:rPr>
        <w:t xml:space="preserve"> </w:t>
      </w:r>
      <w:r>
        <w:rPr>
          <w:rFonts w:cs="Open Sans"/>
          <w:i/>
        </w:rPr>
        <w:t>Intersex Inquiry</w:t>
      </w:r>
      <w:r>
        <w:rPr>
          <w:rFonts w:cs="Open Sans"/>
        </w:rPr>
        <w:t>,</w:t>
      </w:r>
      <w:r w:rsidRPr="00417EB4">
        <w:rPr>
          <w:rFonts w:cs="Open Sans"/>
        </w:rPr>
        <w:t xml:space="preserve"> 1; Submission 61,</w:t>
      </w:r>
      <w:r w:rsidRPr="00F673EB">
        <w:rPr>
          <w:rFonts w:cs="Open Sans"/>
          <w:i/>
        </w:rPr>
        <w:t xml:space="preserve"> </w:t>
      </w:r>
      <w:r>
        <w:rPr>
          <w:rFonts w:cs="Open Sans"/>
          <w:i/>
        </w:rPr>
        <w:t>Intersex Inquiry</w:t>
      </w:r>
      <w:r>
        <w:rPr>
          <w:rFonts w:cs="Open Sans"/>
        </w:rPr>
        <w:t>,</w:t>
      </w:r>
      <w:r w:rsidRPr="00417EB4">
        <w:rPr>
          <w:rFonts w:cs="Open Sans"/>
        </w:rPr>
        <w:t xml:space="preserve"> 5; Submission 25,</w:t>
      </w:r>
      <w:r w:rsidRPr="00F673EB">
        <w:rPr>
          <w:rFonts w:cs="Open Sans"/>
          <w:i/>
        </w:rPr>
        <w:t xml:space="preserve"> </w:t>
      </w:r>
      <w:r>
        <w:rPr>
          <w:rFonts w:cs="Open Sans"/>
          <w:i/>
        </w:rPr>
        <w:t>Intersex Inquiry</w:t>
      </w:r>
      <w:r>
        <w:rPr>
          <w:rFonts w:cs="Open Sans"/>
        </w:rPr>
        <w:t>,</w:t>
      </w:r>
      <w:r w:rsidRPr="00417EB4">
        <w:rPr>
          <w:rFonts w:cs="Open Sans"/>
        </w:rPr>
        <w:t xml:space="preserve"> 3. For example, the Commission heard that some individuals born with variations in sex characteristics were told that they had cancer when they did not, in preference to being told that they were born with a variations in sex characteristics. Further, when these individuals did discover the truth, the secrecy that had been imposed was a further source of trauma, and internalised shame. The Commission also heard that, on diagnosis as a young person or adult, some people had been discouraged from seeking peer support on the basis that they had no peers (eg Submission 36,</w:t>
      </w:r>
      <w:r w:rsidRPr="00F673EB">
        <w:rPr>
          <w:rFonts w:cs="Open Sans"/>
          <w:i/>
        </w:rPr>
        <w:t xml:space="preserve"> </w:t>
      </w:r>
      <w:r>
        <w:rPr>
          <w:rFonts w:cs="Open Sans"/>
          <w:i/>
        </w:rPr>
        <w:t>Intersex Inquiry</w:t>
      </w:r>
      <w:r>
        <w:rPr>
          <w:rFonts w:cs="Open Sans"/>
        </w:rPr>
        <w:t>,</w:t>
      </w:r>
      <w:r w:rsidRPr="00417EB4">
        <w:rPr>
          <w:rFonts w:cs="Open Sans"/>
        </w:rPr>
        <w:t xml:space="preserve"> 30; Submission 67</w:t>
      </w:r>
      <w:r>
        <w:rPr>
          <w:rFonts w:cs="Open Sans"/>
        </w:rPr>
        <w:t>,</w:t>
      </w:r>
      <w:r w:rsidRPr="00F673EB">
        <w:rPr>
          <w:rFonts w:cs="Open Sans"/>
          <w:i/>
        </w:rPr>
        <w:t xml:space="preserve"> </w:t>
      </w:r>
      <w:r>
        <w:rPr>
          <w:rFonts w:cs="Open Sans"/>
          <w:i/>
        </w:rPr>
        <w:t>Intersex Inquiry</w:t>
      </w:r>
      <w:r w:rsidRPr="00417EB4">
        <w:rPr>
          <w:rFonts w:cs="Open Sans"/>
        </w:rPr>
        <w:t>).</w:t>
      </w:r>
    </w:p>
  </w:endnote>
  <w:endnote w:id="211">
    <w:p w:rsidRPr="00417EB4" w:rsidR="005C4CC3" w:rsidP="005C4CC3" w:rsidRDefault="005C4CC3" w14:paraId="281DB6DA" w14:textId="77777777">
      <w:pPr>
        <w:pStyle w:val="EndnoteText"/>
        <w:rPr>
          <w:rFonts w:cs="Open Sans"/>
        </w:rPr>
      </w:pPr>
      <w:r w:rsidRPr="00417EB4">
        <w:rPr>
          <w:rStyle w:val="EndnoteReference"/>
          <w:rFonts w:cs="Open Sans"/>
        </w:rPr>
        <w:endnoteRef/>
      </w:r>
      <w:r w:rsidRPr="00417EB4">
        <w:rPr>
          <w:rFonts w:cs="Open Sans"/>
        </w:rPr>
        <w:t xml:space="preserve"> </w:t>
      </w:r>
      <w:r>
        <w:t xml:space="preserve">One person reported receiving inadequate information in relation to medical interventions as adults, </w:t>
      </w:r>
      <w:r w:rsidRPr="00417EB4">
        <w:rPr>
          <w:rFonts w:cs="Open Sans"/>
        </w:rPr>
        <w:t>Submission 36,</w:t>
      </w:r>
      <w:r w:rsidRPr="00F673EB">
        <w:rPr>
          <w:rFonts w:cs="Open Sans"/>
          <w:i/>
        </w:rPr>
        <w:t xml:space="preserve"> </w:t>
      </w:r>
      <w:r>
        <w:rPr>
          <w:rFonts w:cs="Open Sans"/>
          <w:i/>
        </w:rPr>
        <w:t>Intersex Inquiry</w:t>
      </w:r>
      <w:r>
        <w:rPr>
          <w:rFonts w:cs="Open Sans"/>
        </w:rPr>
        <w:t>,</w:t>
      </w:r>
      <w:r w:rsidRPr="00417EB4">
        <w:rPr>
          <w:rFonts w:cs="Open Sans"/>
        </w:rPr>
        <w:t xml:space="preserve"> 11. </w:t>
      </w:r>
    </w:p>
  </w:endnote>
  <w:endnote w:id="212">
    <w:p w:rsidRPr="00417EB4" w:rsidR="005C4CC3" w:rsidP="005C4CC3" w:rsidRDefault="005C4CC3" w14:paraId="16FC8CDC" w14:textId="77777777">
      <w:pPr>
        <w:pStyle w:val="EndnoteText"/>
        <w:rPr>
          <w:rFonts w:cs="Open Sans"/>
        </w:rPr>
      </w:pPr>
      <w:r w:rsidRPr="00417EB4">
        <w:rPr>
          <w:rStyle w:val="EndnoteReference"/>
          <w:rFonts w:cs="Open Sans"/>
        </w:rPr>
        <w:endnoteRef/>
      </w:r>
      <w:r w:rsidRPr="00417EB4">
        <w:rPr>
          <w:rFonts w:cs="Open Sans"/>
        </w:rPr>
        <w:t xml:space="preserve"> Interview 10</w:t>
      </w:r>
      <w:r>
        <w:rPr>
          <w:rFonts w:cs="Open Sans"/>
        </w:rPr>
        <w:t>,</w:t>
      </w:r>
      <w:r w:rsidRPr="00F673EB">
        <w:rPr>
          <w:rFonts w:cs="Open Sans"/>
          <w:i/>
        </w:rPr>
        <w:t xml:space="preserve"> </w:t>
      </w:r>
      <w:r>
        <w:rPr>
          <w:rFonts w:cs="Open Sans"/>
          <w:i/>
        </w:rPr>
        <w:t>Intersex Inquiry</w:t>
      </w:r>
      <w:r>
        <w:rPr>
          <w:rFonts w:cs="Open Sans"/>
        </w:rPr>
        <w:t>.</w:t>
      </w:r>
      <w:r w:rsidRPr="00417EB4">
        <w:rPr>
          <w:rFonts w:cs="Open Sans"/>
        </w:rPr>
        <w:t xml:space="preserve">  </w:t>
      </w:r>
    </w:p>
  </w:endnote>
  <w:endnote w:id="213">
    <w:p w:rsidRPr="00417EB4" w:rsidR="005C4CC3" w:rsidP="005C4CC3" w:rsidRDefault="005C4CC3" w14:paraId="71B48838" w14:textId="77777777">
      <w:pPr>
        <w:pStyle w:val="EndnoteText"/>
        <w:rPr>
          <w:rFonts w:cs="Open Sans"/>
        </w:rPr>
      </w:pPr>
      <w:r w:rsidRPr="00417EB4">
        <w:rPr>
          <w:rStyle w:val="EndnoteReference"/>
          <w:rFonts w:cs="Open Sans"/>
        </w:rPr>
        <w:endnoteRef/>
      </w:r>
      <w:r w:rsidRPr="00417EB4">
        <w:rPr>
          <w:rFonts w:cs="Open Sans"/>
        </w:rPr>
        <w:t xml:space="preserve"> Interview 15</w:t>
      </w:r>
      <w:r>
        <w:rPr>
          <w:rFonts w:cs="Open Sans"/>
        </w:rPr>
        <w:t>,</w:t>
      </w:r>
      <w:r w:rsidRPr="00F673EB">
        <w:rPr>
          <w:rFonts w:cs="Open Sans"/>
          <w:i/>
        </w:rPr>
        <w:t xml:space="preserve"> </w:t>
      </w:r>
      <w:r>
        <w:rPr>
          <w:rFonts w:cs="Open Sans"/>
          <w:i/>
        </w:rPr>
        <w:t>Intersex Inquiry</w:t>
      </w:r>
      <w:r>
        <w:rPr>
          <w:rFonts w:cs="Open Sans"/>
        </w:rPr>
        <w:t>.</w:t>
      </w:r>
    </w:p>
  </w:endnote>
  <w:endnote w:id="214">
    <w:p w:rsidRPr="00417EB4" w:rsidR="005C4CC3" w:rsidP="005C4CC3" w:rsidRDefault="005C4CC3" w14:paraId="35DAC44E" w14:textId="77777777">
      <w:pPr>
        <w:pStyle w:val="EndnoteText"/>
        <w:rPr>
          <w:lang w:val="en-US"/>
        </w:rPr>
      </w:pPr>
      <w:r w:rsidRPr="00417EB4">
        <w:rPr>
          <w:rStyle w:val="EndnoteReference"/>
        </w:rPr>
        <w:endnoteRef/>
      </w:r>
      <w:r w:rsidRPr="00417EB4">
        <w:t xml:space="preserve"> Cited </w:t>
      </w:r>
      <w:r w:rsidRPr="00417EB4">
        <w:rPr>
          <w:rFonts w:cs="Open Sans"/>
        </w:rPr>
        <w:t xml:space="preserve">in </w:t>
      </w:r>
      <w:r w:rsidRPr="00417EB4">
        <w:rPr>
          <w:lang w:val="en-US"/>
        </w:rPr>
        <w:t>Submission 36,12</w:t>
      </w:r>
      <w:r w:rsidRPr="00417EB4">
        <w:rPr>
          <w:rFonts w:cs="Open Sans"/>
        </w:rPr>
        <w:t>, a submission from an advocacy and peer-support group that collated the experiences of a number of individuals born with variations in sex characteristics</w:t>
      </w:r>
      <w:r w:rsidRPr="00417EB4">
        <w:rPr>
          <w:lang w:val="en-US"/>
        </w:rPr>
        <w:t>.</w:t>
      </w:r>
    </w:p>
  </w:endnote>
  <w:endnote w:id="215">
    <w:p w:rsidRPr="00417EB4" w:rsidR="005C4CC3" w:rsidP="005C4CC3" w:rsidRDefault="005C4CC3" w14:paraId="24A9B6D5" w14:textId="77777777">
      <w:pPr>
        <w:pStyle w:val="EndnoteText"/>
        <w:rPr>
          <w:rFonts w:cs="Open Sans"/>
        </w:rPr>
      </w:pPr>
      <w:r w:rsidRPr="00417EB4">
        <w:rPr>
          <w:rStyle w:val="EndnoteReference"/>
          <w:rFonts w:cs="Open Sans"/>
        </w:rPr>
        <w:endnoteRef/>
      </w:r>
      <w:r w:rsidRPr="00417EB4">
        <w:rPr>
          <w:rFonts w:cs="Open Sans"/>
        </w:rPr>
        <w:t xml:space="preserve"> Interview</w:t>
      </w:r>
      <w:r>
        <w:rPr>
          <w:rFonts w:cs="Open Sans"/>
        </w:rPr>
        <w:t xml:space="preserve"> </w:t>
      </w:r>
      <w:r w:rsidRPr="00417EB4">
        <w:rPr>
          <w:rFonts w:cs="Open Sans"/>
        </w:rPr>
        <w:t>10</w:t>
      </w:r>
      <w:r>
        <w:rPr>
          <w:rFonts w:cs="Open Sans"/>
        </w:rPr>
        <w:t>,</w:t>
      </w:r>
      <w:r>
        <w:rPr>
          <w:rFonts w:cs="Open Sans"/>
          <w:i/>
        </w:rPr>
        <w:t>Intersex Inquiry</w:t>
      </w:r>
      <w:r>
        <w:rPr>
          <w:rFonts w:cs="Open Sans"/>
        </w:rPr>
        <w:t>.</w:t>
      </w:r>
    </w:p>
  </w:endnote>
  <w:endnote w:id="216">
    <w:p w:rsidRPr="00417EB4" w:rsidR="005C4CC3" w:rsidP="005C4CC3" w:rsidRDefault="005C4CC3" w14:paraId="1DD7E2B2" w14:textId="77777777">
      <w:pPr>
        <w:pStyle w:val="EndnoteText"/>
        <w:rPr>
          <w:rFonts w:cs="Open Sans"/>
        </w:rPr>
      </w:pPr>
      <w:r w:rsidRPr="00417EB4">
        <w:rPr>
          <w:rStyle w:val="EndnoteReference"/>
          <w:rFonts w:cs="Open Sans"/>
        </w:rPr>
        <w:endnoteRef/>
      </w:r>
      <w:r w:rsidRPr="00417EB4">
        <w:rPr>
          <w:rFonts w:cs="Open Sans"/>
        </w:rPr>
        <w:t xml:space="preserve"> </w:t>
      </w:r>
      <w:r w:rsidRPr="00417EB4">
        <w:t xml:space="preserve">Cited </w:t>
      </w:r>
      <w:r w:rsidRPr="00417EB4">
        <w:rPr>
          <w:rFonts w:cs="Open Sans"/>
        </w:rPr>
        <w:t xml:space="preserve">in </w:t>
      </w:r>
      <w:r w:rsidRPr="00417EB4">
        <w:rPr>
          <w:lang w:val="en-US"/>
        </w:rPr>
        <w:t>Submission 36,</w:t>
      </w:r>
      <w:r w:rsidRPr="00743714">
        <w:rPr>
          <w:rFonts w:cs="Open Sans"/>
          <w:i/>
        </w:rPr>
        <w:t xml:space="preserve"> </w:t>
      </w:r>
      <w:r>
        <w:rPr>
          <w:rFonts w:cs="Open Sans"/>
          <w:i/>
        </w:rPr>
        <w:t>Intersex Inquiry</w:t>
      </w:r>
      <w:r>
        <w:rPr>
          <w:rFonts w:cs="Open Sans"/>
        </w:rPr>
        <w:t>,</w:t>
      </w:r>
      <w:r w:rsidRPr="00417EB4">
        <w:rPr>
          <w:rFonts w:cs="Open Sans"/>
        </w:rPr>
        <w:t xml:space="preserve"> </w:t>
      </w:r>
      <w:r w:rsidRPr="00417EB4">
        <w:rPr>
          <w:lang w:val="en-US"/>
        </w:rPr>
        <w:t>14</w:t>
      </w:r>
      <w:r w:rsidRPr="00417EB4">
        <w:rPr>
          <w:rFonts w:cs="Open Sans"/>
        </w:rPr>
        <w:t xml:space="preserve">, </w:t>
      </w:r>
      <w:r>
        <w:rPr>
          <w:rFonts w:cs="Open Sans"/>
        </w:rPr>
        <w:t>a</w:t>
      </w:r>
      <w:r w:rsidRPr="00417EB4">
        <w:rPr>
          <w:rFonts w:cs="Open Sans"/>
        </w:rPr>
        <w:t xml:space="preserve"> submission from an advocacy and peer-support group that collated the experiences of a number of individuals born with variations in sex characteristics</w:t>
      </w:r>
      <w:r w:rsidRPr="00417EB4">
        <w:rPr>
          <w:lang w:val="en-US"/>
        </w:rPr>
        <w:t>.</w:t>
      </w:r>
      <w:r w:rsidRPr="00417EB4">
        <w:rPr>
          <w:rFonts w:cs="Open Sans"/>
        </w:rPr>
        <w:t xml:space="preserve"> </w:t>
      </w:r>
    </w:p>
  </w:endnote>
  <w:endnote w:id="217">
    <w:p w:rsidRPr="00417EB4" w:rsidR="005C4CC3" w:rsidP="005C4CC3" w:rsidRDefault="005C4CC3" w14:paraId="7E208DEB" w14:textId="77777777">
      <w:pPr>
        <w:pStyle w:val="EndnoteText"/>
        <w:rPr>
          <w:lang w:val="en-US"/>
        </w:rPr>
      </w:pPr>
      <w:r w:rsidRPr="00417EB4">
        <w:rPr>
          <w:rStyle w:val="EndnoteReference"/>
        </w:rPr>
        <w:endnoteRef/>
      </w:r>
      <w:r w:rsidRPr="00417EB4">
        <w:t xml:space="preserve"> </w:t>
      </w:r>
      <w:r w:rsidRPr="00417EB4">
        <w:rPr>
          <w:lang w:val="en-US"/>
        </w:rPr>
        <w:t>Submission 63</w:t>
      </w:r>
      <w:bookmarkStart w:name="_Hlk79763850" w:id="238"/>
      <w:r>
        <w:rPr>
          <w:rFonts w:cs="Open Sans"/>
          <w:i/>
        </w:rPr>
        <w:t>, Intersex Inquiry</w:t>
      </w:r>
      <w:r>
        <w:rPr>
          <w:rFonts w:cs="Open Sans"/>
        </w:rPr>
        <w:t>.</w:t>
      </w:r>
      <w:r w:rsidRPr="00417EB4">
        <w:rPr>
          <w:lang w:val="en-US"/>
        </w:rPr>
        <w:t xml:space="preserve"> </w:t>
      </w:r>
      <w:bookmarkEnd w:id="238"/>
    </w:p>
  </w:endnote>
  <w:endnote w:id="218">
    <w:p w:rsidRPr="00417EB4" w:rsidR="005C4CC3" w:rsidP="005C4CC3" w:rsidRDefault="005C4CC3" w14:paraId="41F1669C" w14:textId="77777777">
      <w:pPr>
        <w:pStyle w:val="EndnoteText"/>
        <w:rPr>
          <w:rFonts w:cs="Open Sans"/>
        </w:rPr>
      </w:pPr>
      <w:r w:rsidRPr="00417EB4">
        <w:rPr>
          <w:rStyle w:val="EndnoteReference"/>
          <w:rFonts w:cs="Open Sans"/>
        </w:rPr>
        <w:endnoteRef/>
      </w:r>
      <w:r w:rsidRPr="00417EB4">
        <w:rPr>
          <w:rFonts w:cs="Open Sans"/>
        </w:rPr>
        <w:t xml:space="preserve"> Submission 38</w:t>
      </w:r>
      <w:r>
        <w:rPr>
          <w:rFonts w:cs="Open Sans"/>
          <w:i/>
        </w:rPr>
        <w:t>, Intersex Inquiry</w:t>
      </w:r>
      <w:r w:rsidRPr="00417EB4" w:rsidDel="00697DA3">
        <w:rPr>
          <w:rFonts w:cs="Open Sans"/>
        </w:rPr>
        <w:t>.</w:t>
      </w:r>
      <w:r w:rsidRPr="00417EB4">
        <w:rPr>
          <w:rFonts w:cs="Open Sans"/>
        </w:rPr>
        <w:t xml:space="preserve"> A peer advocacy and support organisation cited individuals who reported that the possibility (and implications) of not undergoing treatment was never identified or explained to them (eg Submission 36</w:t>
      </w:r>
      <w:r>
        <w:rPr>
          <w:rFonts w:cs="Open Sans"/>
          <w:i/>
        </w:rPr>
        <w:t>, Intersex Inquiry</w:t>
      </w:r>
      <w:r w:rsidRPr="00417EB4">
        <w:rPr>
          <w:rFonts w:cs="Open Sans"/>
        </w:rPr>
        <w:t>, 12)</w:t>
      </w:r>
    </w:p>
  </w:endnote>
  <w:endnote w:id="219">
    <w:p w:rsidRPr="00AD0779" w:rsidR="005C4CC3" w:rsidP="005C4CC3" w:rsidRDefault="005C4CC3" w14:paraId="64FA3A6C" w14:textId="77777777">
      <w:pPr>
        <w:pStyle w:val="EndnoteText"/>
        <w:rPr>
          <w:lang w:val="en-US"/>
        </w:rPr>
      </w:pPr>
      <w:r>
        <w:rPr>
          <w:rStyle w:val="EndnoteReference"/>
        </w:rPr>
        <w:endnoteRef/>
      </w:r>
      <w:r>
        <w:t xml:space="preserve"> </w:t>
      </w:r>
      <w:r w:rsidRPr="00417EB4">
        <w:rPr>
          <w:rFonts w:cs="Open Sans"/>
        </w:rPr>
        <w:t>Submission 54,</w:t>
      </w:r>
      <w:r>
        <w:rPr>
          <w:rFonts w:cs="Open Sans"/>
          <w:i/>
        </w:rPr>
        <w:t xml:space="preserve"> Intersex Inquiry</w:t>
      </w:r>
      <w:r>
        <w:rPr>
          <w:rFonts w:cs="Open Sans"/>
        </w:rPr>
        <w:t xml:space="preserve">, </w:t>
      </w:r>
      <w:r w:rsidRPr="00417EB4">
        <w:rPr>
          <w:rFonts w:cs="Open Sans"/>
        </w:rPr>
        <w:t xml:space="preserve">9.  </w:t>
      </w:r>
    </w:p>
  </w:endnote>
  <w:endnote w:id="220">
    <w:p w:rsidRPr="00417EB4" w:rsidR="005C4CC3" w:rsidP="005C4CC3" w:rsidRDefault="005C4CC3" w14:paraId="6EA03393" w14:textId="77777777">
      <w:pPr>
        <w:pStyle w:val="EndnoteText"/>
        <w:rPr>
          <w:lang w:val="en-US"/>
        </w:rPr>
      </w:pPr>
      <w:r w:rsidRPr="00417EB4">
        <w:rPr>
          <w:rStyle w:val="EndnoteReference"/>
        </w:rPr>
        <w:endnoteRef/>
      </w:r>
      <w:r w:rsidRPr="00417EB4">
        <w:t xml:space="preserve"> </w:t>
      </w:r>
      <w:r w:rsidRPr="00417EB4">
        <w:rPr>
          <w:lang w:val="en-US"/>
        </w:rPr>
        <w:t>Submission 25,</w:t>
      </w:r>
      <w:r>
        <w:rPr>
          <w:rFonts w:cs="Open Sans"/>
          <w:i/>
        </w:rPr>
        <w:t xml:space="preserve"> Intersex Inquiry,</w:t>
      </w:r>
      <w:r w:rsidRPr="00417EB4">
        <w:rPr>
          <w:lang w:val="en-US"/>
        </w:rPr>
        <w:t xml:space="preserve"> 4. </w:t>
      </w:r>
    </w:p>
  </w:endnote>
  <w:endnote w:id="221">
    <w:p w:rsidRPr="00417EB4" w:rsidR="005C4CC3" w:rsidP="005C4CC3" w:rsidRDefault="005C4CC3" w14:paraId="12E76F4A" w14:textId="77777777">
      <w:pPr>
        <w:pStyle w:val="EndnoteText"/>
        <w:rPr>
          <w:lang w:val="en-US"/>
        </w:rPr>
      </w:pPr>
      <w:r w:rsidRPr="00417EB4">
        <w:rPr>
          <w:rStyle w:val="EndnoteReference"/>
        </w:rPr>
        <w:endnoteRef/>
      </w:r>
      <w:r w:rsidRPr="00417EB4">
        <w:t xml:space="preserve"> </w:t>
      </w:r>
      <w:r w:rsidRPr="00417EB4">
        <w:rPr>
          <w:rFonts w:cs="Open Sans"/>
        </w:rPr>
        <w:t>Submission 52</w:t>
      </w:r>
      <w:bookmarkStart w:name="_Hlk79763916" w:id="239"/>
      <w:r w:rsidRPr="00417EB4">
        <w:rPr>
          <w:rFonts w:cs="Open Sans"/>
        </w:rPr>
        <w:t>,</w:t>
      </w:r>
      <w:r w:rsidDel="00FD6706">
        <w:rPr>
          <w:rFonts w:cs="Open Sans"/>
          <w:i/>
        </w:rPr>
        <w:t xml:space="preserve"> </w:t>
      </w:r>
      <w:r>
        <w:rPr>
          <w:rFonts w:cs="Open Sans"/>
          <w:i/>
        </w:rPr>
        <w:t>Intersex Inquiry</w:t>
      </w:r>
      <w:r>
        <w:rPr>
          <w:rFonts w:cs="Open Sans"/>
        </w:rPr>
        <w:t>,</w:t>
      </w:r>
      <w:bookmarkEnd w:id="239"/>
      <w:r>
        <w:rPr>
          <w:rFonts w:cs="Open Sans"/>
        </w:rPr>
        <w:t xml:space="preserve"> </w:t>
      </w:r>
      <w:r w:rsidRPr="00417EB4">
        <w:rPr>
          <w:rFonts w:cs="Open Sans"/>
        </w:rPr>
        <w:t xml:space="preserve">5-6. </w:t>
      </w:r>
    </w:p>
  </w:endnote>
  <w:endnote w:id="222">
    <w:p w:rsidRPr="00417EB4" w:rsidR="005C4CC3" w:rsidP="005C4CC3" w:rsidRDefault="005C4CC3" w14:paraId="53A5181D" w14:textId="77777777">
      <w:pPr>
        <w:pStyle w:val="EndnoteText"/>
        <w:rPr>
          <w:rFonts w:cs="Open Sans"/>
        </w:rPr>
      </w:pPr>
      <w:r w:rsidRPr="00417EB4">
        <w:rPr>
          <w:rStyle w:val="EndnoteReference"/>
          <w:rFonts w:cs="Open Sans"/>
        </w:rPr>
        <w:endnoteRef/>
      </w:r>
      <w:r w:rsidRPr="00417EB4">
        <w:rPr>
          <w:rFonts w:cs="Open Sans"/>
        </w:rPr>
        <w:t xml:space="preserve"> Submission 36, </w:t>
      </w:r>
      <w:r>
        <w:rPr>
          <w:rFonts w:cs="Open Sans"/>
          <w:i/>
        </w:rPr>
        <w:t>Intersex Inquiry</w:t>
      </w:r>
      <w:r>
        <w:rPr>
          <w:rFonts w:cs="Open Sans"/>
        </w:rPr>
        <w:t xml:space="preserve">, </w:t>
      </w:r>
      <w:r w:rsidRPr="00417EB4">
        <w:rPr>
          <w:rFonts w:cs="Open Sans"/>
        </w:rPr>
        <w:t>11.</w:t>
      </w:r>
    </w:p>
  </w:endnote>
  <w:endnote w:id="223">
    <w:p w:rsidRPr="00D30923" w:rsidR="005C4CC3" w:rsidP="005C4CC3" w:rsidRDefault="005C4CC3" w14:paraId="7F9AED25" w14:textId="77777777">
      <w:pPr>
        <w:pStyle w:val="EndnoteText"/>
        <w:rPr>
          <w:lang w:val="en-US"/>
        </w:rPr>
      </w:pPr>
      <w:r>
        <w:rPr>
          <w:rStyle w:val="EndnoteReference"/>
        </w:rPr>
        <w:endnoteRef/>
      </w:r>
      <w:r>
        <w:t xml:space="preserve"> There is </w:t>
      </w:r>
      <w:r>
        <w:rPr>
          <w:lang w:val="en-US"/>
        </w:rPr>
        <w:t xml:space="preserve">further discussion about this risk in Chapter 5 </w:t>
      </w:r>
      <w:r>
        <w:rPr>
          <w:rFonts w:cs="Open Sans"/>
          <w:lang w:val="en-US"/>
        </w:rPr>
        <w:t>–</w:t>
      </w:r>
      <w:r>
        <w:rPr>
          <w:lang w:val="en-US"/>
        </w:rPr>
        <w:t xml:space="preserve"> Rationales for Intervention.</w:t>
      </w:r>
    </w:p>
  </w:endnote>
  <w:endnote w:id="224">
    <w:p w:rsidRPr="00417EB4" w:rsidR="005C4CC3" w:rsidP="005C4CC3" w:rsidRDefault="005C4CC3" w14:paraId="758891C2" w14:textId="77777777">
      <w:pPr>
        <w:pStyle w:val="EndnoteText"/>
        <w:rPr>
          <w:rFonts w:cs="Open Sans"/>
        </w:rPr>
      </w:pPr>
      <w:r w:rsidRPr="00417EB4">
        <w:rPr>
          <w:rStyle w:val="EndnoteReference"/>
          <w:rFonts w:cs="Open Sans"/>
        </w:rPr>
        <w:endnoteRef/>
      </w:r>
      <w:r w:rsidRPr="00417EB4">
        <w:rPr>
          <w:rFonts w:cs="Open Sans"/>
        </w:rPr>
        <w:t xml:space="preserve"> Submission 56,</w:t>
      </w:r>
      <w:r w:rsidRPr="00FC2354">
        <w:rPr>
          <w:rFonts w:cs="Open Sans"/>
        </w:rPr>
        <w:t xml:space="preserve"> </w:t>
      </w:r>
      <w:r>
        <w:rPr>
          <w:rFonts w:cs="Open Sans"/>
          <w:i/>
        </w:rPr>
        <w:t>Intersex Inquiry</w:t>
      </w:r>
      <w:r>
        <w:rPr>
          <w:rFonts w:cs="Open Sans"/>
        </w:rPr>
        <w:t>,</w:t>
      </w:r>
      <w:r w:rsidRPr="00417EB4">
        <w:rPr>
          <w:rFonts w:cs="Open Sans"/>
        </w:rPr>
        <w:t xml:space="preserve"> 5.</w:t>
      </w:r>
    </w:p>
  </w:endnote>
  <w:endnote w:id="225">
    <w:p w:rsidRPr="00417EB4" w:rsidR="005C4CC3" w:rsidP="005C4CC3" w:rsidRDefault="005C4CC3" w14:paraId="134CC048" w14:textId="77777777">
      <w:pPr>
        <w:pStyle w:val="EndnoteText"/>
        <w:rPr>
          <w:lang w:val="en-US"/>
        </w:rPr>
      </w:pPr>
      <w:r w:rsidRPr="00417EB4">
        <w:rPr>
          <w:rStyle w:val="EndnoteReference"/>
        </w:rPr>
        <w:endnoteRef/>
      </w:r>
      <w:r w:rsidRPr="00417EB4">
        <w:t xml:space="preserve"> A Gender Agenda, Submission 52,</w:t>
      </w:r>
      <w:r w:rsidRPr="00FC2354">
        <w:rPr>
          <w:rFonts w:cs="Open Sans"/>
        </w:rPr>
        <w:t xml:space="preserve"> </w:t>
      </w:r>
      <w:r>
        <w:rPr>
          <w:rFonts w:cs="Open Sans"/>
          <w:i/>
        </w:rPr>
        <w:t>Intersex Inquiry</w:t>
      </w:r>
      <w:r>
        <w:rPr>
          <w:rFonts w:cs="Open Sans"/>
        </w:rPr>
        <w:t>,</w:t>
      </w:r>
      <w:r w:rsidRPr="00417EB4">
        <w:t xml:space="preserve"> 4; </w:t>
      </w:r>
      <w:r w:rsidRPr="00417EB4">
        <w:rPr>
          <w:lang w:val="en-US"/>
        </w:rPr>
        <w:t>Intersex Human Rights Australia, Submission 40</w:t>
      </w:r>
      <w:r>
        <w:rPr>
          <w:lang w:val="en-US"/>
        </w:rPr>
        <w:t>,</w:t>
      </w:r>
      <w:r w:rsidRPr="00417EB4">
        <w:rPr>
          <w:lang w:val="en-US"/>
        </w:rPr>
        <w:t xml:space="preserve"> </w:t>
      </w:r>
      <w:r>
        <w:rPr>
          <w:rFonts w:cs="Open Sans"/>
          <w:i/>
        </w:rPr>
        <w:t>Intersex Inquiry</w:t>
      </w:r>
      <w:r>
        <w:rPr>
          <w:rFonts w:cs="Open Sans"/>
        </w:rPr>
        <w:t xml:space="preserve">, </w:t>
      </w:r>
      <w:r w:rsidRPr="00417EB4">
        <w:rPr>
          <w:lang w:val="en-US"/>
        </w:rPr>
        <w:t>8,11</w:t>
      </w:r>
      <w:r>
        <w:rPr>
          <w:lang w:val="en-US"/>
        </w:rPr>
        <w:t>.</w:t>
      </w:r>
    </w:p>
  </w:endnote>
  <w:endnote w:id="226">
    <w:p w:rsidRPr="00417EB4" w:rsidR="005C4CC3" w:rsidP="005C4CC3" w:rsidRDefault="005C4CC3" w14:paraId="027946ED" w14:textId="77777777">
      <w:pPr>
        <w:pStyle w:val="EndnoteText"/>
        <w:rPr>
          <w:rFonts w:cs="Open Sans"/>
        </w:rPr>
      </w:pPr>
      <w:r w:rsidRPr="00417EB4">
        <w:rPr>
          <w:rStyle w:val="EndnoteReference"/>
          <w:rFonts w:cs="Open Sans"/>
        </w:rPr>
        <w:endnoteRef/>
      </w:r>
      <w:r w:rsidRPr="00417EB4">
        <w:rPr>
          <w:rFonts w:cs="Open Sans"/>
        </w:rPr>
        <w:t xml:space="preserve"> Submission 36,</w:t>
      </w:r>
      <w:r>
        <w:rPr>
          <w:rFonts w:cs="Open Sans"/>
          <w:i/>
        </w:rPr>
        <w:t xml:space="preserve"> Intersex Inquiry</w:t>
      </w:r>
      <w:r>
        <w:rPr>
          <w:rFonts w:cs="Open Sans"/>
        </w:rPr>
        <w:t>.</w:t>
      </w:r>
      <w:r w:rsidRPr="00417EB4">
        <w:rPr>
          <w:rFonts w:cs="Open Sans"/>
        </w:rPr>
        <w:t xml:space="preserve"> </w:t>
      </w:r>
    </w:p>
  </w:endnote>
  <w:endnote w:id="227">
    <w:p w:rsidRPr="00417EB4" w:rsidR="005C4CC3" w:rsidP="005C4CC3" w:rsidRDefault="005C4CC3" w14:paraId="01A2B17E" w14:textId="77777777">
      <w:pPr>
        <w:pStyle w:val="EndnoteText"/>
        <w:rPr>
          <w:lang w:val="en-US"/>
        </w:rPr>
      </w:pPr>
      <w:r w:rsidRPr="00417EB4">
        <w:rPr>
          <w:rStyle w:val="EndnoteReference"/>
        </w:rPr>
        <w:endnoteRef/>
      </w:r>
      <w:r w:rsidRPr="00417EB4">
        <w:t xml:space="preserve"> </w:t>
      </w:r>
      <w:r w:rsidRPr="00417EB4">
        <w:rPr>
          <w:lang w:val="en-US"/>
        </w:rPr>
        <w:t>Submission 36,</w:t>
      </w:r>
      <w:r>
        <w:rPr>
          <w:rFonts w:cs="Open Sans"/>
          <w:i/>
        </w:rPr>
        <w:t xml:space="preserve"> Intersex Inquiry</w:t>
      </w:r>
      <w:r>
        <w:rPr>
          <w:rFonts w:cs="Open Sans"/>
        </w:rPr>
        <w:t xml:space="preserve">, </w:t>
      </w:r>
      <w:r w:rsidRPr="00417EB4">
        <w:rPr>
          <w:lang w:val="en-US"/>
        </w:rPr>
        <w:t>11</w:t>
      </w:r>
      <w:r>
        <w:rPr>
          <w:lang w:val="en-US"/>
        </w:rPr>
        <w:t>–</w:t>
      </w:r>
      <w:r w:rsidRPr="00417EB4">
        <w:rPr>
          <w:lang w:val="en-US"/>
        </w:rPr>
        <w:t xml:space="preserve">12. </w:t>
      </w:r>
    </w:p>
  </w:endnote>
  <w:endnote w:id="228">
    <w:p w:rsidRPr="00417EB4" w:rsidR="005C4CC3" w:rsidP="005C4CC3" w:rsidRDefault="005C4CC3" w14:paraId="597FD583" w14:textId="77777777">
      <w:pPr>
        <w:pStyle w:val="EndnoteText"/>
        <w:rPr>
          <w:lang w:val="en-US"/>
        </w:rPr>
      </w:pPr>
      <w:r w:rsidRPr="00417EB4">
        <w:rPr>
          <w:rStyle w:val="EndnoteReference"/>
        </w:rPr>
        <w:endnoteRef/>
      </w:r>
      <w:r w:rsidRPr="00417EB4">
        <w:t xml:space="preserve"> </w:t>
      </w:r>
      <w:r w:rsidRPr="00417EB4">
        <w:rPr>
          <w:lang w:val="en-US"/>
        </w:rPr>
        <w:t>Submission 36,</w:t>
      </w:r>
      <w:r>
        <w:rPr>
          <w:rFonts w:cs="Open Sans"/>
          <w:i/>
        </w:rPr>
        <w:t xml:space="preserve"> Intersex Inquiry</w:t>
      </w:r>
      <w:r>
        <w:rPr>
          <w:rFonts w:cs="Open Sans"/>
        </w:rPr>
        <w:t>,</w:t>
      </w:r>
      <w:r w:rsidRPr="00417EB4">
        <w:rPr>
          <w:lang w:val="en-US"/>
        </w:rPr>
        <w:t xml:space="preserve"> 11.</w:t>
      </w:r>
    </w:p>
  </w:endnote>
  <w:endnote w:id="229">
    <w:p w:rsidRPr="00417EB4" w:rsidR="005C4CC3" w:rsidP="005C4CC3" w:rsidRDefault="005C4CC3" w14:paraId="182EEFE8" w14:textId="77777777">
      <w:pPr>
        <w:pStyle w:val="EndnoteText"/>
        <w:rPr>
          <w:rFonts w:cs="Open Sans"/>
        </w:rPr>
      </w:pPr>
      <w:r w:rsidRPr="00417EB4">
        <w:rPr>
          <w:rStyle w:val="EndnoteReference"/>
          <w:rFonts w:cs="Open Sans"/>
        </w:rPr>
        <w:endnoteRef/>
      </w:r>
      <w:r w:rsidRPr="00417EB4">
        <w:rPr>
          <w:rFonts w:cs="Open Sans"/>
        </w:rPr>
        <w:t xml:space="preserve"> Submission 41,</w:t>
      </w:r>
      <w:r w:rsidRPr="00FC2354">
        <w:rPr>
          <w:rFonts w:cs="Open Sans"/>
        </w:rPr>
        <w:t xml:space="preserve"> </w:t>
      </w:r>
      <w:r>
        <w:rPr>
          <w:rFonts w:cs="Open Sans"/>
          <w:i/>
        </w:rPr>
        <w:t>Intersex Inquiry</w:t>
      </w:r>
      <w:r>
        <w:rPr>
          <w:rFonts w:cs="Open Sans"/>
        </w:rPr>
        <w:t>,</w:t>
      </w:r>
      <w:r w:rsidRPr="00417EB4">
        <w:rPr>
          <w:rFonts w:cs="Open Sans"/>
        </w:rPr>
        <w:t xml:space="preserve"> 9; Submission 56,</w:t>
      </w:r>
      <w:r w:rsidRPr="00FC2354">
        <w:rPr>
          <w:rFonts w:cs="Open Sans"/>
        </w:rPr>
        <w:t xml:space="preserve"> </w:t>
      </w:r>
      <w:r>
        <w:rPr>
          <w:rFonts w:cs="Open Sans"/>
          <w:i/>
        </w:rPr>
        <w:t>Intersex Inquiry</w:t>
      </w:r>
      <w:r>
        <w:rPr>
          <w:rFonts w:cs="Open Sans"/>
        </w:rPr>
        <w:t>,</w:t>
      </w:r>
      <w:r w:rsidRPr="00417EB4">
        <w:rPr>
          <w:rFonts w:cs="Open Sans"/>
        </w:rPr>
        <w:t xml:space="preserve"> 5</w:t>
      </w:r>
      <w:r>
        <w:rPr>
          <w:rFonts w:cs="Open Sans"/>
        </w:rPr>
        <w:t>–</w:t>
      </w:r>
      <w:r w:rsidRPr="00417EB4">
        <w:rPr>
          <w:rFonts w:cs="Open Sans"/>
        </w:rPr>
        <w:t>6, 8; Submission 36,</w:t>
      </w:r>
      <w:r>
        <w:rPr>
          <w:rFonts w:cs="Open Sans"/>
          <w:i/>
        </w:rPr>
        <w:t xml:space="preserve"> Intersex Inquiry</w:t>
      </w:r>
      <w:r w:rsidRPr="00417EB4">
        <w:t>.</w:t>
      </w:r>
    </w:p>
  </w:endnote>
  <w:endnote w:id="230">
    <w:p w:rsidRPr="00417EB4" w:rsidR="005C4CC3" w:rsidP="005C4CC3" w:rsidRDefault="005C4CC3" w14:paraId="5BB65E89" w14:textId="77777777">
      <w:pPr>
        <w:pStyle w:val="EndnoteText"/>
        <w:rPr>
          <w:rFonts w:cs="Open Sans"/>
        </w:rPr>
      </w:pPr>
      <w:r w:rsidRPr="00417EB4">
        <w:rPr>
          <w:rStyle w:val="EndnoteReference"/>
          <w:rFonts w:cs="Open Sans"/>
        </w:rPr>
        <w:endnoteRef/>
      </w:r>
      <w:r w:rsidRPr="00417EB4">
        <w:rPr>
          <w:rFonts w:cs="Open Sans"/>
        </w:rPr>
        <w:t xml:space="preserve"> Submission 36,</w:t>
      </w:r>
      <w:r>
        <w:rPr>
          <w:rFonts w:cs="Open Sans"/>
          <w:i/>
        </w:rPr>
        <w:t xml:space="preserve"> Intersex Inquiry</w:t>
      </w:r>
      <w:r>
        <w:rPr>
          <w:rFonts w:cs="Open Sans"/>
        </w:rPr>
        <w:t>,</w:t>
      </w:r>
      <w:r w:rsidRPr="00417EB4">
        <w:rPr>
          <w:rFonts w:cs="Open Sans"/>
        </w:rPr>
        <w:t xml:space="preserve"> 32; Submission 63,</w:t>
      </w:r>
      <w:r>
        <w:rPr>
          <w:rFonts w:cs="Open Sans"/>
          <w:i/>
        </w:rPr>
        <w:t xml:space="preserve"> Intersex Inquiry</w:t>
      </w:r>
      <w:r w:rsidRPr="00417EB4">
        <w:rPr>
          <w:rFonts w:cs="Open Sans"/>
        </w:rPr>
        <w:t>; Submission 67,</w:t>
      </w:r>
      <w:r>
        <w:rPr>
          <w:rFonts w:cs="Open Sans"/>
          <w:i/>
        </w:rPr>
        <w:t xml:space="preserve"> Intersex Inquiry</w:t>
      </w:r>
      <w:r w:rsidRPr="00417EB4">
        <w:rPr>
          <w:rFonts w:cs="Open Sans"/>
        </w:rPr>
        <w:t xml:space="preserve">. </w:t>
      </w:r>
    </w:p>
  </w:endnote>
  <w:endnote w:id="231">
    <w:p w:rsidRPr="00417EB4" w:rsidR="005C4CC3" w:rsidP="005C4CC3" w:rsidRDefault="005C4CC3" w14:paraId="7E55A401" w14:textId="77777777">
      <w:pPr>
        <w:pStyle w:val="EndnoteText"/>
        <w:rPr>
          <w:lang w:val="en-US"/>
        </w:rPr>
      </w:pPr>
      <w:r w:rsidRPr="00417EB4">
        <w:rPr>
          <w:rStyle w:val="EndnoteReference"/>
        </w:rPr>
        <w:endnoteRef/>
      </w:r>
      <w:r w:rsidRPr="00417EB4">
        <w:t xml:space="preserve"> </w:t>
      </w:r>
      <w:r w:rsidRPr="00417EB4">
        <w:rPr>
          <w:rFonts w:cs="Open Sans"/>
        </w:rPr>
        <w:t>Submission 70,</w:t>
      </w:r>
      <w:r w:rsidRPr="00FC2354">
        <w:rPr>
          <w:rFonts w:cs="Open Sans"/>
        </w:rPr>
        <w:t xml:space="preserve"> </w:t>
      </w:r>
      <w:r>
        <w:rPr>
          <w:rFonts w:cs="Open Sans"/>
          <w:i/>
        </w:rPr>
        <w:t xml:space="preserve"> Intersex Inquiry</w:t>
      </w:r>
      <w:r>
        <w:rPr>
          <w:rFonts w:cs="Open Sans"/>
        </w:rPr>
        <w:t>,</w:t>
      </w:r>
      <w:r w:rsidRPr="00417EB4">
        <w:rPr>
          <w:rFonts w:cs="Open Sans"/>
        </w:rPr>
        <w:t xml:space="preserve"> 2.</w:t>
      </w:r>
    </w:p>
  </w:endnote>
  <w:endnote w:id="232">
    <w:p w:rsidRPr="00417EB4" w:rsidR="005C4CC3" w:rsidP="005C4CC3" w:rsidRDefault="005C4CC3" w14:paraId="3681AC55" w14:textId="77777777">
      <w:pPr>
        <w:pStyle w:val="EndnoteText"/>
        <w:rPr>
          <w:lang w:val="en-US"/>
        </w:rPr>
      </w:pPr>
      <w:r w:rsidRPr="00417EB4">
        <w:rPr>
          <w:rStyle w:val="EndnoteReference"/>
        </w:rPr>
        <w:endnoteRef/>
      </w:r>
      <w:r w:rsidRPr="00417EB4">
        <w:t xml:space="preserve"> </w:t>
      </w:r>
      <w:r w:rsidRPr="00417EB4">
        <w:rPr>
          <w:lang w:val="en-US"/>
        </w:rPr>
        <w:t>Submission 67</w:t>
      </w:r>
      <w:r w:rsidRPr="00417EB4">
        <w:rPr>
          <w:rFonts w:cs="Open Sans"/>
        </w:rPr>
        <w:t>,</w:t>
      </w:r>
      <w:r>
        <w:rPr>
          <w:rFonts w:cs="Open Sans"/>
          <w:i/>
        </w:rPr>
        <w:t xml:space="preserve"> Intersex Inquiry</w:t>
      </w:r>
      <w:r w:rsidRPr="00417EB4">
        <w:rPr>
          <w:lang w:val="en-US"/>
        </w:rPr>
        <w:t xml:space="preserve">. </w:t>
      </w:r>
    </w:p>
  </w:endnote>
  <w:endnote w:id="233">
    <w:p w:rsidRPr="00417EB4" w:rsidR="005C4CC3" w:rsidP="005C4CC3" w:rsidRDefault="005C4CC3" w14:paraId="27BCF6FF" w14:textId="77777777">
      <w:pPr>
        <w:pStyle w:val="EndnoteText"/>
        <w:rPr>
          <w:rFonts w:cs="Open Sans"/>
        </w:rPr>
      </w:pPr>
      <w:r w:rsidRPr="00417EB4">
        <w:rPr>
          <w:rStyle w:val="EndnoteReference"/>
          <w:rFonts w:cs="Open Sans"/>
        </w:rPr>
        <w:endnoteRef/>
      </w:r>
      <w:r w:rsidRPr="00417EB4">
        <w:rPr>
          <w:rFonts w:cs="Open Sans"/>
        </w:rPr>
        <w:t xml:space="preserve"> Submission 21,</w:t>
      </w:r>
      <w:r>
        <w:rPr>
          <w:rFonts w:cs="Open Sans"/>
          <w:i/>
        </w:rPr>
        <w:t xml:space="preserve"> Intersex Inquiry</w:t>
      </w:r>
      <w:r w:rsidRPr="00417EB4">
        <w:rPr>
          <w:rFonts w:cs="Open Sans"/>
        </w:rPr>
        <w:t>; Submission 36,</w:t>
      </w:r>
      <w:r>
        <w:rPr>
          <w:rFonts w:cs="Open Sans"/>
          <w:i/>
        </w:rPr>
        <w:t xml:space="preserve"> Intersex Inquiry</w:t>
      </w:r>
      <w:r w:rsidRPr="00417EB4">
        <w:rPr>
          <w:rFonts w:cs="Open Sans"/>
        </w:rPr>
        <w:t>, 34; Submission 60,</w:t>
      </w:r>
      <w:r>
        <w:rPr>
          <w:rFonts w:cs="Open Sans"/>
          <w:i/>
        </w:rPr>
        <w:t xml:space="preserve"> Intersex Inquiry</w:t>
      </w:r>
      <w:r w:rsidRPr="00417EB4">
        <w:rPr>
          <w:rFonts w:cs="Open Sans"/>
        </w:rPr>
        <w:t xml:space="preserve">. </w:t>
      </w:r>
    </w:p>
  </w:endnote>
  <w:endnote w:id="234">
    <w:p w:rsidRPr="00417EB4" w:rsidR="005C4CC3" w:rsidP="005C4CC3" w:rsidRDefault="005C4CC3" w14:paraId="175C5E5E" w14:textId="77777777">
      <w:pPr>
        <w:pStyle w:val="EndnoteText"/>
        <w:rPr>
          <w:lang w:val="en-US"/>
        </w:rPr>
      </w:pPr>
      <w:r w:rsidRPr="00417EB4">
        <w:rPr>
          <w:rStyle w:val="EndnoteReference"/>
        </w:rPr>
        <w:endnoteRef/>
      </w:r>
      <w:r w:rsidRPr="00417EB4">
        <w:t xml:space="preserve"> Cited in </w:t>
      </w:r>
      <w:r w:rsidRPr="00417EB4">
        <w:rPr>
          <w:lang w:val="en-US"/>
        </w:rPr>
        <w:t>Submission 36</w:t>
      </w:r>
      <w:r w:rsidRPr="00417EB4">
        <w:rPr>
          <w:rFonts w:cs="Open Sans"/>
        </w:rPr>
        <w:t>,</w:t>
      </w:r>
      <w:r>
        <w:rPr>
          <w:rFonts w:cs="Open Sans"/>
          <w:i/>
        </w:rPr>
        <w:t xml:space="preserve"> Intersex Inquiry</w:t>
      </w:r>
      <w:r w:rsidRPr="00417EB4">
        <w:rPr>
          <w:lang w:val="en-US"/>
        </w:rPr>
        <w:t xml:space="preserve">, 13, </w:t>
      </w:r>
      <w:r w:rsidRPr="00417EB4">
        <w:rPr>
          <w:rFonts w:cs="Open Sans"/>
        </w:rPr>
        <w:t>a submission from an advocacy and peer-support group that collated the experiences of a number of individuals born with variations in sex characteristics</w:t>
      </w:r>
      <w:r w:rsidRPr="00417EB4">
        <w:rPr>
          <w:lang w:val="en-US"/>
        </w:rPr>
        <w:t>.</w:t>
      </w:r>
    </w:p>
  </w:endnote>
  <w:endnote w:id="235">
    <w:p w:rsidRPr="00417EB4" w:rsidR="005C4CC3" w:rsidP="005C4CC3" w:rsidRDefault="005C4CC3" w14:paraId="4D9D0BCC" w14:textId="77777777">
      <w:pPr>
        <w:pStyle w:val="EndnoteText"/>
        <w:rPr>
          <w:rFonts w:cs="Open Sans"/>
        </w:rPr>
      </w:pPr>
      <w:r w:rsidRPr="00417EB4">
        <w:rPr>
          <w:rStyle w:val="EndnoteReference"/>
          <w:rFonts w:cs="Open Sans"/>
        </w:rPr>
        <w:endnoteRef/>
      </w:r>
      <w:r w:rsidRPr="00417EB4">
        <w:rPr>
          <w:rFonts w:cs="Open Sans"/>
        </w:rPr>
        <w:t xml:space="preserve"> Submission 36,</w:t>
      </w:r>
      <w:r>
        <w:rPr>
          <w:rFonts w:cs="Open Sans"/>
          <w:i/>
        </w:rPr>
        <w:t xml:space="preserve"> Intersex Inquiry</w:t>
      </w:r>
      <w:r>
        <w:rPr>
          <w:rFonts w:cs="Open Sans"/>
        </w:rPr>
        <w:t>,</w:t>
      </w:r>
      <w:r w:rsidRPr="00417EB4">
        <w:rPr>
          <w:rFonts w:cs="Open Sans"/>
        </w:rPr>
        <w:t xml:space="preserve"> 33.</w:t>
      </w:r>
    </w:p>
  </w:endnote>
  <w:endnote w:id="236">
    <w:p w:rsidRPr="00417EB4" w:rsidR="005C4CC3" w:rsidP="005C4CC3" w:rsidRDefault="005C4CC3" w14:paraId="1CDA6E2C" w14:textId="77777777">
      <w:pPr>
        <w:pStyle w:val="EndnoteText"/>
        <w:rPr>
          <w:rFonts w:cs="Open Sans"/>
        </w:rPr>
      </w:pPr>
      <w:r w:rsidRPr="00417EB4">
        <w:rPr>
          <w:rStyle w:val="EndnoteReference"/>
          <w:rFonts w:cs="Open Sans"/>
        </w:rPr>
        <w:endnoteRef/>
      </w:r>
      <w:r w:rsidRPr="00417EB4">
        <w:rPr>
          <w:rFonts w:cs="Open Sans"/>
        </w:rPr>
        <w:t xml:space="preserve"> Submission 36, </w:t>
      </w:r>
      <w:r>
        <w:rPr>
          <w:rFonts w:cs="Open Sans"/>
          <w:i/>
        </w:rPr>
        <w:t>Intersex Inquiry</w:t>
      </w:r>
      <w:r>
        <w:rPr>
          <w:rFonts w:cs="Open Sans"/>
        </w:rPr>
        <w:t>,</w:t>
      </w:r>
      <w:r w:rsidRPr="00417EB4">
        <w:rPr>
          <w:rFonts w:cs="Open Sans"/>
        </w:rPr>
        <w:t xml:space="preserve">32. </w:t>
      </w:r>
    </w:p>
  </w:endnote>
  <w:endnote w:id="237">
    <w:p w:rsidR="005C4CC3" w:rsidP="005C4CC3" w:rsidRDefault="005C4CC3" w14:paraId="02C15864" w14:textId="77777777">
      <w:pPr>
        <w:pStyle w:val="EndnoteText"/>
      </w:pPr>
      <w:r>
        <w:rPr>
          <w:rStyle w:val="EndnoteReference"/>
        </w:rPr>
        <w:endnoteRef/>
      </w:r>
      <w:r>
        <w:t xml:space="preserve"> </w:t>
      </w:r>
      <w:r w:rsidRPr="00417EB4">
        <w:t>Submission 21</w:t>
      </w:r>
      <w:r w:rsidRPr="00417EB4">
        <w:rPr>
          <w:rFonts w:cs="Open Sans"/>
        </w:rPr>
        <w:t>,</w:t>
      </w:r>
      <w:r>
        <w:rPr>
          <w:rFonts w:cs="Open Sans"/>
          <w:i/>
        </w:rPr>
        <w:t xml:space="preserve"> Intersex Inquiry</w:t>
      </w:r>
      <w:r w:rsidRPr="00417EB4">
        <w:t>; Submission 55</w:t>
      </w:r>
      <w:r w:rsidRPr="00417EB4">
        <w:rPr>
          <w:rFonts w:cs="Open Sans"/>
        </w:rPr>
        <w:t>,</w:t>
      </w:r>
      <w:r>
        <w:rPr>
          <w:rFonts w:cs="Open Sans"/>
          <w:i/>
        </w:rPr>
        <w:t xml:space="preserve"> Intersex Inquiry</w:t>
      </w:r>
      <w:r w:rsidRPr="00417EB4">
        <w:t>, 12.</w:t>
      </w:r>
    </w:p>
  </w:endnote>
  <w:endnote w:id="238">
    <w:p w:rsidRPr="00BD1F7B" w:rsidR="005C4CC3" w:rsidP="005C4CC3" w:rsidRDefault="005C4CC3" w14:paraId="4E68B5F7" w14:textId="77777777">
      <w:pPr>
        <w:pStyle w:val="EndnoteText"/>
        <w:rPr>
          <w:lang w:val="en-US"/>
        </w:rPr>
      </w:pPr>
      <w:r w:rsidRPr="00417EB4">
        <w:rPr>
          <w:rStyle w:val="EndnoteReference"/>
        </w:rPr>
        <w:endnoteRef/>
      </w:r>
      <w:r w:rsidRPr="00417EB4">
        <w:t xml:space="preserve"> </w:t>
      </w:r>
      <w:r w:rsidRPr="00417EB4">
        <w:rPr>
          <w:lang w:val="en-US"/>
        </w:rPr>
        <w:t>Submission 67</w:t>
      </w:r>
      <w:r w:rsidRPr="00417EB4">
        <w:rPr>
          <w:rFonts w:cs="Open Sans"/>
        </w:rPr>
        <w:t>,</w:t>
      </w:r>
      <w:r>
        <w:rPr>
          <w:rFonts w:cs="Open Sans"/>
          <w:i/>
        </w:rPr>
        <w:t xml:space="preserve"> Intersex Inquiry</w:t>
      </w:r>
      <w:r w:rsidRPr="00417EB4">
        <w:rPr>
          <w:lang w:val="en-US"/>
        </w:rPr>
        <w:t>; Submission 55</w:t>
      </w:r>
      <w:r w:rsidRPr="00417EB4">
        <w:rPr>
          <w:rFonts w:cs="Open Sans"/>
        </w:rPr>
        <w:t>,</w:t>
      </w:r>
      <w:r>
        <w:rPr>
          <w:rFonts w:cs="Open Sans"/>
          <w:i/>
        </w:rPr>
        <w:t xml:space="preserve"> Intersex Inquiry</w:t>
      </w:r>
      <w:r w:rsidRPr="00417EB4">
        <w:rPr>
          <w:lang w:val="en-US"/>
        </w:rPr>
        <w:t>, 6; Submission 21</w:t>
      </w:r>
      <w:r w:rsidRPr="00417EB4">
        <w:rPr>
          <w:rFonts w:cs="Open Sans"/>
        </w:rPr>
        <w:t>,</w:t>
      </w:r>
      <w:r>
        <w:rPr>
          <w:rFonts w:cs="Open Sans"/>
          <w:i/>
        </w:rPr>
        <w:t xml:space="preserve"> Intersex Inquiry</w:t>
      </w:r>
      <w:r w:rsidRPr="00417EB4">
        <w:rPr>
          <w:lang w:val="en-US"/>
        </w:rPr>
        <w:t xml:space="preserve">. </w:t>
      </w:r>
    </w:p>
  </w:endnote>
  <w:endnote w:id="239">
    <w:p w:rsidRPr="00BD1F7B" w:rsidR="005C4CC3" w:rsidP="005C4CC3" w:rsidRDefault="005C4CC3" w14:paraId="2219A312" w14:textId="77777777">
      <w:pPr>
        <w:pStyle w:val="EndnoteText"/>
        <w:rPr>
          <w:lang w:val="en-US"/>
        </w:rPr>
      </w:pPr>
      <w:r w:rsidRPr="00417EB4">
        <w:rPr>
          <w:rStyle w:val="EndnoteReference"/>
        </w:rPr>
        <w:endnoteRef/>
      </w:r>
      <w:r w:rsidRPr="00417EB4">
        <w:t xml:space="preserve"> </w:t>
      </w:r>
      <w:r w:rsidRPr="00417EB4">
        <w:rPr>
          <w:lang w:val="en-US"/>
        </w:rPr>
        <w:t>Submission 19</w:t>
      </w:r>
      <w:r w:rsidRPr="00417EB4">
        <w:rPr>
          <w:rFonts w:cs="Open Sans"/>
        </w:rPr>
        <w:t>,</w:t>
      </w:r>
      <w:r>
        <w:rPr>
          <w:rFonts w:cs="Open Sans"/>
          <w:i/>
        </w:rPr>
        <w:t xml:space="preserve"> Intersex Inquiry</w:t>
      </w:r>
      <w:r w:rsidRPr="00417EB4">
        <w:rPr>
          <w:lang w:val="en-US"/>
        </w:rPr>
        <w:t>.</w:t>
      </w:r>
    </w:p>
  </w:endnote>
  <w:endnote w:id="240">
    <w:p w:rsidRPr="00BD1F7B" w:rsidR="005C4CC3" w:rsidP="005C4CC3" w:rsidRDefault="005C4CC3" w14:paraId="4C91A7F4" w14:textId="77777777">
      <w:pPr>
        <w:pStyle w:val="EndnoteText"/>
        <w:rPr>
          <w:lang w:val="en-US"/>
        </w:rPr>
      </w:pPr>
      <w:r w:rsidRPr="00417EB4">
        <w:rPr>
          <w:rStyle w:val="EndnoteReference"/>
        </w:rPr>
        <w:endnoteRef/>
      </w:r>
      <w:r w:rsidRPr="00417EB4">
        <w:t xml:space="preserve"> </w:t>
      </w:r>
      <w:r w:rsidRPr="00417EB4">
        <w:rPr>
          <w:lang w:val="en-US"/>
        </w:rPr>
        <w:t>Submission 19</w:t>
      </w:r>
      <w:r w:rsidRPr="00417EB4">
        <w:rPr>
          <w:rFonts w:cs="Open Sans"/>
        </w:rPr>
        <w:t>,</w:t>
      </w:r>
      <w:r>
        <w:rPr>
          <w:rFonts w:cs="Open Sans"/>
          <w:i/>
        </w:rPr>
        <w:t xml:space="preserve"> Intersex Inquiry</w:t>
      </w:r>
      <w:r w:rsidRPr="00417EB4">
        <w:rPr>
          <w:lang w:val="en-US"/>
        </w:rPr>
        <w:t>.</w:t>
      </w:r>
    </w:p>
  </w:endnote>
  <w:endnote w:id="241">
    <w:p w:rsidRPr="00BD1F7B" w:rsidR="005C4CC3" w:rsidP="005C4CC3" w:rsidRDefault="005C4CC3" w14:paraId="0AE5213F" w14:textId="77777777">
      <w:pPr>
        <w:pStyle w:val="EndnoteText"/>
        <w:rPr>
          <w:lang w:val="en-US"/>
        </w:rPr>
      </w:pPr>
      <w:r w:rsidRPr="00417EB4">
        <w:rPr>
          <w:rStyle w:val="EndnoteReference"/>
        </w:rPr>
        <w:endnoteRef/>
      </w:r>
      <w:r w:rsidRPr="00417EB4">
        <w:t xml:space="preserve"> </w:t>
      </w:r>
      <w:r w:rsidRPr="00417EB4">
        <w:rPr>
          <w:lang w:val="en-US"/>
        </w:rPr>
        <w:t>Submission 55</w:t>
      </w:r>
      <w:r w:rsidRPr="00417EB4">
        <w:rPr>
          <w:rFonts w:cs="Open Sans"/>
        </w:rPr>
        <w:t>,</w:t>
      </w:r>
      <w:r>
        <w:rPr>
          <w:rFonts w:cs="Open Sans"/>
          <w:i/>
        </w:rPr>
        <w:t xml:space="preserve"> Intersex Inquiry</w:t>
      </w:r>
      <w:r w:rsidRPr="00417EB4">
        <w:rPr>
          <w:lang w:val="en-US"/>
        </w:rPr>
        <w:t>, 6.</w:t>
      </w:r>
    </w:p>
  </w:endnote>
  <w:endnote w:id="242">
    <w:p w:rsidRPr="00417EB4" w:rsidR="005C4CC3" w:rsidP="005C4CC3" w:rsidRDefault="005C4CC3" w14:paraId="13392D0E" w14:textId="77777777">
      <w:pPr>
        <w:pStyle w:val="EndnoteText"/>
        <w:rPr>
          <w:lang w:val="en-US"/>
        </w:rPr>
      </w:pPr>
      <w:r w:rsidRPr="00417EB4">
        <w:rPr>
          <w:rStyle w:val="EndnoteReference"/>
        </w:rPr>
        <w:endnoteRef/>
      </w:r>
      <w:r w:rsidRPr="00417EB4">
        <w:t xml:space="preserve"> Cited in </w:t>
      </w:r>
      <w:r w:rsidRPr="00417EB4">
        <w:rPr>
          <w:lang w:val="en-US"/>
        </w:rPr>
        <w:t>Submission 36,</w:t>
      </w:r>
      <w:r>
        <w:rPr>
          <w:rFonts w:cs="Open Sans"/>
          <w:i/>
        </w:rPr>
        <w:t xml:space="preserve"> Intersex Inquiry</w:t>
      </w:r>
      <w:r>
        <w:rPr>
          <w:rFonts w:cs="Open Sans"/>
        </w:rPr>
        <w:t>,</w:t>
      </w:r>
      <w:r w:rsidRPr="00417EB4">
        <w:rPr>
          <w:lang w:val="en-US"/>
        </w:rPr>
        <w:t xml:space="preserve"> </w:t>
      </w:r>
      <w:r>
        <w:rPr>
          <w:lang w:val="en-US"/>
        </w:rPr>
        <w:t>11</w:t>
      </w:r>
      <w:r w:rsidRPr="00417EB4">
        <w:rPr>
          <w:lang w:val="en-US"/>
        </w:rPr>
        <w:t xml:space="preserve">, </w:t>
      </w:r>
      <w:r w:rsidRPr="00417EB4">
        <w:rPr>
          <w:rFonts w:cs="Open Sans"/>
        </w:rPr>
        <w:t>a submission from an advocacy and peer-support group that collated the experiences of a number of individuals born with variations in sex characteristics</w:t>
      </w:r>
      <w:r w:rsidRPr="00417EB4">
        <w:rPr>
          <w:lang w:val="en-US"/>
        </w:rPr>
        <w:t>.</w:t>
      </w:r>
      <w:r>
        <w:rPr>
          <w:lang w:val="en-US"/>
        </w:rPr>
        <w:t xml:space="preserve"> </w:t>
      </w:r>
    </w:p>
  </w:endnote>
  <w:endnote w:id="243">
    <w:p w:rsidRPr="00BD1F7B" w:rsidR="005C4CC3" w:rsidP="005C4CC3" w:rsidRDefault="005C4CC3" w14:paraId="13822A49" w14:textId="77777777">
      <w:pPr>
        <w:pStyle w:val="EndnoteText"/>
        <w:rPr>
          <w:lang w:val="en-US"/>
        </w:rPr>
      </w:pPr>
      <w:r w:rsidRPr="00417EB4">
        <w:rPr>
          <w:rStyle w:val="EndnoteReference"/>
        </w:rPr>
        <w:endnoteRef/>
      </w:r>
      <w:r w:rsidRPr="00417EB4">
        <w:t xml:space="preserve"> </w:t>
      </w:r>
      <w:r w:rsidRPr="00417EB4">
        <w:rPr>
          <w:lang w:val="en-US"/>
        </w:rPr>
        <w:t>Interview 5</w:t>
      </w:r>
      <w:r w:rsidRPr="00417EB4">
        <w:rPr>
          <w:rFonts w:cs="Open Sans"/>
        </w:rPr>
        <w:t>,</w:t>
      </w:r>
      <w:r>
        <w:rPr>
          <w:rFonts w:cs="Open Sans"/>
          <w:i/>
        </w:rPr>
        <w:t xml:space="preserve"> Intersex Inquiry</w:t>
      </w:r>
      <w:r w:rsidRPr="00417EB4">
        <w:rPr>
          <w:lang w:val="en-US"/>
        </w:rPr>
        <w:t xml:space="preserve">. </w:t>
      </w:r>
    </w:p>
  </w:endnote>
  <w:endnote w:id="244">
    <w:p w:rsidRPr="00417EB4" w:rsidR="005C4CC3" w:rsidP="005C4CC3" w:rsidRDefault="005C4CC3" w14:paraId="039CEED7" w14:textId="77777777">
      <w:pPr>
        <w:pStyle w:val="EndnoteText"/>
        <w:rPr>
          <w:rFonts w:cs="Open Sans"/>
        </w:rPr>
      </w:pPr>
      <w:r w:rsidRPr="00417EB4">
        <w:rPr>
          <w:rStyle w:val="EndnoteReference"/>
          <w:rFonts w:cs="Open Sans"/>
        </w:rPr>
        <w:endnoteRef/>
      </w:r>
      <w:r w:rsidRPr="00417EB4">
        <w:rPr>
          <w:rFonts w:cs="Open Sans"/>
        </w:rPr>
        <w:t xml:space="preserve"> Interview 5,</w:t>
      </w:r>
      <w:r>
        <w:rPr>
          <w:rFonts w:cs="Open Sans"/>
          <w:i/>
        </w:rPr>
        <w:t xml:space="preserve"> Intersex Inquiry</w:t>
      </w:r>
      <w:r w:rsidRPr="00417EB4">
        <w:rPr>
          <w:rFonts w:cs="Open Sans"/>
        </w:rPr>
        <w:t>.</w:t>
      </w:r>
    </w:p>
  </w:endnote>
  <w:endnote w:id="245">
    <w:p w:rsidRPr="00417EB4" w:rsidR="005C4CC3" w:rsidP="005C4CC3" w:rsidRDefault="005C4CC3" w14:paraId="36836A0D" w14:textId="77777777">
      <w:pPr>
        <w:pStyle w:val="EndnoteText"/>
        <w:rPr>
          <w:rFonts w:cs="Open Sans"/>
        </w:rPr>
      </w:pPr>
      <w:r w:rsidRPr="00417EB4">
        <w:rPr>
          <w:rStyle w:val="EndnoteReference"/>
          <w:rFonts w:cs="Open Sans"/>
        </w:rPr>
        <w:endnoteRef/>
      </w:r>
      <w:r w:rsidRPr="00417EB4">
        <w:rPr>
          <w:rFonts w:cs="Open Sans"/>
        </w:rPr>
        <w:t xml:space="preserve"> Submission 52,</w:t>
      </w:r>
      <w:r>
        <w:rPr>
          <w:rFonts w:cs="Open Sans"/>
          <w:i/>
        </w:rPr>
        <w:t xml:space="preserve"> Intersex Inquiry</w:t>
      </w:r>
      <w:r w:rsidRPr="00417EB4">
        <w:rPr>
          <w:rFonts w:cs="Open Sans"/>
        </w:rPr>
        <w:t>, 3.</w:t>
      </w:r>
    </w:p>
  </w:endnote>
  <w:endnote w:id="246">
    <w:p w:rsidRPr="00417EB4" w:rsidR="005C4CC3" w:rsidP="005C4CC3" w:rsidRDefault="005C4CC3" w14:paraId="6A88342F" w14:textId="77777777">
      <w:pPr>
        <w:pStyle w:val="EndnoteText"/>
        <w:rPr>
          <w:rFonts w:cs="Open Sans"/>
        </w:rPr>
      </w:pPr>
      <w:r w:rsidRPr="00417EB4">
        <w:rPr>
          <w:rStyle w:val="EndnoteReference"/>
          <w:rFonts w:cs="Open Sans"/>
        </w:rPr>
        <w:endnoteRef/>
      </w:r>
      <w:r w:rsidRPr="00417EB4">
        <w:rPr>
          <w:rFonts w:cs="Open Sans"/>
        </w:rPr>
        <w:t xml:space="preserve"> Submission 52,</w:t>
      </w:r>
      <w:r>
        <w:rPr>
          <w:rFonts w:cs="Open Sans"/>
          <w:i/>
        </w:rPr>
        <w:t xml:space="preserve"> Intersex Inquiry</w:t>
      </w:r>
      <w:r w:rsidRPr="00417EB4">
        <w:rPr>
          <w:rFonts w:cs="Open Sans"/>
        </w:rPr>
        <w:t>, 3.</w:t>
      </w:r>
    </w:p>
  </w:endnote>
  <w:endnote w:id="247">
    <w:p w:rsidRPr="00417EB4" w:rsidR="005C4CC3" w:rsidP="005C4CC3" w:rsidRDefault="005C4CC3" w14:paraId="0646E983" w14:textId="77777777">
      <w:pPr>
        <w:pStyle w:val="EndnoteText"/>
        <w:rPr>
          <w:rFonts w:cs="Open Sans"/>
        </w:rPr>
      </w:pPr>
      <w:r w:rsidRPr="00417EB4">
        <w:rPr>
          <w:rStyle w:val="EndnoteReference"/>
          <w:rFonts w:cs="Open Sans"/>
        </w:rPr>
        <w:endnoteRef/>
      </w:r>
      <w:r w:rsidRPr="00417EB4">
        <w:rPr>
          <w:rFonts w:cs="Open Sans"/>
        </w:rPr>
        <w:t xml:space="preserve"> Royal Australian and New Zealand College of Psychiatrists, Submission 26,</w:t>
      </w:r>
      <w:r>
        <w:rPr>
          <w:rFonts w:cs="Open Sans"/>
          <w:i/>
        </w:rPr>
        <w:t xml:space="preserve"> Intersex Inquiry</w:t>
      </w:r>
      <w:r>
        <w:rPr>
          <w:rFonts w:cs="Open Sans"/>
        </w:rPr>
        <w:t>,</w:t>
      </w:r>
      <w:r w:rsidRPr="00417EB4">
        <w:rPr>
          <w:rFonts w:cs="Open Sans"/>
        </w:rPr>
        <w:t xml:space="preserve"> 2; Submission 36,</w:t>
      </w:r>
      <w:r>
        <w:rPr>
          <w:rFonts w:cs="Open Sans"/>
          <w:i/>
        </w:rPr>
        <w:t xml:space="preserve"> Intersex Inquiry</w:t>
      </w:r>
      <w:r w:rsidRPr="00417EB4">
        <w:rPr>
          <w:rFonts w:cs="Open Sans"/>
        </w:rPr>
        <w:t>; A Gender Agenda, Submission 52,</w:t>
      </w:r>
      <w:r>
        <w:rPr>
          <w:rFonts w:cs="Open Sans"/>
          <w:i/>
        </w:rPr>
        <w:t xml:space="preserve"> Intersex Inquiry</w:t>
      </w:r>
      <w:r w:rsidRPr="00417EB4">
        <w:rPr>
          <w:rFonts w:cs="Open Sans"/>
        </w:rPr>
        <w:t>; Submission 55,</w:t>
      </w:r>
      <w:r>
        <w:rPr>
          <w:rFonts w:cs="Open Sans"/>
          <w:i/>
        </w:rPr>
        <w:t xml:space="preserve"> Intersex Inquiry</w:t>
      </w:r>
      <w:r w:rsidRPr="00417EB4">
        <w:rPr>
          <w:rFonts w:cs="Open Sans"/>
        </w:rPr>
        <w:t>, 4; WA Commissioner for Children and Young People, Submission 43,</w:t>
      </w:r>
      <w:r>
        <w:rPr>
          <w:rFonts w:cs="Open Sans"/>
          <w:i/>
        </w:rPr>
        <w:t xml:space="preserve"> Intersex Inquiry</w:t>
      </w:r>
      <w:r w:rsidRPr="00417EB4">
        <w:rPr>
          <w:rFonts w:cs="Open Sans"/>
        </w:rPr>
        <w:t>, 3; Submission 67,</w:t>
      </w:r>
      <w:r>
        <w:rPr>
          <w:rFonts w:cs="Open Sans"/>
          <w:i/>
        </w:rPr>
        <w:t xml:space="preserve"> Intersex Inquiry</w:t>
      </w:r>
      <w:r w:rsidRPr="00417EB4">
        <w:rPr>
          <w:rFonts w:cs="Open Sans"/>
        </w:rPr>
        <w:t>.</w:t>
      </w:r>
    </w:p>
  </w:endnote>
  <w:endnote w:id="248">
    <w:p w:rsidRPr="00417EB4" w:rsidR="005C4CC3" w:rsidP="005C4CC3" w:rsidRDefault="005C4CC3" w14:paraId="6978F26C" w14:textId="77777777">
      <w:pPr>
        <w:pStyle w:val="EndnoteText"/>
        <w:rPr>
          <w:rFonts w:cs="Open Sans"/>
        </w:rPr>
      </w:pPr>
      <w:r w:rsidRPr="00417EB4">
        <w:rPr>
          <w:rStyle w:val="EndnoteReference"/>
          <w:rFonts w:cs="Open Sans"/>
        </w:rPr>
        <w:endnoteRef/>
      </w:r>
      <w:r w:rsidRPr="00417EB4">
        <w:rPr>
          <w:rFonts w:cs="Open Sans"/>
        </w:rPr>
        <w:t xml:space="preserve"> Submission 70,</w:t>
      </w:r>
      <w:r>
        <w:rPr>
          <w:rFonts w:cs="Open Sans"/>
          <w:i/>
        </w:rPr>
        <w:t xml:space="preserve"> Intersex Inquiry</w:t>
      </w:r>
      <w:r>
        <w:rPr>
          <w:rFonts w:cs="Open Sans"/>
        </w:rPr>
        <w:t>,</w:t>
      </w:r>
      <w:r w:rsidRPr="00417EB4">
        <w:rPr>
          <w:rFonts w:cs="Open Sans"/>
        </w:rPr>
        <w:t xml:space="preserve"> 2.</w:t>
      </w:r>
    </w:p>
  </w:endnote>
  <w:endnote w:id="249">
    <w:p w:rsidRPr="00417EB4" w:rsidR="005C4CC3" w:rsidP="005C4CC3" w:rsidRDefault="005C4CC3" w14:paraId="5FF8FD0A" w14:textId="77777777">
      <w:pPr>
        <w:pStyle w:val="EndnoteText"/>
        <w:rPr>
          <w:rFonts w:cs="Open Sans"/>
        </w:rPr>
      </w:pPr>
      <w:r w:rsidRPr="00417EB4">
        <w:rPr>
          <w:rStyle w:val="EndnoteReference"/>
          <w:rFonts w:cs="Open Sans"/>
        </w:rPr>
        <w:endnoteRef/>
      </w:r>
      <w:r w:rsidRPr="00417EB4">
        <w:rPr>
          <w:rFonts w:cs="Open Sans"/>
        </w:rPr>
        <w:t xml:space="preserve"> Submission 36,</w:t>
      </w:r>
      <w:r>
        <w:rPr>
          <w:rFonts w:cs="Open Sans"/>
          <w:i/>
        </w:rPr>
        <w:t xml:space="preserve"> Intersex Inquiry</w:t>
      </w:r>
      <w:r w:rsidRPr="00417EB4">
        <w:rPr>
          <w:rFonts w:cs="Open Sans"/>
        </w:rPr>
        <w:t xml:space="preserve">, 15. </w:t>
      </w:r>
    </w:p>
  </w:endnote>
  <w:endnote w:id="250">
    <w:p w:rsidRPr="00417EB4" w:rsidR="005C4CC3" w:rsidP="005C4CC3" w:rsidRDefault="005C4CC3" w14:paraId="6E10405F" w14:textId="77777777">
      <w:pPr>
        <w:pStyle w:val="EndnoteText"/>
        <w:rPr>
          <w:rFonts w:cs="Open Sans"/>
        </w:rPr>
      </w:pPr>
      <w:r w:rsidRPr="00417EB4">
        <w:rPr>
          <w:rStyle w:val="EndnoteReference"/>
          <w:rFonts w:cs="Open Sans"/>
        </w:rPr>
        <w:endnoteRef/>
      </w:r>
      <w:r w:rsidRPr="00417EB4">
        <w:rPr>
          <w:rFonts w:cs="Open Sans"/>
        </w:rPr>
        <w:t xml:space="preserve"> NHMRC Funded Program 30, 2. The Darlington Statement also calls for ‘regular public disclosure of accurate summary data on all medical interventions to modify the sex characteristics of children, and disclosure of historical data’ (paragraph 29).</w:t>
      </w:r>
    </w:p>
  </w:endnote>
  <w:endnote w:id="251">
    <w:p w:rsidRPr="00417EB4" w:rsidR="005C4CC3" w:rsidP="005C4CC3" w:rsidRDefault="005C4CC3" w14:paraId="00827141" w14:textId="77777777">
      <w:pPr>
        <w:pStyle w:val="EndnoteText"/>
        <w:rPr>
          <w:lang w:val="en-US"/>
        </w:rPr>
      </w:pPr>
      <w:r w:rsidRPr="00417EB4">
        <w:rPr>
          <w:rStyle w:val="EndnoteReference"/>
        </w:rPr>
        <w:endnoteRef/>
      </w:r>
      <w:r w:rsidRPr="00417EB4">
        <w:t xml:space="preserve"> </w:t>
      </w:r>
      <w:r w:rsidRPr="00417EB4">
        <w:rPr>
          <w:rFonts w:cs="Open Sans"/>
        </w:rPr>
        <w:t>Submission 39,</w:t>
      </w:r>
      <w:r>
        <w:rPr>
          <w:rFonts w:cs="Open Sans"/>
          <w:i/>
        </w:rPr>
        <w:t xml:space="preserve"> Intersex Inquiry</w:t>
      </w:r>
      <w:r w:rsidRPr="00417EB4">
        <w:rPr>
          <w:rFonts w:cs="Open Sans"/>
        </w:rPr>
        <w:t>, 2.</w:t>
      </w:r>
    </w:p>
  </w:endnote>
  <w:endnote w:id="252">
    <w:p w:rsidRPr="00417EB4" w:rsidR="005C4CC3" w:rsidP="005C4CC3" w:rsidRDefault="005C4CC3" w14:paraId="273F7E17" w14:textId="77777777">
      <w:pPr>
        <w:pStyle w:val="EndnoteText"/>
        <w:rPr>
          <w:rFonts w:cs="Open Sans"/>
        </w:rPr>
      </w:pPr>
      <w:r w:rsidRPr="00417EB4">
        <w:rPr>
          <w:rStyle w:val="EndnoteReference"/>
          <w:rFonts w:cs="Open Sans"/>
        </w:rPr>
        <w:endnoteRef/>
      </w:r>
      <w:r w:rsidRPr="00417EB4">
        <w:rPr>
          <w:rFonts w:cs="Open Sans"/>
        </w:rPr>
        <w:t xml:space="preserve"> Submission 39,</w:t>
      </w:r>
      <w:r>
        <w:rPr>
          <w:rFonts w:cs="Open Sans"/>
          <w:i/>
        </w:rPr>
        <w:t xml:space="preserve"> Intersex Inquiry</w:t>
      </w:r>
      <w:r w:rsidRPr="00417EB4">
        <w:rPr>
          <w:rFonts w:cs="Open Sans"/>
        </w:rPr>
        <w:t>, 2.</w:t>
      </w:r>
    </w:p>
  </w:endnote>
  <w:endnote w:id="253">
    <w:p w:rsidRPr="00417EB4" w:rsidR="005C4CC3" w:rsidP="005C4CC3" w:rsidRDefault="005C4CC3" w14:paraId="49D50A07" w14:textId="77777777">
      <w:pPr>
        <w:pStyle w:val="EndnoteText"/>
      </w:pPr>
      <w:r w:rsidRPr="00417EB4">
        <w:rPr>
          <w:rStyle w:val="EndnoteReference"/>
        </w:rPr>
        <w:endnoteRef/>
      </w:r>
      <w:r w:rsidRPr="00417EB4">
        <w:t xml:space="preserve"> </w:t>
      </w:r>
      <w:r w:rsidRPr="00BA776C">
        <w:rPr>
          <w:highlight w:val="cyan"/>
        </w:rPr>
        <w:t xml:space="preserve">Submission 21, </w:t>
      </w:r>
      <w:r w:rsidRPr="004D765D">
        <w:rPr>
          <w:i/>
          <w:highlight w:val="cyan"/>
        </w:rPr>
        <w:t>Intersex Inquiry</w:t>
      </w:r>
      <w:r>
        <w:rPr>
          <w:highlight w:val="cyan"/>
        </w:rPr>
        <w:t>;</w:t>
      </w:r>
      <w:r w:rsidRPr="004D765D">
        <w:rPr>
          <w:highlight w:val="cyan"/>
        </w:rPr>
        <w:t xml:space="preserve"> </w:t>
      </w:r>
      <w:r w:rsidRPr="00BA776C">
        <w:rPr>
          <w:highlight w:val="cyan"/>
        </w:rPr>
        <w:t>Endocrine Society of Australia,</w:t>
      </w:r>
      <w:r w:rsidRPr="00417EB4">
        <w:t xml:space="preserve"> Submission 39</w:t>
      </w:r>
      <w:r w:rsidRPr="00417EB4">
        <w:rPr>
          <w:rFonts w:cs="Open Sans"/>
        </w:rPr>
        <w:t>,</w:t>
      </w:r>
      <w:r>
        <w:rPr>
          <w:rFonts w:cs="Open Sans"/>
          <w:i/>
        </w:rPr>
        <w:t xml:space="preserve"> Intersex Inquiry</w:t>
      </w:r>
      <w:r w:rsidRPr="00417EB4" w:rsidDel="00CE10AC">
        <w:t>,</w:t>
      </w:r>
      <w:r w:rsidRPr="00417EB4">
        <w:t xml:space="preserve"> 2. </w:t>
      </w:r>
    </w:p>
  </w:endnote>
  <w:endnote w:id="254">
    <w:p w:rsidRPr="00417EB4" w:rsidR="005C4CC3" w:rsidP="005C4CC3" w:rsidRDefault="005C4CC3" w14:paraId="0CEE9370" w14:textId="77777777">
      <w:pPr>
        <w:pStyle w:val="EndnoteText"/>
        <w:rPr>
          <w:rFonts w:cs="Open Sans"/>
        </w:rPr>
      </w:pPr>
      <w:r w:rsidRPr="00417EB4">
        <w:rPr>
          <w:rStyle w:val="EndnoteReference"/>
          <w:rFonts w:cs="Open Sans"/>
        </w:rPr>
        <w:endnoteRef/>
      </w:r>
      <w:r w:rsidRPr="00417EB4">
        <w:rPr>
          <w:rFonts w:cs="Open Sans"/>
        </w:rPr>
        <w:t xml:space="preserve"> Submission 39,</w:t>
      </w:r>
      <w:r>
        <w:rPr>
          <w:rFonts w:cs="Open Sans"/>
          <w:i/>
        </w:rPr>
        <w:t xml:space="preserve"> Intersex Inquiry</w:t>
      </w:r>
      <w:r w:rsidRPr="00417EB4" w:rsidDel="00CE10AC">
        <w:rPr>
          <w:rFonts w:cs="Open Sans"/>
        </w:rPr>
        <w:t>,</w:t>
      </w:r>
      <w:r w:rsidRPr="00417EB4">
        <w:rPr>
          <w:rFonts w:cs="Open Sans"/>
        </w:rPr>
        <w:t xml:space="preserve"> 2.</w:t>
      </w:r>
    </w:p>
  </w:endnote>
  <w:endnote w:id="255">
    <w:p w:rsidRPr="00417EB4" w:rsidR="005C4CC3" w:rsidP="005C4CC3" w:rsidRDefault="005C4CC3" w14:paraId="379AE63C" w14:textId="77777777">
      <w:pPr>
        <w:pStyle w:val="EndnoteText"/>
        <w:rPr>
          <w:rFonts w:cs="Open Sans"/>
        </w:rPr>
      </w:pPr>
      <w:r w:rsidRPr="00417EB4">
        <w:rPr>
          <w:rStyle w:val="EndnoteReference"/>
          <w:rFonts w:cs="Open Sans"/>
        </w:rPr>
        <w:endnoteRef/>
      </w:r>
      <w:r w:rsidRPr="00417EB4">
        <w:rPr>
          <w:rFonts w:cs="Open Sans"/>
        </w:rPr>
        <w:t xml:space="preserve"> Submission 25,</w:t>
      </w:r>
      <w:r>
        <w:rPr>
          <w:rFonts w:cs="Open Sans"/>
          <w:i/>
        </w:rPr>
        <w:t xml:space="preserve"> Intersex Inquiry</w:t>
      </w:r>
      <w:r w:rsidRPr="00417EB4" w:rsidDel="00CE10AC">
        <w:rPr>
          <w:rFonts w:cs="Open Sans"/>
        </w:rPr>
        <w:t>,</w:t>
      </w:r>
      <w:r w:rsidRPr="00417EB4">
        <w:rPr>
          <w:rFonts w:cs="Open Sans"/>
        </w:rPr>
        <w:t xml:space="preserve"> 3; Submission 36,</w:t>
      </w:r>
      <w:r>
        <w:rPr>
          <w:rFonts w:cs="Open Sans"/>
          <w:i/>
        </w:rPr>
        <w:t xml:space="preserve"> Intersex Inquiry</w:t>
      </w:r>
      <w:r w:rsidRPr="00417EB4" w:rsidDel="00CE10AC">
        <w:rPr>
          <w:rFonts w:cs="Open Sans"/>
        </w:rPr>
        <w:t>,</w:t>
      </w:r>
      <w:r w:rsidRPr="00417EB4">
        <w:rPr>
          <w:rFonts w:cs="Open Sans"/>
        </w:rPr>
        <w:t xml:space="preserve"> 30.</w:t>
      </w:r>
    </w:p>
  </w:endnote>
  <w:endnote w:id="256">
    <w:p w:rsidRPr="00417EB4" w:rsidR="005C4CC3" w:rsidP="005C4CC3" w:rsidRDefault="005C4CC3" w14:paraId="4C7F6EA0" w14:textId="77777777">
      <w:pPr>
        <w:pStyle w:val="EndnoteText"/>
        <w:rPr>
          <w:rFonts w:cs="Open Sans"/>
        </w:rPr>
      </w:pPr>
      <w:r w:rsidRPr="00417EB4">
        <w:rPr>
          <w:rStyle w:val="EndnoteReference"/>
          <w:rFonts w:cs="Open Sans"/>
        </w:rPr>
        <w:endnoteRef/>
      </w:r>
      <w:r w:rsidRPr="00417EB4">
        <w:rPr>
          <w:rFonts w:cs="Open Sans"/>
        </w:rPr>
        <w:t xml:space="preserve"> Submission 20,</w:t>
      </w:r>
      <w:r>
        <w:rPr>
          <w:rFonts w:cs="Open Sans"/>
          <w:i/>
        </w:rPr>
        <w:t xml:space="preserve"> Intersex Inquiry</w:t>
      </w:r>
      <w:r w:rsidRPr="00417EB4" w:rsidDel="00CE10AC">
        <w:rPr>
          <w:rFonts w:cs="Open Sans"/>
        </w:rPr>
        <w:t>,</w:t>
      </w:r>
      <w:r w:rsidRPr="00417EB4">
        <w:rPr>
          <w:rFonts w:cs="Open Sans"/>
        </w:rPr>
        <w:t xml:space="preserve"> 5.</w:t>
      </w:r>
    </w:p>
  </w:endnote>
  <w:endnote w:id="257">
    <w:p w:rsidRPr="00417EB4" w:rsidR="005C4CC3" w:rsidP="005C4CC3" w:rsidRDefault="005C4CC3" w14:paraId="4FC3E05E" w14:textId="77777777">
      <w:pPr>
        <w:pStyle w:val="EndnoteText"/>
        <w:rPr>
          <w:rFonts w:cs="Open Sans"/>
        </w:rPr>
      </w:pPr>
      <w:r w:rsidRPr="00417EB4">
        <w:rPr>
          <w:rStyle w:val="EndnoteReference"/>
          <w:rFonts w:cs="Open Sans"/>
        </w:rPr>
        <w:endnoteRef/>
      </w:r>
      <w:r w:rsidRPr="00417EB4">
        <w:rPr>
          <w:rFonts w:cs="Open Sans"/>
        </w:rPr>
        <w:t xml:space="preserve"> Submission 23,</w:t>
      </w:r>
      <w:r>
        <w:rPr>
          <w:rFonts w:cs="Open Sans"/>
          <w:i/>
        </w:rPr>
        <w:t xml:space="preserve"> Intersex Inquiry</w:t>
      </w:r>
      <w:r w:rsidRPr="00417EB4" w:rsidDel="00CE10AC">
        <w:rPr>
          <w:rFonts w:cs="Open Sans"/>
        </w:rPr>
        <w:t>,</w:t>
      </w:r>
      <w:r w:rsidRPr="00417EB4">
        <w:rPr>
          <w:rFonts w:cs="Open Sans"/>
        </w:rPr>
        <w:t xml:space="preserve"> 3.</w:t>
      </w:r>
    </w:p>
  </w:endnote>
  <w:endnote w:id="258">
    <w:p w:rsidRPr="005D67D7" w:rsidR="005C4CC3" w:rsidP="005C4CC3" w:rsidRDefault="005C4CC3" w14:paraId="288353BC" w14:textId="77777777">
      <w:pPr>
        <w:pStyle w:val="EndnoteText"/>
        <w:rPr>
          <w:lang w:val="en-US"/>
        </w:rPr>
      </w:pPr>
      <w:r w:rsidRPr="00417EB4">
        <w:rPr>
          <w:rStyle w:val="EndnoteReference"/>
        </w:rPr>
        <w:endnoteRef/>
      </w:r>
      <w:r w:rsidRPr="00417EB4">
        <w:t xml:space="preserve"> </w:t>
      </w:r>
      <w:r w:rsidRPr="00417EB4">
        <w:rPr>
          <w:lang w:val="en-US"/>
        </w:rPr>
        <w:t>Submission 20</w:t>
      </w:r>
      <w:r w:rsidRPr="00417EB4">
        <w:rPr>
          <w:rFonts w:cs="Open Sans"/>
        </w:rPr>
        <w:t>,</w:t>
      </w:r>
      <w:r>
        <w:rPr>
          <w:rFonts w:cs="Open Sans"/>
          <w:i/>
        </w:rPr>
        <w:t xml:space="preserve"> Intersex Inquiry</w:t>
      </w:r>
      <w:r w:rsidDel="00CE10AC">
        <w:rPr>
          <w:rFonts w:cs="Open Sans"/>
        </w:rPr>
        <w:t>,</w:t>
      </w:r>
      <w:r w:rsidRPr="00417EB4">
        <w:rPr>
          <w:lang w:val="en-US"/>
        </w:rPr>
        <w:t xml:space="preserve"> 3.</w:t>
      </w:r>
    </w:p>
  </w:endnote>
  <w:endnote w:id="259">
    <w:p w:rsidRPr="005D67D7" w:rsidR="005C4CC3" w:rsidP="005C4CC3" w:rsidRDefault="005C4CC3" w14:paraId="5130281D" w14:textId="77777777">
      <w:pPr>
        <w:pStyle w:val="EndnoteText"/>
        <w:rPr>
          <w:lang w:val="en-US"/>
        </w:rPr>
      </w:pPr>
      <w:r w:rsidRPr="00417EB4">
        <w:rPr>
          <w:rStyle w:val="EndnoteReference"/>
        </w:rPr>
        <w:endnoteRef/>
      </w:r>
      <w:r w:rsidRPr="00417EB4">
        <w:t xml:space="preserve"> Submission 50</w:t>
      </w:r>
      <w:r w:rsidRPr="00417EB4">
        <w:rPr>
          <w:rFonts w:cs="Open Sans"/>
        </w:rPr>
        <w:t>,</w:t>
      </w:r>
      <w:r>
        <w:rPr>
          <w:rFonts w:cs="Open Sans"/>
          <w:i/>
        </w:rPr>
        <w:t xml:space="preserve"> Intersex Inquiry</w:t>
      </w:r>
      <w:r w:rsidRPr="00417EB4" w:rsidDel="00CE10AC">
        <w:t>,</w:t>
      </w:r>
      <w:r w:rsidRPr="00417EB4">
        <w:t xml:space="preserve"> 2. </w:t>
      </w:r>
    </w:p>
  </w:endnote>
  <w:endnote w:id="260">
    <w:p w:rsidRPr="005D67D7" w:rsidR="005C4CC3" w:rsidP="005C4CC3" w:rsidRDefault="005C4CC3" w14:paraId="3F7FD20D" w14:textId="77777777">
      <w:pPr>
        <w:pStyle w:val="EndnoteText"/>
        <w:rPr>
          <w:lang w:val="en-US"/>
        </w:rPr>
      </w:pPr>
      <w:r w:rsidRPr="00417EB4">
        <w:rPr>
          <w:rStyle w:val="EndnoteReference"/>
        </w:rPr>
        <w:endnoteRef/>
      </w:r>
      <w:r w:rsidRPr="00417EB4">
        <w:t xml:space="preserve"> Submission 50</w:t>
      </w:r>
      <w:r w:rsidRPr="00417EB4">
        <w:rPr>
          <w:rFonts w:cs="Open Sans"/>
        </w:rPr>
        <w:t>,</w:t>
      </w:r>
      <w:r>
        <w:rPr>
          <w:rFonts w:cs="Open Sans"/>
          <w:i/>
        </w:rPr>
        <w:t xml:space="preserve"> Intersex Inquiry</w:t>
      </w:r>
      <w:r w:rsidRPr="00417EB4" w:rsidDel="00CE10AC">
        <w:t>,</w:t>
      </w:r>
      <w:r w:rsidRPr="00417EB4">
        <w:t xml:space="preserve"> 2. </w:t>
      </w:r>
    </w:p>
  </w:endnote>
  <w:endnote w:id="261">
    <w:p w:rsidR="007D0082" w:rsidP="005C4CC3" w:rsidRDefault="005C4CC3" w14:paraId="439C5F84" w14:textId="77777777">
      <w:pPr>
        <w:pStyle w:val="EndnoteText"/>
      </w:pPr>
      <w:r w:rsidRPr="00417EB4">
        <w:rPr>
          <w:rStyle w:val="EndnoteReference"/>
        </w:rPr>
        <w:endnoteRef/>
      </w:r>
      <w:r>
        <w:t xml:space="preserve"> </w:t>
      </w:r>
      <w:r w:rsidRPr="00417EB4">
        <w:t xml:space="preserve">United Nations General Assembly, </w:t>
      </w:r>
      <w:r w:rsidRPr="00417EB4">
        <w:rPr>
          <w:i/>
          <w:iCs/>
        </w:rPr>
        <w:t>Report</w:t>
      </w:r>
      <w:r w:rsidRPr="00417EB4">
        <w:rPr>
          <w:i/>
        </w:rPr>
        <w:t xml:space="preserve"> of the Special Rapporteur on the right of everyone to the enjoyment of the highest attainable standard of physical and mental health</w:t>
      </w:r>
      <w:r w:rsidRPr="00417EB4">
        <w:t>, 64</w:t>
      </w:r>
      <w:r w:rsidRPr="00417EB4">
        <w:rPr>
          <w:vertAlign w:val="superscript"/>
        </w:rPr>
        <w:t>th</w:t>
      </w:r>
      <w:r w:rsidRPr="00417EB4">
        <w:t xml:space="preserve"> sess, UN doc A/64/272 (2009), para 23. &lt;</w:t>
      </w:r>
      <w:hyperlink w:history="1" r:id="rId27">
        <w:r w:rsidRPr="00417EB4">
          <w:t>https://undocs.org/A/64/272</w:t>
        </w:r>
      </w:hyperlink>
      <w:r w:rsidRPr="00417EB4">
        <w:t>&gt;</w:t>
      </w:r>
      <w:r>
        <w:t>.</w:t>
      </w:r>
    </w:p>
    <w:p w:rsidRPr="005D67D7" w:rsidR="005C4CC3" w:rsidP="005C4CC3" w:rsidRDefault="005C4CC3" w14:paraId="25AA1DAF" w14:textId="2CE40B90">
      <w:pPr>
        <w:pStyle w:val="EndnoteText"/>
        <w:rPr>
          <w:lang w:val="en-US"/>
        </w:rPr>
      </w:pPr>
      <w:r w:rsidRPr="00417EB4">
        <w:t xml:space="preserve"> </w:t>
      </w:r>
    </w:p>
  </w:endnote>
  <w:endnote w:id="262">
    <w:p w:rsidRPr="003D6AC1" w:rsidR="004D61D2" w:rsidP="004D61D2" w:rsidRDefault="004D61D2" w14:paraId="49EC6866" w14:textId="77777777">
      <w:pPr>
        <w:pStyle w:val="EndnoteText"/>
        <w:rPr>
          <w:lang w:val="en-US"/>
        </w:rPr>
      </w:pPr>
      <w:r>
        <w:rPr>
          <w:rStyle w:val="EndnoteReference"/>
        </w:rPr>
        <w:endnoteRef/>
      </w:r>
      <w:r>
        <w:t xml:space="preserve"> </w:t>
      </w:r>
      <w:r>
        <w:rPr>
          <w:lang w:val="en-US"/>
        </w:rPr>
        <w:t xml:space="preserve">ICCPR, art 9; Human Rights Committee, </w:t>
      </w:r>
      <w:r w:rsidRPr="004017BD">
        <w:rPr>
          <w:i/>
          <w:iCs/>
          <w:lang w:val="en-US"/>
        </w:rPr>
        <w:t>General Comment No. 35 Article 9 (Liberty and security of person)</w:t>
      </w:r>
      <w:r>
        <w:rPr>
          <w:lang w:val="en-US"/>
        </w:rPr>
        <w:t>, UN Doc CCPR/C/GC/35 (16 December 2014).</w:t>
      </w:r>
    </w:p>
  </w:endnote>
  <w:endnote w:id="263">
    <w:p w:rsidRPr="003D6AC1" w:rsidR="004D61D2" w:rsidP="004D61D2" w:rsidRDefault="004D61D2" w14:paraId="0D6E0067" w14:textId="77777777">
      <w:pPr>
        <w:pStyle w:val="EndnoteText"/>
        <w:rPr>
          <w:lang w:val="en-US"/>
        </w:rPr>
      </w:pPr>
      <w:r>
        <w:rPr>
          <w:rStyle w:val="EndnoteReference"/>
        </w:rPr>
        <w:endnoteRef/>
      </w:r>
      <w:r>
        <w:t xml:space="preserve"> </w:t>
      </w:r>
      <w:r>
        <w:rPr>
          <w:lang w:val="en-US"/>
        </w:rPr>
        <w:t xml:space="preserve">World Health Organization, </w:t>
      </w:r>
      <w:r w:rsidRPr="003D6AC1">
        <w:rPr>
          <w:i/>
          <w:iCs/>
          <w:lang w:val="en-US"/>
        </w:rPr>
        <w:t>A declaration on the promotion of patients’ rights in Europe</w:t>
      </w:r>
      <w:r>
        <w:rPr>
          <w:lang w:val="en-US"/>
        </w:rPr>
        <w:t>,</w:t>
      </w:r>
      <w:r w:rsidRPr="00023F23">
        <w:rPr>
          <w:lang w:val="en-US"/>
        </w:rPr>
        <w:t xml:space="preserve"> ICP/HLE 121 (1994)</w:t>
      </w:r>
      <w:r>
        <w:rPr>
          <w:lang w:val="en-US"/>
        </w:rPr>
        <w:t>, arts 3.1 and 3.2.</w:t>
      </w:r>
    </w:p>
  </w:endnote>
  <w:endnote w:id="264">
    <w:p w:rsidRPr="00A92CB0" w:rsidR="004D61D2" w:rsidP="004D61D2" w:rsidRDefault="004D61D2" w14:paraId="50121FBF" w14:textId="77777777">
      <w:pPr>
        <w:pStyle w:val="EndnoteText"/>
        <w:rPr>
          <w:lang w:val="en-US"/>
        </w:rPr>
      </w:pPr>
      <w:r>
        <w:rPr>
          <w:rStyle w:val="EndnoteReference"/>
        </w:rPr>
        <w:endnoteRef/>
      </w:r>
      <w:r>
        <w:t xml:space="preserve"> </w:t>
      </w:r>
      <w:r w:rsidRPr="00651AB1">
        <w:rPr>
          <w:i/>
        </w:rPr>
        <w:t>Juridical Condition and Human Rights of the Child (Advisory Opinion)</w:t>
      </w:r>
      <w:r>
        <w:t xml:space="preserve"> [2002] Inter-American Court of Human Rights (Ser A) No 17, p 79 at [1].</w:t>
      </w:r>
    </w:p>
  </w:endnote>
  <w:endnote w:id="265">
    <w:p w:rsidRPr="00A92CB0" w:rsidR="004D61D2" w:rsidP="004D61D2" w:rsidRDefault="004D61D2" w14:paraId="6258C24B" w14:textId="77777777">
      <w:pPr>
        <w:pStyle w:val="EndnoteText"/>
        <w:rPr>
          <w:lang w:val="en-US"/>
        </w:rPr>
      </w:pPr>
      <w:r>
        <w:rPr>
          <w:rStyle w:val="EndnoteReference"/>
        </w:rPr>
        <w:endnoteRef/>
      </w:r>
      <w:r>
        <w:t xml:space="preserve"> </w:t>
      </w:r>
      <w:r>
        <w:rPr>
          <w:lang w:val="en-US"/>
        </w:rPr>
        <w:t>CRC, art 3.</w:t>
      </w:r>
    </w:p>
  </w:endnote>
  <w:endnote w:id="266">
    <w:p w:rsidRPr="00A92CB0" w:rsidR="004D61D2" w:rsidP="004D61D2" w:rsidRDefault="004D61D2" w14:paraId="0222A445" w14:textId="77777777">
      <w:pPr>
        <w:pStyle w:val="EndnoteText"/>
        <w:rPr>
          <w:lang w:val="en-US"/>
        </w:rPr>
      </w:pPr>
      <w:r>
        <w:rPr>
          <w:rStyle w:val="EndnoteReference"/>
        </w:rPr>
        <w:endnoteRef/>
      </w:r>
      <w:r>
        <w:t xml:space="preserve"> </w:t>
      </w:r>
      <w:r>
        <w:rPr>
          <w:lang w:val="en-US"/>
        </w:rPr>
        <w:t>CRC, art 12.</w:t>
      </w:r>
    </w:p>
  </w:endnote>
  <w:endnote w:id="267">
    <w:p w:rsidRPr="00A92CB0" w:rsidR="004D61D2" w:rsidP="004D61D2" w:rsidRDefault="004D61D2" w14:paraId="0604A98F" w14:textId="77777777">
      <w:pPr>
        <w:pStyle w:val="EndnoteText"/>
        <w:rPr>
          <w:lang w:val="en-US"/>
        </w:rPr>
      </w:pPr>
      <w:r>
        <w:rPr>
          <w:rStyle w:val="EndnoteReference"/>
        </w:rPr>
        <w:endnoteRef/>
      </w:r>
      <w:r>
        <w:t xml:space="preserve"> </w:t>
      </w:r>
      <w:r w:rsidRPr="00417EB4">
        <w:rPr>
          <w:rFonts w:cs="Open Sans"/>
          <w:i/>
          <w:iCs/>
        </w:rPr>
        <w:t>Secretary, Department of Health and Community Services v JWB and SMB</w:t>
      </w:r>
      <w:r w:rsidRPr="00417EB4">
        <w:rPr>
          <w:rFonts w:cs="Open Sans"/>
        </w:rPr>
        <w:t xml:space="preserve"> (1992) 175 CLR 218, 237 (Mason CJ, Dawson, Toohey &amp; Gaudron JJ), quoting Lord Scarman in </w:t>
      </w:r>
      <w:r w:rsidRPr="00417EB4">
        <w:rPr>
          <w:rFonts w:cs="Open Sans"/>
          <w:i/>
        </w:rPr>
        <w:t>Gillick v West Norfolk and Wisbech Area Health Authority</w:t>
      </w:r>
      <w:r w:rsidRPr="00417EB4">
        <w:rPr>
          <w:rFonts w:cs="Open Sans"/>
        </w:rPr>
        <w:t xml:space="preserve"> [1986] AC 112, 183</w:t>
      </w:r>
      <w:r>
        <w:rPr>
          <w:rFonts w:cs="Open Sans"/>
        </w:rPr>
        <w:t>–</w:t>
      </w:r>
      <w:r w:rsidRPr="00417EB4">
        <w:rPr>
          <w:rFonts w:cs="Open Sans"/>
        </w:rPr>
        <w:t>184</w:t>
      </w:r>
      <w:r>
        <w:rPr>
          <w:rFonts w:cs="Open Sans"/>
        </w:rPr>
        <w:t>.</w:t>
      </w:r>
    </w:p>
  </w:endnote>
  <w:endnote w:id="268">
    <w:p w:rsidRPr="00A92CB0" w:rsidR="004D61D2" w:rsidP="004D61D2" w:rsidRDefault="004D61D2" w14:paraId="7BE99928" w14:textId="77777777">
      <w:pPr>
        <w:pStyle w:val="EndnoteText"/>
        <w:rPr>
          <w:lang w:val="en-US"/>
        </w:rPr>
      </w:pPr>
      <w:r>
        <w:rPr>
          <w:rStyle w:val="EndnoteReference"/>
        </w:rPr>
        <w:endnoteRef/>
      </w:r>
      <w:r>
        <w:t xml:space="preserve"> </w:t>
      </w:r>
      <w:r>
        <w:rPr>
          <w:lang w:val="en-US"/>
        </w:rPr>
        <w:t>CRC, art 24.</w:t>
      </w:r>
    </w:p>
  </w:endnote>
  <w:endnote w:id="269">
    <w:p w:rsidRPr="00A92CB0" w:rsidR="004D61D2" w:rsidP="004D61D2" w:rsidRDefault="004D61D2" w14:paraId="4BA58BEE" w14:textId="77777777">
      <w:pPr>
        <w:pStyle w:val="EndnoteText"/>
        <w:rPr>
          <w:lang w:val="en-US"/>
        </w:rPr>
      </w:pPr>
      <w:r>
        <w:rPr>
          <w:rStyle w:val="EndnoteReference"/>
        </w:rPr>
        <w:endnoteRef/>
      </w:r>
      <w:r>
        <w:t xml:space="preserve"> </w:t>
      </w:r>
      <w:r w:rsidRPr="004654C2">
        <w:rPr>
          <w:rFonts w:cs="Open Sans"/>
        </w:rPr>
        <w:fldChar w:fldCharType="begin"/>
      </w:r>
      <w:r w:rsidRPr="004654C2">
        <w:rPr>
          <w:rFonts w:cs="Open Sans"/>
        </w:rPr>
        <w:instrText xml:space="preserve"> ADDIN ZOTERO_ITEM CSL_CITATION {"citationID":"u0YhGJoe","properties":{"formattedCitation":"United Nations Economic and Social Council, {\\i{}Siracusa Principles on the Limitation and Derogation Provisions in the International Covenant on Civil and Political Rights} UN Doc E/CN.4/1985/4, Annex (1985).; United Nations Human Rights Committee, {\\i{}General Comment No. 31 [80]: The Nature of the General Legal Obligation Imposed on States Parties to the Covenant}, UN Doc CCPR/C/21/Rev.1/Add. 13 (26 May 2004)6.","plainCitation":"United Nations Economic and Social Council, Siracusa Principles on the Limitation and Derogation Provisions in the International Covenant on Civil and Political Rights UN Doc E/CN.4/1985/4, Annex (1985).; United Nations Human Rights Committee, General Comment No. 31 [80]: The Nature of the General Legal Obligation Imposed on States Parties to the Covenant, UN Doc CCPR/C/21/Rev.1/Add. 13 (26 May 2004)6.","noteIndex":37},"citationItems":[{"id":274,"uris":["http://zotero.org/groups/1703699/items/LD4WSYPR"],"uri":["http://zotero.org/groups/1703699/items/LD4WSYPR"],"itemData":{"id":274,"type":"bill","title":"United Nations Economic and Social Council, &lt;i&gt;Siracusa Principles on the Limitation and Derogation Provisions in the International Covenant on Civil and Political Rights&lt;/i&gt; UN Doc E/CN.4/1985/4, Annex (1985)."},"label":"page"},{"id":1590,"uris":["http://zotero.org/groups/1703699/items/83BPNU7Q"],"uri":["http://zotero.org/groups/1703699/items/83BPNU7Q"],"itemData":{"id":1590,"type":"bill","title":"United Nations Human Rights Committee, &lt;i&gt;General Comment No. 31 [80]: The Nature of the General Legal Obligation Imposed on States Parties to the Covenant&lt;/i&gt;, UN Doc CCPR/C/21/Rev.1/Add. 13 (26 May 2004)"},"label":"page","suffix":"6"}],"schema":"https://github.com/citation-style-language/schema/raw/master/csl-citation.json"} </w:instrText>
      </w:r>
      <w:r w:rsidRPr="004654C2">
        <w:rPr>
          <w:rFonts w:cs="Open Sans"/>
        </w:rPr>
        <w:fldChar w:fldCharType="separate"/>
      </w:r>
      <w:r w:rsidRPr="004654C2">
        <w:rPr>
          <w:rFonts w:cs="Open Sans"/>
        </w:rPr>
        <w:t xml:space="preserve">United Nations Economic and Social Council, </w:t>
      </w:r>
      <w:r w:rsidRPr="004654C2">
        <w:rPr>
          <w:rFonts w:cs="Open Sans"/>
          <w:i/>
          <w:iCs/>
        </w:rPr>
        <w:t>Siracusa Principles on the Limitation and Derogation Provisions in the International Covenant on Civil and Political Rights</w:t>
      </w:r>
      <w:r w:rsidRPr="004654C2">
        <w:rPr>
          <w:rFonts w:cs="Open Sans"/>
        </w:rPr>
        <w:t xml:space="preserve"> UN Doc E/CN.4/1985/4, Annex (1985) (ICCPR); United Nations Human Rights Committee, </w:t>
      </w:r>
      <w:r w:rsidRPr="004654C2">
        <w:rPr>
          <w:rFonts w:cs="Open Sans"/>
          <w:i/>
          <w:iCs/>
        </w:rPr>
        <w:t>General Comment No. 31 [80]: The Nature of the General Legal Obligation Imposed on States Parties to the Covenant</w:t>
      </w:r>
      <w:r w:rsidRPr="004654C2">
        <w:rPr>
          <w:rFonts w:cs="Open Sans"/>
        </w:rPr>
        <w:t>, UN Doc CCPR/C/21/Rev.1/Add. 13 (26 May 2004) 6.</w:t>
      </w:r>
      <w:r w:rsidRPr="004654C2">
        <w:rPr>
          <w:rFonts w:cs="Open Sans"/>
        </w:rPr>
        <w:fldChar w:fldCharType="end"/>
      </w:r>
    </w:p>
  </w:endnote>
  <w:endnote w:id="270">
    <w:p w:rsidRPr="00425531" w:rsidR="004D61D2" w:rsidP="004D61D2" w:rsidRDefault="004D61D2" w14:paraId="28F6167C" w14:textId="77777777">
      <w:pPr>
        <w:pStyle w:val="EndnoteText"/>
        <w:rPr>
          <w:lang w:val="en-US"/>
        </w:rPr>
      </w:pPr>
      <w:r>
        <w:rPr>
          <w:rStyle w:val="EndnoteReference"/>
        </w:rPr>
        <w:endnoteRef/>
      </w:r>
      <w:r>
        <w:t xml:space="preserve"> </w:t>
      </w:r>
      <w:r>
        <w:rPr>
          <w:lang w:val="en-US"/>
        </w:rPr>
        <w:t xml:space="preserve">World Health Organization, </w:t>
      </w:r>
      <w:r w:rsidRPr="008F6959">
        <w:rPr>
          <w:i/>
          <w:iCs/>
          <w:lang w:val="en-US"/>
        </w:rPr>
        <w:t>A declaration on the promotion of patients’ rights in Europe</w:t>
      </w:r>
      <w:r>
        <w:rPr>
          <w:lang w:val="en-US"/>
        </w:rPr>
        <w:t>,</w:t>
      </w:r>
      <w:r w:rsidRPr="00023F23">
        <w:rPr>
          <w:lang w:val="en-US"/>
        </w:rPr>
        <w:t xml:space="preserve"> ICP/HLE 121 (1994)</w:t>
      </w:r>
      <w:r>
        <w:rPr>
          <w:lang w:val="en-US"/>
        </w:rPr>
        <w:t>, art 3.3.</w:t>
      </w:r>
    </w:p>
  </w:endnote>
  <w:endnote w:id="271">
    <w:p w:rsidRPr="00C24094" w:rsidR="004D61D2" w:rsidP="004D61D2" w:rsidRDefault="004D61D2" w14:paraId="03C9518B" w14:textId="77777777">
      <w:pPr>
        <w:pStyle w:val="EndnoteText"/>
        <w:rPr>
          <w:lang w:val="en-US"/>
        </w:rPr>
      </w:pPr>
      <w:r>
        <w:rPr>
          <w:rStyle w:val="EndnoteReference"/>
        </w:rPr>
        <w:endnoteRef/>
      </w:r>
      <w:r>
        <w:t xml:space="preserve"> ARC International and International Service for Human Rights, </w:t>
      </w:r>
      <w:r w:rsidRPr="676F1596">
        <w:rPr>
          <w:i/>
          <w:iCs/>
        </w:rPr>
        <w:t>Yogyakarta Principles plus 10 – Additional principles and state obligations on the application of international human rights law in relation to sexual orientation, gender identity, gender expression and sex characteristics to complement the Yogyakarta Principles</w:t>
      </w:r>
      <w:r>
        <w:t xml:space="preserve"> (November 2017), art 32.</w:t>
      </w:r>
    </w:p>
  </w:endnote>
  <w:endnote w:id="272">
    <w:p w:rsidRPr="00425531" w:rsidR="004D61D2" w:rsidP="004D61D2" w:rsidRDefault="004D61D2" w14:paraId="5D49E157" w14:textId="77777777">
      <w:pPr>
        <w:pStyle w:val="EndnoteText"/>
        <w:rPr>
          <w:lang w:val="en-US"/>
        </w:rPr>
      </w:pPr>
      <w:r>
        <w:rPr>
          <w:rStyle w:val="EndnoteReference"/>
        </w:rPr>
        <w:endnoteRef/>
      </w:r>
      <w:r>
        <w:t xml:space="preserve"> Anand Grover, Special Rapporteur on the right of everyone to the enjoyment of the highest attainable standard of physical and mental health (2008–2014), UN Doc A/64/272 (10 August 2009), paragraph 49.</w:t>
      </w:r>
    </w:p>
  </w:endnote>
  <w:endnote w:id="273">
    <w:p w:rsidRPr="008F6959" w:rsidR="004D61D2" w:rsidP="004D61D2" w:rsidRDefault="004D61D2" w14:paraId="7656A802" w14:textId="77777777">
      <w:pPr>
        <w:pStyle w:val="EndnoteText"/>
        <w:rPr>
          <w:lang w:val="en-US"/>
        </w:rPr>
      </w:pPr>
      <w:r>
        <w:rPr>
          <w:rStyle w:val="EndnoteReference"/>
        </w:rPr>
        <w:endnoteRef/>
      </w:r>
      <w:r>
        <w:t xml:space="preserve"> Anand Grover, Special Rapporteur on the right of everyone to the enjoyment of the highest attainable standard of physical and mental health (2008-2014), UN Doc A/64/272 (10 August 2009), footnote 67.</w:t>
      </w:r>
    </w:p>
  </w:endnote>
  <w:endnote w:id="274">
    <w:p w:rsidRPr="00131770" w:rsidR="004D61D2" w:rsidP="004D61D2" w:rsidRDefault="004D61D2" w14:paraId="75785A05" w14:textId="77777777">
      <w:pPr>
        <w:pStyle w:val="EndnoteText"/>
        <w:rPr>
          <w:lang w:val="en-US"/>
        </w:rPr>
      </w:pPr>
      <w:r>
        <w:rPr>
          <w:rStyle w:val="EndnoteReference"/>
        </w:rPr>
        <w:endnoteRef/>
      </w:r>
      <w:r>
        <w:t xml:space="preserve"> </w:t>
      </w:r>
      <w:r w:rsidRPr="00BD1317">
        <w:t>Western Australian Multidisciplinary DSD Team</w:t>
      </w:r>
      <w:r>
        <w:t xml:space="preserve">, Submission 23, </w:t>
      </w:r>
      <w:bookmarkStart w:name="_Hlk80019265" w:id="289"/>
      <w:r>
        <w:rPr>
          <w:i/>
          <w:iCs/>
        </w:rPr>
        <w:t>Intersex Inquiry,</w:t>
      </w:r>
      <w:r>
        <w:t xml:space="preserve"> </w:t>
      </w:r>
      <w:bookmarkEnd w:id="289"/>
      <w:r>
        <w:t>4; Australasian Paediatric Endocrine Group, Submission 20,</w:t>
      </w:r>
      <w:r w:rsidRPr="007733E0">
        <w:rPr>
          <w:i/>
          <w:iCs/>
        </w:rPr>
        <w:t xml:space="preserve"> </w:t>
      </w:r>
      <w:bookmarkStart w:name="_Hlk80020041" w:id="290"/>
      <w:r>
        <w:rPr>
          <w:i/>
          <w:iCs/>
        </w:rPr>
        <w:t>Intersex Inquiry,</w:t>
      </w:r>
      <w:r>
        <w:t xml:space="preserve"> </w:t>
      </w:r>
      <w:bookmarkEnd w:id="290"/>
      <w:r>
        <w:t>7.</w:t>
      </w:r>
    </w:p>
  </w:endnote>
  <w:endnote w:id="275">
    <w:p w:rsidR="004D61D2" w:rsidP="004D61D2" w:rsidRDefault="004D61D2" w14:paraId="2522776A" w14:textId="77777777">
      <w:pPr>
        <w:pStyle w:val="EndnoteText"/>
        <w:rPr>
          <w:lang w:val="en-US"/>
        </w:rPr>
      </w:pPr>
      <w:r w:rsidRPr="2816C17C">
        <w:rPr>
          <w:rStyle w:val="EndnoteReference"/>
        </w:rPr>
        <w:endnoteRef/>
      </w:r>
      <w:r>
        <w:t xml:space="preserve"> This was in response to Question 13 of the consultation paper which asked </w:t>
      </w:r>
      <w:r w:rsidRPr="2816C17C">
        <w:rPr>
          <w:i/>
          <w:iCs/>
        </w:rPr>
        <w:t>What are the permissible rationales/considerations that should be taken into account when determining whether or not to undertake a medical intervention on behalf of those who lack the capacity to consent?</w:t>
      </w:r>
    </w:p>
  </w:endnote>
  <w:endnote w:id="276">
    <w:p w:rsidRPr="001E5732" w:rsidR="004D61D2" w:rsidP="004D61D2" w:rsidRDefault="004D61D2" w14:paraId="364BF241" w14:textId="77777777">
      <w:pPr>
        <w:pStyle w:val="EndnoteText"/>
        <w:rPr>
          <w:lang w:val="en-US"/>
        </w:rPr>
      </w:pPr>
      <w:r>
        <w:rPr>
          <w:rStyle w:val="EndnoteReference"/>
        </w:rPr>
        <w:endnoteRef/>
      </w:r>
      <w:r>
        <w:t xml:space="preserve"> Intersex Human Rights Australia, </w:t>
      </w:r>
      <w:r>
        <w:rPr>
          <w:lang w:val="en-US"/>
        </w:rPr>
        <w:t>Submission 40,</w:t>
      </w:r>
      <w:r w:rsidRPr="003A4781">
        <w:rPr>
          <w:i/>
          <w:iCs/>
        </w:rPr>
        <w:t xml:space="preserve"> </w:t>
      </w:r>
      <w:r>
        <w:rPr>
          <w:i/>
          <w:iCs/>
        </w:rPr>
        <w:t>Intersex Inquiry,</w:t>
      </w:r>
      <w:r>
        <w:t xml:space="preserve"> </w:t>
      </w:r>
      <w:r>
        <w:rPr>
          <w:lang w:val="en-US"/>
        </w:rPr>
        <w:t>61; A Gender Agenda, Submission 52,</w:t>
      </w:r>
      <w:r w:rsidRPr="003A4781">
        <w:rPr>
          <w:i/>
          <w:iCs/>
        </w:rPr>
        <w:t xml:space="preserve"> </w:t>
      </w:r>
      <w:r>
        <w:rPr>
          <w:i/>
          <w:iCs/>
        </w:rPr>
        <w:t>Intersex Inquiry,</w:t>
      </w:r>
      <w:r>
        <w:t xml:space="preserve"> </w:t>
      </w:r>
      <w:r>
        <w:rPr>
          <w:lang w:val="en-US"/>
        </w:rPr>
        <w:t xml:space="preserve">6. </w:t>
      </w:r>
    </w:p>
  </w:endnote>
  <w:endnote w:id="277">
    <w:p w:rsidR="004D61D2" w:rsidP="004D61D2" w:rsidRDefault="004D61D2" w14:paraId="1A996BCD" w14:textId="77777777">
      <w:pPr>
        <w:pStyle w:val="EndnoteText"/>
        <w:rPr>
          <w:rFonts w:ascii="Arial" w:hAnsi="Arial" w:cs="Arial"/>
        </w:rPr>
      </w:pPr>
      <w:r>
        <w:rPr>
          <w:rStyle w:val="EndnoteReference"/>
        </w:rPr>
        <w:endnoteRef/>
      </w:r>
      <w:r>
        <w:t xml:space="preserve"> Submission 54,</w:t>
      </w:r>
      <w:r w:rsidRPr="003A4781">
        <w:rPr>
          <w:i/>
          <w:iCs/>
        </w:rPr>
        <w:t xml:space="preserve"> </w:t>
      </w:r>
      <w:r>
        <w:rPr>
          <w:i/>
          <w:iCs/>
        </w:rPr>
        <w:t>Intersex Inquiry,</w:t>
      </w:r>
      <w:r>
        <w:t xml:space="preserve"> 1; </w:t>
      </w:r>
      <w:r w:rsidRPr="00442919">
        <w:t>A Gender Agenda, Submission 52,</w:t>
      </w:r>
      <w:r w:rsidRPr="003A4781">
        <w:rPr>
          <w:i/>
          <w:iCs/>
        </w:rPr>
        <w:t xml:space="preserve"> </w:t>
      </w:r>
      <w:r>
        <w:rPr>
          <w:i/>
          <w:iCs/>
        </w:rPr>
        <w:t>Intersex Inquiry,</w:t>
      </w:r>
      <w:r>
        <w:t xml:space="preserve"> </w:t>
      </w:r>
      <w:r w:rsidRPr="00442919">
        <w:t>7; Endocrine Society of Australia, Submission</w:t>
      </w:r>
      <w:r w:rsidRPr="00442919" w:rsidDel="00DA2507">
        <w:t xml:space="preserve"> </w:t>
      </w:r>
      <w:r w:rsidRPr="00442919">
        <w:t>39,</w:t>
      </w:r>
      <w:r w:rsidRPr="003A4781">
        <w:rPr>
          <w:i/>
          <w:iCs/>
        </w:rPr>
        <w:t xml:space="preserve"> </w:t>
      </w:r>
      <w:r>
        <w:rPr>
          <w:i/>
          <w:iCs/>
        </w:rPr>
        <w:t>Intersex Inquiry,</w:t>
      </w:r>
      <w:r>
        <w:t xml:space="preserve"> </w:t>
      </w:r>
      <w:r w:rsidRPr="00442919">
        <w:t xml:space="preserve">2. </w:t>
      </w:r>
    </w:p>
  </w:endnote>
  <w:endnote w:id="278">
    <w:p w:rsidRPr="00C93871" w:rsidR="004D61D2" w:rsidP="004D61D2" w:rsidRDefault="004D61D2" w14:paraId="0AC95631" w14:textId="77777777">
      <w:pPr>
        <w:pStyle w:val="EndnoteText"/>
        <w:rPr>
          <w:lang w:val="en-US"/>
        </w:rPr>
      </w:pPr>
      <w:r>
        <w:rPr>
          <w:rStyle w:val="EndnoteReference"/>
        </w:rPr>
        <w:endnoteRef/>
      </w:r>
      <w:r>
        <w:t xml:space="preserve"> National Institutes of Health, ‘</w:t>
      </w:r>
      <w:r w:rsidRPr="00327387">
        <w:t>What are the symptoms of congenital adrenal hyperplasia (CAH)?</w:t>
      </w:r>
      <w:r>
        <w:t>’ &lt;</w:t>
      </w:r>
      <w:hyperlink w:history="1" r:id="rId28">
        <w:r w:rsidRPr="000815F2">
          <w:rPr>
            <w:rStyle w:val="Hyperlink"/>
          </w:rPr>
          <w:t>https://www.nichd.nih.gov/health/topics/cah/conditioninfo/symptoms</w:t>
        </w:r>
      </w:hyperlink>
      <w:r>
        <w:t>&gt;.</w:t>
      </w:r>
    </w:p>
  </w:endnote>
  <w:endnote w:id="279">
    <w:p w:rsidR="004D61D2" w:rsidP="004D61D2" w:rsidRDefault="004D61D2" w14:paraId="68FC4A8C" w14:textId="77777777">
      <w:pPr>
        <w:pStyle w:val="EndnoteText"/>
      </w:pPr>
      <w:r>
        <w:rPr>
          <w:rStyle w:val="EndnoteReference"/>
        </w:rPr>
        <w:endnoteRef/>
      </w:r>
      <w:r>
        <w:t xml:space="preserve"> Endocrine Society of Australia, Submission 39,</w:t>
      </w:r>
      <w:r w:rsidRPr="003A4781">
        <w:rPr>
          <w:i/>
          <w:iCs/>
        </w:rPr>
        <w:t xml:space="preserve"> </w:t>
      </w:r>
      <w:r>
        <w:rPr>
          <w:i/>
          <w:iCs/>
        </w:rPr>
        <w:t>Intersex Inquiry,</w:t>
      </w:r>
      <w:r>
        <w:t xml:space="preserve"> 2; Australasian Paediatric Endocrine Group, Submission 20, </w:t>
      </w:r>
      <w:r>
        <w:rPr>
          <w:i/>
          <w:iCs/>
        </w:rPr>
        <w:t>Intersex Inquiry,</w:t>
      </w:r>
      <w:r>
        <w:t xml:space="preserve"> 1. </w:t>
      </w:r>
    </w:p>
  </w:endnote>
  <w:endnote w:id="280">
    <w:p w:rsidRPr="00B0029F" w:rsidR="004D61D2" w:rsidP="004D61D2" w:rsidRDefault="004D61D2" w14:paraId="31C4D844" w14:textId="77777777">
      <w:pPr>
        <w:pStyle w:val="EndnoteText"/>
        <w:rPr>
          <w:lang w:val="en-US"/>
        </w:rPr>
      </w:pPr>
      <w:r>
        <w:rPr>
          <w:rStyle w:val="EndnoteReference"/>
        </w:rPr>
        <w:endnoteRef/>
      </w:r>
      <w:r>
        <w:t xml:space="preserve"> </w:t>
      </w:r>
      <w:r>
        <w:rPr>
          <w:lang w:val="en-US"/>
        </w:rPr>
        <w:t xml:space="preserve">Melbourne medical roundtable, Brisbane medical roundtable. </w:t>
      </w:r>
    </w:p>
  </w:endnote>
  <w:endnote w:id="281">
    <w:p w:rsidRPr="00C76017" w:rsidR="004D61D2" w:rsidP="004D61D2" w:rsidRDefault="004D61D2" w14:paraId="67A988C2" w14:textId="77777777">
      <w:pPr>
        <w:pStyle w:val="EndnoteText"/>
        <w:rPr>
          <w:lang w:val="en-US"/>
        </w:rPr>
      </w:pPr>
      <w:r>
        <w:rPr>
          <w:rStyle w:val="EndnoteReference"/>
        </w:rPr>
        <w:endnoteRef/>
      </w:r>
      <w:r>
        <w:t xml:space="preserve"> Endocrine Society of Australia, Submission 39,</w:t>
      </w:r>
      <w:r w:rsidRPr="00D62562">
        <w:rPr>
          <w:i/>
          <w:iCs/>
        </w:rPr>
        <w:t xml:space="preserve"> </w:t>
      </w:r>
      <w:r>
        <w:rPr>
          <w:i/>
          <w:iCs/>
        </w:rPr>
        <w:t>Intersex Inquiry,</w:t>
      </w:r>
      <w:r>
        <w:t xml:space="preserve"> 2.</w:t>
      </w:r>
    </w:p>
  </w:endnote>
  <w:endnote w:id="282">
    <w:p w:rsidRPr="00C76017" w:rsidR="004D61D2" w:rsidP="004D61D2" w:rsidRDefault="004D61D2" w14:paraId="6DF0756E" w14:textId="77777777">
      <w:pPr>
        <w:pStyle w:val="EndnoteText"/>
        <w:rPr>
          <w:lang w:val="en-US"/>
        </w:rPr>
      </w:pPr>
      <w:r>
        <w:rPr>
          <w:rStyle w:val="EndnoteReference"/>
        </w:rPr>
        <w:endnoteRef/>
      </w:r>
      <w:r>
        <w:t xml:space="preserve"> </w:t>
      </w:r>
      <w:r>
        <w:rPr>
          <w:lang w:val="en-US"/>
        </w:rPr>
        <w:t>Submission 54,</w:t>
      </w:r>
      <w:r w:rsidRPr="00D62562">
        <w:rPr>
          <w:i/>
          <w:iCs/>
        </w:rPr>
        <w:t xml:space="preserve"> </w:t>
      </w:r>
      <w:r>
        <w:rPr>
          <w:i/>
          <w:iCs/>
        </w:rPr>
        <w:t>Intersex Inquiry,</w:t>
      </w:r>
      <w:r>
        <w:t xml:space="preserve"> </w:t>
      </w:r>
      <w:r>
        <w:rPr>
          <w:lang w:val="en-US"/>
        </w:rPr>
        <w:t xml:space="preserve">9. </w:t>
      </w:r>
    </w:p>
  </w:endnote>
  <w:endnote w:id="283">
    <w:p w:rsidRPr="00C76017" w:rsidR="004D61D2" w:rsidP="004D61D2" w:rsidRDefault="004D61D2" w14:paraId="3CD5FFF0" w14:textId="77777777">
      <w:pPr>
        <w:pStyle w:val="EndnoteText"/>
        <w:rPr>
          <w:lang w:val="en-US"/>
        </w:rPr>
      </w:pPr>
      <w:r>
        <w:rPr>
          <w:rStyle w:val="EndnoteReference"/>
        </w:rPr>
        <w:endnoteRef/>
      </w:r>
      <w:r>
        <w:t xml:space="preserve"> </w:t>
      </w:r>
      <w:r>
        <w:rPr>
          <w:lang w:val="en-US"/>
        </w:rPr>
        <w:t>Submission 36,</w:t>
      </w:r>
      <w:r w:rsidRPr="00D62562">
        <w:rPr>
          <w:i/>
          <w:iCs/>
        </w:rPr>
        <w:t xml:space="preserve"> </w:t>
      </w:r>
      <w:r>
        <w:rPr>
          <w:i/>
          <w:iCs/>
        </w:rPr>
        <w:t>Intersex Inquiry,</w:t>
      </w:r>
      <w:r>
        <w:t xml:space="preserve"> </w:t>
      </w:r>
      <w:r>
        <w:rPr>
          <w:lang w:val="en-US"/>
        </w:rPr>
        <w:t>13.</w:t>
      </w:r>
    </w:p>
  </w:endnote>
  <w:endnote w:id="284">
    <w:p w:rsidRPr="00C76017" w:rsidR="004D61D2" w:rsidP="004D61D2" w:rsidRDefault="004D61D2" w14:paraId="78C86124" w14:textId="77777777">
      <w:pPr>
        <w:pStyle w:val="EndnoteText"/>
        <w:rPr>
          <w:lang w:val="en-US"/>
        </w:rPr>
      </w:pPr>
      <w:r>
        <w:rPr>
          <w:rStyle w:val="EndnoteReference"/>
        </w:rPr>
        <w:endnoteRef/>
      </w:r>
      <w:r>
        <w:t xml:space="preserve"> Australasian Paediatric Endocrine Group, Submission 20,</w:t>
      </w:r>
      <w:r w:rsidRPr="00D62562">
        <w:rPr>
          <w:i/>
          <w:iCs/>
        </w:rPr>
        <w:t xml:space="preserve"> </w:t>
      </w:r>
      <w:r>
        <w:rPr>
          <w:i/>
          <w:iCs/>
        </w:rPr>
        <w:t>Intersex Inquiry,</w:t>
      </w:r>
      <w:r>
        <w:t xml:space="preserve"> 7.</w:t>
      </w:r>
    </w:p>
  </w:endnote>
  <w:endnote w:id="285">
    <w:p w:rsidRPr="00C76017" w:rsidR="004D61D2" w:rsidP="004D61D2" w:rsidRDefault="004D61D2" w14:paraId="3A43A2CE" w14:textId="77777777">
      <w:pPr>
        <w:pStyle w:val="EndnoteText"/>
        <w:rPr>
          <w:lang w:val="en-US"/>
        </w:rPr>
      </w:pPr>
      <w:r>
        <w:rPr>
          <w:rStyle w:val="EndnoteReference"/>
        </w:rPr>
        <w:endnoteRef/>
      </w:r>
      <w:r>
        <w:t xml:space="preserve"> </w:t>
      </w:r>
      <w:r>
        <w:rPr>
          <w:lang w:val="en-US"/>
        </w:rPr>
        <w:t>Submission 45,</w:t>
      </w:r>
      <w:r w:rsidRPr="00D62562">
        <w:rPr>
          <w:i/>
          <w:iCs/>
        </w:rPr>
        <w:t xml:space="preserve"> </w:t>
      </w:r>
      <w:r>
        <w:rPr>
          <w:i/>
          <w:iCs/>
        </w:rPr>
        <w:t>Intersex Inquiry,</w:t>
      </w:r>
      <w:r>
        <w:t xml:space="preserve"> </w:t>
      </w:r>
      <w:r>
        <w:rPr>
          <w:lang w:val="en-US"/>
        </w:rPr>
        <w:t>7; Submission 70,</w:t>
      </w:r>
      <w:r w:rsidRPr="00D62562">
        <w:rPr>
          <w:i/>
          <w:iCs/>
        </w:rPr>
        <w:t xml:space="preserve"> </w:t>
      </w:r>
      <w:r>
        <w:rPr>
          <w:i/>
          <w:iCs/>
        </w:rPr>
        <w:t>Intersex Inquiry,</w:t>
      </w:r>
      <w:r>
        <w:t xml:space="preserve"> </w:t>
      </w:r>
      <w:r>
        <w:rPr>
          <w:lang w:val="en-US"/>
        </w:rPr>
        <w:t>2; Submission 68,</w:t>
      </w:r>
      <w:r w:rsidRPr="00D62562">
        <w:rPr>
          <w:i/>
          <w:iCs/>
        </w:rPr>
        <w:t xml:space="preserve"> </w:t>
      </w:r>
      <w:r>
        <w:rPr>
          <w:i/>
          <w:iCs/>
        </w:rPr>
        <w:t>Intersex Inquiry,</w:t>
      </w:r>
      <w:r>
        <w:t xml:space="preserve"> </w:t>
      </w:r>
      <w:r>
        <w:rPr>
          <w:lang w:val="en-US"/>
        </w:rPr>
        <w:t>5. For example, o</w:t>
      </w:r>
      <w:r w:rsidRPr="00265D73">
        <w:rPr>
          <w:lang w:val="en-US"/>
        </w:rPr>
        <w:t xml:space="preserve">ne clinical </w:t>
      </w:r>
      <w:r>
        <w:rPr>
          <w:lang w:val="en-US"/>
        </w:rPr>
        <w:t>organisation</w:t>
      </w:r>
      <w:r w:rsidRPr="00265D73">
        <w:rPr>
          <w:lang w:val="en-US"/>
        </w:rPr>
        <w:t xml:space="preserve"> noted that in some cases urological surgery may be needed to prevent recurrent urinary tract infections</w:t>
      </w:r>
      <w:r>
        <w:rPr>
          <w:lang w:val="en-US"/>
        </w:rPr>
        <w:t xml:space="preserve">. </w:t>
      </w:r>
    </w:p>
  </w:endnote>
  <w:endnote w:id="286">
    <w:p w:rsidRPr="00C76017" w:rsidR="004D61D2" w:rsidP="004D61D2" w:rsidRDefault="004D61D2" w14:paraId="4FC99512" w14:textId="77777777">
      <w:pPr>
        <w:pStyle w:val="EndnoteText"/>
        <w:rPr>
          <w:lang w:val="en-US"/>
        </w:rPr>
      </w:pPr>
      <w:r>
        <w:rPr>
          <w:rStyle w:val="EndnoteReference"/>
        </w:rPr>
        <w:endnoteRef/>
      </w:r>
      <w:r>
        <w:t xml:space="preserve"> </w:t>
      </w:r>
      <w:r>
        <w:rPr>
          <w:lang w:val="en-US"/>
        </w:rPr>
        <w:t>Submission 55,</w:t>
      </w:r>
      <w:r w:rsidRPr="00D62562">
        <w:rPr>
          <w:i/>
          <w:iCs/>
        </w:rPr>
        <w:t xml:space="preserve"> </w:t>
      </w:r>
      <w:r>
        <w:rPr>
          <w:i/>
          <w:iCs/>
        </w:rPr>
        <w:t>Intersex Inquiry,</w:t>
      </w:r>
      <w:r>
        <w:t xml:space="preserve"> </w:t>
      </w:r>
      <w:r>
        <w:rPr>
          <w:lang w:val="en-US"/>
        </w:rPr>
        <w:t xml:space="preserve">4. </w:t>
      </w:r>
    </w:p>
  </w:endnote>
  <w:endnote w:id="287">
    <w:p w:rsidR="004D61D2" w:rsidP="004D61D2" w:rsidRDefault="004D61D2" w14:paraId="0368C463" w14:textId="77777777">
      <w:pPr>
        <w:pStyle w:val="EndnoteText"/>
      </w:pPr>
      <w:r>
        <w:rPr>
          <w:rStyle w:val="EndnoteReference"/>
        </w:rPr>
        <w:endnoteRef/>
      </w:r>
      <w:r>
        <w:t xml:space="preserve"> Submission </w:t>
      </w:r>
      <w:r w:rsidRPr="00CA29B4">
        <w:rPr>
          <w:rFonts w:cs="Open Sans"/>
        </w:rPr>
        <w:t>45</w:t>
      </w:r>
      <w:r>
        <w:rPr>
          <w:rFonts w:cs="Open Sans"/>
        </w:rPr>
        <w:t xml:space="preserve">, </w:t>
      </w:r>
      <w:r>
        <w:rPr>
          <w:i/>
          <w:iCs/>
        </w:rPr>
        <w:t>Intersex Inquiry,</w:t>
      </w:r>
      <w:r>
        <w:t xml:space="preserve"> </w:t>
      </w:r>
      <w:r w:rsidRPr="00CA29B4">
        <w:rPr>
          <w:rFonts w:cs="Open Sans"/>
        </w:rPr>
        <w:t>7</w:t>
      </w:r>
      <w:r>
        <w:rPr>
          <w:rFonts w:cs="Open Sans"/>
        </w:rPr>
        <w:t>;</w:t>
      </w:r>
      <w:r w:rsidRPr="00C65E27">
        <w:t xml:space="preserve"> </w:t>
      </w:r>
      <w:r w:rsidRPr="00C65E27">
        <w:rPr>
          <w:rFonts w:cs="Open Sans"/>
        </w:rPr>
        <w:t>Endocrine Society of Australia</w:t>
      </w:r>
      <w:r>
        <w:rPr>
          <w:rFonts w:cs="Open Sans"/>
        </w:rPr>
        <w:t>,</w:t>
      </w:r>
      <w:r w:rsidRPr="00CA29B4">
        <w:rPr>
          <w:rFonts w:cs="Open Sans"/>
        </w:rPr>
        <w:t xml:space="preserve"> </w:t>
      </w:r>
      <w:r>
        <w:rPr>
          <w:rFonts w:cs="Open Sans"/>
        </w:rPr>
        <w:t xml:space="preserve">Submission </w:t>
      </w:r>
      <w:r w:rsidRPr="00CA29B4">
        <w:rPr>
          <w:rFonts w:cs="Open Sans"/>
        </w:rPr>
        <w:t>39</w:t>
      </w:r>
      <w:r>
        <w:rPr>
          <w:rFonts w:cs="Open Sans"/>
        </w:rPr>
        <w:t>,</w:t>
      </w:r>
      <w:r w:rsidRPr="00D62562">
        <w:rPr>
          <w:i/>
          <w:iCs/>
        </w:rPr>
        <w:t xml:space="preserve"> </w:t>
      </w:r>
      <w:r>
        <w:rPr>
          <w:i/>
          <w:iCs/>
        </w:rPr>
        <w:t>Intersex Inquiry,</w:t>
      </w:r>
      <w:r>
        <w:t xml:space="preserve"> </w:t>
      </w:r>
      <w:r w:rsidRPr="00CA29B4">
        <w:rPr>
          <w:rFonts w:cs="Open Sans"/>
        </w:rPr>
        <w:t>2</w:t>
      </w:r>
      <w:r>
        <w:rPr>
          <w:rFonts w:cs="Open Sans"/>
        </w:rPr>
        <w:t>;</w:t>
      </w:r>
      <w:r w:rsidRPr="00CA29B4">
        <w:rPr>
          <w:rFonts w:cs="Open Sans"/>
        </w:rPr>
        <w:t xml:space="preserve"> </w:t>
      </w:r>
      <w:r>
        <w:rPr>
          <w:rFonts w:cs="Open Sans"/>
        </w:rPr>
        <w:t xml:space="preserve">Submission </w:t>
      </w:r>
      <w:r w:rsidRPr="00CA29B4">
        <w:rPr>
          <w:rFonts w:cs="Open Sans"/>
        </w:rPr>
        <w:t>67,</w:t>
      </w:r>
      <w:r w:rsidRPr="00D62562">
        <w:rPr>
          <w:i/>
          <w:iCs/>
        </w:rPr>
        <w:t xml:space="preserve"> </w:t>
      </w:r>
      <w:r>
        <w:rPr>
          <w:i/>
          <w:iCs/>
        </w:rPr>
        <w:t>Intersex Inquiry</w:t>
      </w:r>
      <w:r w:rsidRPr="00D62562">
        <w:t>;</w:t>
      </w:r>
      <w:r>
        <w:rPr>
          <w:i/>
          <w:iCs/>
        </w:rPr>
        <w:t xml:space="preserve"> </w:t>
      </w:r>
      <w:r>
        <w:rPr>
          <w:rFonts w:cs="Open Sans"/>
        </w:rPr>
        <w:t xml:space="preserve"> Submission </w:t>
      </w:r>
      <w:r w:rsidRPr="00CA29B4">
        <w:rPr>
          <w:rFonts w:cs="Open Sans"/>
        </w:rPr>
        <w:t>70</w:t>
      </w:r>
      <w:r>
        <w:rPr>
          <w:rFonts w:cs="Open Sans"/>
        </w:rPr>
        <w:t>,</w:t>
      </w:r>
      <w:r w:rsidRPr="00D62562">
        <w:rPr>
          <w:i/>
          <w:iCs/>
        </w:rPr>
        <w:t xml:space="preserve"> </w:t>
      </w:r>
      <w:r>
        <w:rPr>
          <w:i/>
          <w:iCs/>
        </w:rPr>
        <w:t>Intersex Inquiry,</w:t>
      </w:r>
      <w:r>
        <w:t xml:space="preserve"> </w:t>
      </w:r>
      <w:r w:rsidRPr="00CA29B4">
        <w:rPr>
          <w:rFonts w:cs="Open Sans"/>
        </w:rPr>
        <w:t>2</w:t>
      </w:r>
      <w:r>
        <w:rPr>
          <w:rFonts w:cs="Open Sans"/>
        </w:rPr>
        <w:t>; Submission 36,</w:t>
      </w:r>
      <w:r w:rsidRPr="00D62562">
        <w:rPr>
          <w:i/>
          <w:iCs/>
        </w:rPr>
        <w:t xml:space="preserve"> </w:t>
      </w:r>
      <w:r>
        <w:rPr>
          <w:i/>
          <w:iCs/>
        </w:rPr>
        <w:t>Intersex Inquiry,</w:t>
      </w:r>
      <w:r>
        <w:t xml:space="preserve"> </w:t>
      </w:r>
      <w:r>
        <w:rPr>
          <w:rFonts w:cs="Open Sans"/>
        </w:rPr>
        <w:t xml:space="preserve">17; Submission 40, </w:t>
      </w:r>
      <w:r>
        <w:rPr>
          <w:i/>
          <w:iCs/>
        </w:rPr>
        <w:t>Intersex Inquiry,</w:t>
      </w:r>
      <w:r>
        <w:t xml:space="preserve"> </w:t>
      </w:r>
      <w:r>
        <w:rPr>
          <w:rFonts w:cs="Open Sans"/>
        </w:rPr>
        <w:t>61.</w:t>
      </w:r>
    </w:p>
  </w:endnote>
  <w:endnote w:id="288">
    <w:p w:rsidRPr="00C40650" w:rsidR="004D61D2" w:rsidP="004D61D2" w:rsidRDefault="004D61D2" w14:paraId="6542AC35" w14:textId="77777777">
      <w:pPr>
        <w:pStyle w:val="EndnoteText"/>
        <w:rPr>
          <w:lang w:val="en-US"/>
        </w:rPr>
      </w:pPr>
      <w:r>
        <w:rPr>
          <w:rStyle w:val="EndnoteReference"/>
        </w:rPr>
        <w:endnoteRef/>
      </w:r>
      <w:r>
        <w:t xml:space="preserve"> </w:t>
      </w:r>
      <w:r w:rsidRPr="00576FAA">
        <w:rPr>
          <w:rFonts w:cs="Open Sans"/>
        </w:rPr>
        <w:t>Victorian Government (Department of Health),</w:t>
      </w:r>
      <w:r>
        <w:rPr>
          <w:rFonts w:cs="Open Sans"/>
        </w:rPr>
        <w:t xml:space="preserve"> </w:t>
      </w:r>
      <w:r w:rsidRPr="00B07D72">
        <w:rPr>
          <w:rFonts w:cs="Open Sans"/>
          <w:i/>
          <w:iCs/>
        </w:rPr>
        <w:t>Decision-making principles for the care of infants, children and adolescents with intersex conditions</w:t>
      </w:r>
      <w:r w:rsidRPr="00576FAA">
        <w:rPr>
          <w:rFonts w:cs="Open Sans"/>
        </w:rPr>
        <w:t xml:space="preserve"> (February 2013)</w:t>
      </w:r>
      <w:r>
        <w:rPr>
          <w:rFonts w:cs="Open Sans"/>
        </w:rPr>
        <w:t xml:space="preserve"> 5</w:t>
      </w:r>
      <w:r w:rsidRPr="00576FAA">
        <w:rPr>
          <w:rFonts w:cs="Open Sans"/>
        </w:rPr>
        <w:t xml:space="preserve"> </w:t>
      </w:r>
      <w:r>
        <w:rPr>
          <w:rFonts w:cs="Open Sans"/>
        </w:rPr>
        <w:t>&lt;</w:t>
      </w:r>
      <w:hyperlink w:history="1" r:id="rId29">
        <w:r w:rsidRPr="000815F2">
          <w:rPr>
            <w:rStyle w:val="Hyperlink"/>
            <w:rFonts w:cs="Open Sans"/>
          </w:rPr>
          <w:t>https://www2.health.vic.gov.au/about/populations/lgbti-health/rainbow-equality/working-with-specific-groups/infants-children-adolescents-with-intersex-conditions</w:t>
        </w:r>
      </w:hyperlink>
      <w:r>
        <w:rPr>
          <w:rFonts w:cs="Open Sans"/>
        </w:rPr>
        <w:t>&gt;</w:t>
      </w:r>
      <w:r>
        <w:t xml:space="preserve">. </w:t>
      </w:r>
    </w:p>
  </w:endnote>
  <w:endnote w:id="289">
    <w:p w:rsidRPr="007B165B" w:rsidR="004D61D2" w:rsidP="004D61D2" w:rsidRDefault="004D61D2" w14:paraId="49D54778" w14:textId="77777777">
      <w:pPr>
        <w:pStyle w:val="EndnoteText"/>
      </w:pPr>
      <w:r>
        <w:rPr>
          <w:rStyle w:val="EndnoteReference"/>
        </w:rPr>
        <w:endnoteRef/>
      </w:r>
      <w:r>
        <w:t xml:space="preserve"> </w:t>
      </w:r>
      <w:r w:rsidRPr="00576FAA">
        <w:rPr>
          <w:rFonts w:cs="Open Sans"/>
        </w:rPr>
        <w:t>Victorian Government (Department of Health),</w:t>
      </w:r>
      <w:r>
        <w:rPr>
          <w:rFonts w:cs="Open Sans"/>
        </w:rPr>
        <w:t xml:space="preserve"> </w:t>
      </w:r>
      <w:r w:rsidRPr="00B07D72">
        <w:rPr>
          <w:rFonts w:cs="Open Sans"/>
          <w:i/>
          <w:iCs/>
        </w:rPr>
        <w:t>Decision-making principles for the care of infants, children and adolescents with intersex conditions</w:t>
      </w:r>
      <w:r w:rsidRPr="00576FAA">
        <w:rPr>
          <w:rFonts w:cs="Open Sans"/>
        </w:rPr>
        <w:t xml:space="preserve"> (February 2013)</w:t>
      </w:r>
      <w:r>
        <w:rPr>
          <w:rFonts w:cs="Open Sans"/>
        </w:rPr>
        <w:t xml:space="preserve"> 18</w:t>
      </w:r>
      <w:r w:rsidRPr="00576FAA">
        <w:rPr>
          <w:rFonts w:cs="Open Sans"/>
        </w:rPr>
        <w:t xml:space="preserve"> </w:t>
      </w:r>
      <w:r>
        <w:rPr>
          <w:rFonts w:cs="Open Sans"/>
        </w:rPr>
        <w:t>&lt;</w:t>
      </w:r>
      <w:hyperlink w:history="1" r:id="rId30">
        <w:r w:rsidRPr="000815F2">
          <w:rPr>
            <w:rStyle w:val="Hyperlink"/>
            <w:rFonts w:cs="Open Sans"/>
          </w:rPr>
          <w:t>https://www2.health.vic.gov.au/about/populations/lgbti-health/rainbow-equality/working-with-specific-groups/infants-children-adolescents-with-intersex-conditions</w:t>
        </w:r>
      </w:hyperlink>
      <w:r>
        <w:rPr>
          <w:rFonts w:cs="Open Sans"/>
        </w:rPr>
        <w:t>&gt;</w:t>
      </w:r>
      <w:r>
        <w:t>.</w:t>
      </w:r>
    </w:p>
  </w:endnote>
  <w:endnote w:id="290">
    <w:p w:rsidRPr="00C40650" w:rsidR="004D61D2" w:rsidP="004D61D2" w:rsidRDefault="004D61D2" w14:paraId="162394BF" w14:textId="77777777">
      <w:pPr>
        <w:pStyle w:val="EndnoteText"/>
        <w:rPr>
          <w:lang w:val="en-US"/>
        </w:rPr>
      </w:pPr>
      <w:r>
        <w:rPr>
          <w:rStyle w:val="EndnoteReference"/>
        </w:rPr>
        <w:endnoteRef/>
      </w:r>
      <w:r>
        <w:t xml:space="preserve"> IA</w:t>
      </w:r>
      <w:r w:rsidRPr="00417EB4">
        <w:t xml:space="preserve"> Hughes et al, ‘Consensus statement on management of intersex disorders’ </w:t>
      </w:r>
      <w:r>
        <w:t>(</w:t>
      </w:r>
      <w:r w:rsidRPr="00417EB4">
        <w:t>2006</w:t>
      </w:r>
      <w:r>
        <w:t>)</w:t>
      </w:r>
      <w:r w:rsidRPr="00417EB4">
        <w:t xml:space="preserve"> 2 </w:t>
      </w:r>
      <w:r w:rsidRPr="00417EB4">
        <w:rPr>
          <w:i/>
          <w:iCs/>
        </w:rPr>
        <w:t>Journal of Pediatric Urology</w:t>
      </w:r>
      <w:r w:rsidRPr="00417EB4">
        <w:rPr>
          <w:lang w:val="en-US"/>
        </w:rPr>
        <w:t>, Appendix 2</w:t>
      </w:r>
      <w:r>
        <w:rPr>
          <w:lang w:val="en-US"/>
        </w:rPr>
        <w:t xml:space="preserve">, </w:t>
      </w:r>
      <w:r>
        <w:rPr>
          <w:rFonts w:cs="Open Sans"/>
        </w:rPr>
        <w:t>153</w:t>
      </w:r>
    </w:p>
  </w:endnote>
  <w:endnote w:id="291">
    <w:p w:rsidRPr="00E1383E" w:rsidR="004D61D2" w:rsidP="004D61D2" w:rsidRDefault="004D61D2" w14:paraId="6E0E282B" w14:textId="77777777">
      <w:pPr>
        <w:pStyle w:val="EndnoteText"/>
        <w:rPr>
          <w:lang w:val="en-US"/>
        </w:rPr>
      </w:pPr>
      <w:r>
        <w:rPr>
          <w:rStyle w:val="EndnoteReference"/>
        </w:rPr>
        <w:endnoteRef/>
      </w:r>
      <w:r>
        <w:t xml:space="preserve"> ARC International and International Service for Human Rights, </w:t>
      </w:r>
      <w:r w:rsidRPr="676F1596">
        <w:rPr>
          <w:i/>
          <w:iCs/>
        </w:rPr>
        <w:t>Yogyakarta Principles plus 10 – Additional principles and state obligations on the application of international human rights law in relation to sexual orientation, gender identity, gender expression and sex characteristics to complement the Yogyakarta Principles</w:t>
      </w:r>
      <w:r>
        <w:t xml:space="preserve"> (November 2017) art 32, which states that medical interventions that modify sex characteristics should not be performed without personal consent</w:t>
      </w:r>
      <w:r w:rsidRPr="00BD7DB3">
        <w:t xml:space="preserve"> unless </w:t>
      </w:r>
      <w:r>
        <w:t>‘</w:t>
      </w:r>
      <w:r w:rsidRPr="00BD7DB3">
        <w:t>necessary to avoid serious, urgent and irreparable harm to the concerned person</w:t>
      </w:r>
      <w:r>
        <w:t>’</w:t>
      </w:r>
      <w:r w:rsidRPr="00BD7DB3">
        <w:t>.</w:t>
      </w:r>
    </w:p>
  </w:endnote>
  <w:endnote w:id="292">
    <w:p w:rsidRPr="00E1383E" w:rsidR="004D61D2" w:rsidP="004D61D2" w:rsidRDefault="004D61D2" w14:paraId="3027F016" w14:textId="77777777">
      <w:pPr>
        <w:pStyle w:val="EndnoteText"/>
        <w:rPr>
          <w:lang w:val="en-US"/>
        </w:rPr>
      </w:pPr>
      <w:r>
        <w:rPr>
          <w:rStyle w:val="EndnoteReference"/>
        </w:rPr>
        <w:endnoteRef/>
      </w:r>
      <w:r>
        <w:t xml:space="preserve"> </w:t>
      </w:r>
      <w:r w:rsidRPr="004654C2">
        <w:rPr>
          <w:rFonts w:cs="Open Sans"/>
        </w:rPr>
        <w:fldChar w:fldCharType="begin"/>
      </w:r>
      <w:r w:rsidRPr="004654C2">
        <w:rPr>
          <w:rFonts w:cs="Open Sans"/>
        </w:rPr>
        <w:instrText xml:space="preserve"> ADDIN ZOTERO_ITEM CSL_CITATION {"citationID":"u0YhGJoe","properties":{"formattedCitation":"United Nations Economic and Social Council, {\\i{}Siracusa Principles on the Limitation and Derogation Provisions in the International Covenant on Civil and Political Rights} UN Doc E/CN.4/1985/4, Annex (1985).; United Nations Human Rights Committee, {\\i{}General Comment No. 31 [80]: The Nature of the General Legal Obligation Imposed on States Parties to the Covenant}, UN Doc CCPR/C/21/Rev.1/Add. 13 (26 May 2004)6.","plainCitation":"United Nations Economic and Social Council, Siracusa Principles on the Limitation and Derogation Provisions in the International Covenant on Civil and Political Rights UN Doc E/CN.4/1985/4, Annex (1985).; United Nations Human Rights Committee, General Comment No. 31 [80]: The Nature of the General Legal Obligation Imposed on States Parties to the Covenant, UN Doc CCPR/C/21/Rev.1/Add. 13 (26 May 2004)6.","noteIndex":37},"citationItems":[{"id":274,"uris":["http://zotero.org/groups/1703699/items/LD4WSYPR"],"uri":["http://zotero.org/groups/1703699/items/LD4WSYPR"],"itemData":{"id":274,"type":"bill","title":"United Nations Economic and Social Council, &lt;i&gt;Siracusa Principles on the Limitation and Derogation Provisions in the International Covenant on Civil and Political Rights&lt;/i&gt; UN Doc E/CN.4/1985/4, Annex (1985)."},"label":"page"},{"id":1590,"uris":["http://zotero.org/groups/1703699/items/83BPNU7Q"],"uri":["http://zotero.org/groups/1703699/items/83BPNU7Q"],"itemData":{"id":1590,"type":"bill","title":"United Nations Human Rights Committee, &lt;i&gt;General Comment No. 31 [80]: The Nature of the General Legal Obligation Imposed on States Parties to the Covenant&lt;/i&gt;, UN Doc CCPR/C/21/Rev.1/Add. 13 (26 May 2004)"},"label":"page","suffix":"6"}],"schema":"https://github.com/citation-style-language/schema/raw/master/csl-citation.json"} </w:instrText>
      </w:r>
      <w:r w:rsidRPr="004654C2">
        <w:rPr>
          <w:rFonts w:cs="Open Sans"/>
        </w:rPr>
        <w:fldChar w:fldCharType="separate"/>
      </w:r>
      <w:r w:rsidRPr="004654C2">
        <w:rPr>
          <w:rFonts w:cs="Open Sans"/>
        </w:rPr>
        <w:t xml:space="preserve">United Nations Economic and Social Council, </w:t>
      </w:r>
      <w:r w:rsidRPr="004654C2">
        <w:rPr>
          <w:rFonts w:cs="Open Sans"/>
          <w:i/>
          <w:iCs/>
        </w:rPr>
        <w:t>Siracusa Principles on the Limitation and Derogation Provisions in the International Covenant on Civil and Political Rights</w:t>
      </w:r>
      <w:r w:rsidRPr="004654C2">
        <w:rPr>
          <w:rFonts w:cs="Open Sans"/>
        </w:rPr>
        <w:t xml:space="preserve"> UN Doc E/CN.4/1985/4, Annex (1985) (ICCPR); United Nations Human Rights Committee, </w:t>
      </w:r>
      <w:r w:rsidRPr="004654C2">
        <w:rPr>
          <w:rFonts w:cs="Open Sans"/>
          <w:i/>
          <w:iCs/>
        </w:rPr>
        <w:t>General Comment No. 31 [80]: The Nature of the General Legal Obligation Imposed on States Parties to the Covenant</w:t>
      </w:r>
      <w:r w:rsidRPr="004654C2">
        <w:rPr>
          <w:rFonts w:cs="Open Sans"/>
        </w:rPr>
        <w:t>, UN Doc CCPR/C/21/Rev.1/Add. 13 (26 May 2004) 6.</w:t>
      </w:r>
      <w:r w:rsidRPr="004654C2">
        <w:rPr>
          <w:rFonts w:cs="Open Sans"/>
        </w:rPr>
        <w:fldChar w:fldCharType="end"/>
      </w:r>
    </w:p>
  </w:endnote>
  <w:endnote w:id="293">
    <w:p w:rsidRPr="00BF2110" w:rsidR="004D61D2" w:rsidP="004D61D2" w:rsidRDefault="004D61D2" w14:paraId="07323637" w14:textId="77777777">
      <w:pPr>
        <w:pStyle w:val="EndnoteText"/>
      </w:pPr>
      <w:r>
        <w:rPr>
          <w:rStyle w:val="EndnoteReference"/>
        </w:rPr>
        <w:endnoteRef/>
      </w:r>
      <w:r>
        <w:t xml:space="preserve"> IA Hughes et al, ‘Consensus statement on management of intersex disorders’ (2006) 2 </w:t>
      </w:r>
      <w:r>
        <w:rPr>
          <w:i/>
          <w:iCs/>
        </w:rPr>
        <w:t>Journal of Pediatric Urology</w:t>
      </w:r>
      <w:r>
        <w:t xml:space="preserve"> 153; </w:t>
      </w:r>
      <w:r w:rsidRPr="0014675C">
        <w:t>Victorian Government (Department of Health), ‘Decision-making principles for the care of infants, children and adolescents with intersex conditions’ (February 2013)</w:t>
      </w:r>
      <w:r>
        <w:t xml:space="preserve"> 18. </w:t>
      </w:r>
    </w:p>
  </w:endnote>
  <w:endnote w:id="294">
    <w:p w:rsidRPr="000D3CC3" w:rsidR="004D61D2" w:rsidP="004D61D2" w:rsidRDefault="004D61D2" w14:paraId="2C5694A1" w14:textId="77777777">
      <w:pPr>
        <w:pStyle w:val="EndnoteText"/>
        <w:rPr>
          <w:lang w:val="en-US"/>
        </w:rPr>
      </w:pPr>
      <w:r>
        <w:rPr>
          <w:rStyle w:val="EndnoteReference"/>
        </w:rPr>
        <w:endnoteRef/>
      </w:r>
      <w:r>
        <w:t xml:space="preserve"> Intersex Human Rights Australia, </w:t>
      </w:r>
      <w:r>
        <w:rPr>
          <w:lang w:val="en-US"/>
        </w:rPr>
        <w:t>Submission 40,</w:t>
      </w:r>
      <w:r w:rsidRPr="00BB3202">
        <w:rPr>
          <w:i/>
          <w:iCs/>
        </w:rPr>
        <w:t xml:space="preserve"> </w:t>
      </w:r>
      <w:r>
        <w:rPr>
          <w:i/>
          <w:iCs/>
        </w:rPr>
        <w:t>Intersex Inquiry,</w:t>
      </w:r>
      <w:r>
        <w:t xml:space="preserve"> </w:t>
      </w:r>
      <w:r>
        <w:rPr>
          <w:lang w:val="en-US"/>
        </w:rPr>
        <w:t xml:space="preserve">61. </w:t>
      </w:r>
    </w:p>
  </w:endnote>
  <w:endnote w:id="295">
    <w:p w:rsidR="004D61D2" w:rsidP="004D61D2" w:rsidRDefault="004D61D2" w14:paraId="1090A441" w14:textId="77777777">
      <w:pPr>
        <w:pStyle w:val="EndnoteText"/>
      </w:pPr>
      <w:r>
        <w:rPr>
          <w:rStyle w:val="EndnoteReference"/>
        </w:rPr>
        <w:endnoteRef/>
      </w:r>
      <w:r>
        <w:t xml:space="preserve"> Submission </w:t>
      </w:r>
      <w:r w:rsidRPr="00AB38B9">
        <w:t>68</w:t>
      </w:r>
      <w:r>
        <w:t>,</w:t>
      </w:r>
      <w:r w:rsidRPr="00BB3202">
        <w:rPr>
          <w:i/>
          <w:iCs/>
        </w:rPr>
        <w:t xml:space="preserve"> </w:t>
      </w:r>
      <w:r>
        <w:rPr>
          <w:i/>
          <w:iCs/>
        </w:rPr>
        <w:t>Intersex Inquiry,</w:t>
      </w:r>
      <w:r>
        <w:t xml:space="preserve"> 3, 5; Australasian Paediatric Endocrine Group, Submission 20,</w:t>
      </w:r>
      <w:r w:rsidRPr="00BB3202">
        <w:rPr>
          <w:i/>
          <w:iCs/>
        </w:rPr>
        <w:t xml:space="preserve"> </w:t>
      </w:r>
      <w:r>
        <w:rPr>
          <w:i/>
          <w:iCs/>
        </w:rPr>
        <w:t>Intersex Inquiry,</w:t>
      </w:r>
      <w:r>
        <w:t xml:space="preserve"> 6; Intersex Human Rights Australia </w:t>
      </w:r>
      <w:r>
        <w:rPr>
          <w:lang w:val="en-US"/>
        </w:rPr>
        <w:t>Submission 40,</w:t>
      </w:r>
      <w:r w:rsidRPr="00BB3202">
        <w:rPr>
          <w:i/>
          <w:iCs/>
        </w:rPr>
        <w:t xml:space="preserve"> </w:t>
      </w:r>
      <w:r>
        <w:rPr>
          <w:i/>
          <w:iCs/>
        </w:rPr>
        <w:t>Intersex Inquiry,</w:t>
      </w:r>
      <w:r>
        <w:t xml:space="preserve"> </w:t>
      </w:r>
      <w:r>
        <w:rPr>
          <w:lang w:val="en-US"/>
        </w:rPr>
        <w:t>61.</w:t>
      </w:r>
    </w:p>
  </w:endnote>
  <w:endnote w:id="296">
    <w:p w:rsidRPr="00D1061B" w:rsidR="004D61D2" w:rsidP="004D61D2" w:rsidRDefault="004D61D2" w14:paraId="17FA1B32" w14:textId="77777777">
      <w:pPr>
        <w:pStyle w:val="EndnoteText"/>
        <w:rPr>
          <w:lang w:val="en-US"/>
        </w:rPr>
      </w:pPr>
      <w:r>
        <w:rPr>
          <w:rStyle w:val="EndnoteReference"/>
        </w:rPr>
        <w:endnoteRef/>
      </w:r>
      <w:r>
        <w:t xml:space="preserve"> Submission 68,</w:t>
      </w:r>
      <w:r w:rsidRPr="00BB3202">
        <w:rPr>
          <w:i/>
          <w:iCs/>
        </w:rPr>
        <w:t xml:space="preserve"> </w:t>
      </w:r>
      <w:r>
        <w:rPr>
          <w:i/>
          <w:iCs/>
        </w:rPr>
        <w:t>Intersex Inquiry,</w:t>
      </w:r>
      <w:r>
        <w:t xml:space="preserve"> 3–4.</w:t>
      </w:r>
    </w:p>
  </w:endnote>
  <w:endnote w:id="297">
    <w:p w:rsidRPr="007665DA" w:rsidR="004D61D2" w:rsidP="004D61D2" w:rsidRDefault="004D61D2" w14:paraId="70F20EE0" w14:textId="77777777">
      <w:pPr>
        <w:pStyle w:val="EndnoteText"/>
        <w:rPr>
          <w:lang w:val="en-US"/>
        </w:rPr>
      </w:pPr>
      <w:r>
        <w:rPr>
          <w:rStyle w:val="EndnoteReference"/>
        </w:rPr>
        <w:endnoteRef/>
      </w:r>
      <w:r>
        <w:t xml:space="preserve"> </w:t>
      </w:r>
      <w:r w:rsidRPr="00C84CE4">
        <w:t xml:space="preserve">Joseph L Lasky, </w:t>
      </w:r>
      <w:r>
        <w:t>‘</w:t>
      </w:r>
      <w:r w:rsidRPr="008F3FF2">
        <w:t>Gonadoblastoma</w:t>
      </w:r>
      <w:r>
        <w:t xml:space="preserve">’ </w:t>
      </w:r>
      <w:r w:rsidRPr="008F3FF2">
        <w:rPr>
          <w:i/>
          <w:iCs/>
        </w:rPr>
        <w:t>Medscape</w:t>
      </w:r>
      <w:r>
        <w:t xml:space="preserve">, </w:t>
      </w:r>
      <w:r w:rsidRPr="001B6EF0">
        <w:t>(Web Page, 20 April 2021)</w:t>
      </w:r>
      <w:r>
        <w:rPr>
          <w:i/>
          <w:iCs/>
        </w:rPr>
        <w:t xml:space="preserve"> </w:t>
      </w:r>
      <w:r>
        <w:t>&lt;</w:t>
      </w:r>
      <w:r w:rsidRPr="00DF6D5E">
        <w:t>https://emedicine.medscape.com/article/986581-overview</w:t>
      </w:r>
      <w:r>
        <w:t>&gt;.</w:t>
      </w:r>
    </w:p>
  </w:endnote>
  <w:endnote w:id="298">
    <w:p w:rsidRPr="00B0029F" w:rsidR="004D61D2" w:rsidP="004D61D2" w:rsidRDefault="004D61D2" w14:paraId="11318CAE" w14:textId="77777777">
      <w:pPr>
        <w:pStyle w:val="EndnoteText"/>
        <w:rPr>
          <w:lang w:val="en-US"/>
        </w:rPr>
      </w:pPr>
      <w:r>
        <w:rPr>
          <w:rStyle w:val="EndnoteReference"/>
        </w:rPr>
        <w:endnoteRef/>
      </w:r>
      <w:r>
        <w:t xml:space="preserve"> </w:t>
      </w:r>
      <w:r>
        <w:rPr>
          <w:lang w:val="en-US"/>
        </w:rPr>
        <w:t xml:space="preserve">Submission 68, </w:t>
      </w:r>
      <w:r>
        <w:rPr>
          <w:i/>
          <w:iCs/>
        </w:rPr>
        <w:t>Intersex Inquiry,</w:t>
      </w:r>
      <w:r>
        <w:t xml:space="preserve"> </w:t>
      </w:r>
      <w:r>
        <w:rPr>
          <w:lang w:val="en-US"/>
        </w:rPr>
        <w:t xml:space="preserve">3. </w:t>
      </w:r>
    </w:p>
  </w:endnote>
  <w:endnote w:id="299">
    <w:p w:rsidRPr="00970C5A" w:rsidR="004D61D2" w:rsidP="004D61D2" w:rsidRDefault="004D61D2" w14:paraId="34EEB8DE" w14:textId="77777777">
      <w:pPr>
        <w:pStyle w:val="EndnoteText"/>
        <w:rPr>
          <w:lang w:val="en-US"/>
        </w:rPr>
      </w:pPr>
      <w:r>
        <w:rPr>
          <w:rStyle w:val="EndnoteReference"/>
        </w:rPr>
        <w:endnoteRef/>
      </w:r>
      <w:r>
        <w:t xml:space="preserve"> </w:t>
      </w:r>
      <w:r>
        <w:rPr>
          <w:lang w:val="en-US"/>
        </w:rPr>
        <w:t xml:space="preserve">Submission 40, </w:t>
      </w:r>
      <w:r>
        <w:rPr>
          <w:i/>
          <w:iCs/>
        </w:rPr>
        <w:t>Intersex Inquiry,</w:t>
      </w:r>
      <w:r>
        <w:t xml:space="preserve"> </w:t>
      </w:r>
      <w:r>
        <w:rPr>
          <w:lang w:val="en-US"/>
        </w:rPr>
        <w:t xml:space="preserve">61. </w:t>
      </w:r>
    </w:p>
  </w:endnote>
  <w:endnote w:id="300">
    <w:p w:rsidRPr="0084772F" w:rsidR="004D61D2" w:rsidP="004D61D2" w:rsidRDefault="004D61D2" w14:paraId="4536E554" w14:textId="77777777">
      <w:pPr>
        <w:pStyle w:val="EndnoteText"/>
        <w:rPr>
          <w:lang w:val="en-US"/>
        </w:rPr>
      </w:pPr>
      <w:r>
        <w:rPr>
          <w:rStyle w:val="EndnoteReference"/>
        </w:rPr>
        <w:endnoteRef/>
      </w:r>
      <w:r>
        <w:t xml:space="preserve"> </w:t>
      </w:r>
      <w:r>
        <w:rPr>
          <w:lang w:val="en-US"/>
        </w:rPr>
        <w:t>Submission 40,</w:t>
      </w:r>
      <w:r w:rsidRPr="00BB3202">
        <w:rPr>
          <w:i/>
          <w:iCs/>
        </w:rPr>
        <w:t xml:space="preserve"> </w:t>
      </w:r>
      <w:r>
        <w:rPr>
          <w:i/>
          <w:iCs/>
        </w:rPr>
        <w:t>Intersex Inquiry,</w:t>
      </w:r>
      <w:r>
        <w:t xml:space="preserve"> </w:t>
      </w:r>
      <w:r>
        <w:rPr>
          <w:lang w:val="en-US"/>
        </w:rPr>
        <w:t xml:space="preserve">62. </w:t>
      </w:r>
    </w:p>
  </w:endnote>
  <w:endnote w:id="301">
    <w:p w:rsidR="004D61D2" w:rsidP="004D61D2" w:rsidRDefault="004D61D2" w14:paraId="6608A8B2" w14:textId="77777777">
      <w:pPr>
        <w:pStyle w:val="EndnoteText"/>
      </w:pPr>
      <w:r>
        <w:rPr>
          <w:rStyle w:val="EndnoteReference"/>
        </w:rPr>
        <w:endnoteRef/>
      </w:r>
      <w:r>
        <w:t xml:space="preserve"> Australasian Paediatric Endocrine Group, Submission 20,</w:t>
      </w:r>
      <w:r w:rsidRPr="00BB3202">
        <w:rPr>
          <w:i/>
          <w:iCs/>
        </w:rPr>
        <w:t xml:space="preserve"> </w:t>
      </w:r>
      <w:r>
        <w:rPr>
          <w:i/>
          <w:iCs/>
        </w:rPr>
        <w:t>Intersex Inquiry,</w:t>
      </w:r>
      <w:r>
        <w:t xml:space="preserve"> 6.</w:t>
      </w:r>
    </w:p>
  </w:endnote>
  <w:endnote w:id="302">
    <w:p w:rsidRPr="001935C8" w:rsidR="004D61D2" w:rsidP="004D61D2" w:rsidRDefault="004D61D2" w14:paraId="753CA50E" w14:textId="77777777">
      <w:pPr>
        <w:pStyle w:val="EndnoteText"/>
        <w:rPr>
          <w:lang w:val="en-US"/>
        </w:rPr>
      </w:pPr>
      <w:r>
        <w:rPr>
          <w:rStyle w:val="EndnoteReference"/>
        </w:rPr>
        <w:endnoteRef/>
      </w:r>
      <w:r>
        <w:t xml:space="preserve"> PA Lee et al, ‘Global Disorders of Sex Development Update since 2006: Perceptions, Approach and Care’ </w:t>
      </w:r>
      <w:r w:rsidRPr="001935C8">
        <w:rPr>
          <w:i/>
          <w:iCs/>
        </w:rPr>
        <w:t>Horm Res Paediatr</w:t>
      </w:r>
      <w:r w:rsidRPr="00A12641">
        <w:t xml:space="preserve"> 2016;85:</w:t>
      </w:r>
      <w:r>
        <w:t xml:space="preserve"> 174; IA Hughes et al, ‘Consensus statement on management of intersex disorders’ (2006) 2 </w:t>
      </w:r>
      <w:r>
        <w:rPr>
          <w:i/>
          <w:iCs/>
        </w:rPr>
        <w:t>Journal of Pediatric Urology</w:t>
      </w:r>
      <w:r>
        <w:t xml:space="preserve"> 491.</w:t>
      </w:r>
    </w:p>
  </w:endnote>
  <w:endnote w:id="303">
    <w:p w:rsidRPr="00E55A60" w:rsidR="004D61D2" w:rsidP="004D61D2" w:rsidRDefault="004D61D2" w14:paraId="3294F59C" w14:textId="77777777">
      <w:pPr>
        <w:pStyle w:val="EndnoteText"/>
        <w:rPr>
          <w:lang w:val="en-US"/>
        </w:rPr>
      </w:pPr>
      <w:r>
        <w:rPr>
          <w:rStyle w:val="EndnoteReference"/>
        </w:rPr>
        <w:endnoteRef/>
      </w:r>
      <w:r>
        <w:t xml:space="preserve"> Australasian Paediatric Endocrine Group, Submission 20,</w:t>
      </w:r>
      <w:r w:rsidRPr="00510F64">
        <w:rPr>
          <w:i/>
          <w:iCs/>
        </w:rPr>
        <w:t xml:space="preserve"> </w:t>
      </w:r>
      <w:r>
        <w:rPr>
          <w:i/>
          <w:iCs/>
        </w:rPr>
        <w:t>Intersex Inquiry,</w:t>
      </w:r>
      <w:r>
        <w:t xml:space="preserve"> 4. </w:t>
      </w:r>
    </w:p>
  </w:endnote>
  <w:endnote w:id="304">
    <w:p w:rsidR="004D61D2" w:rsidP="004D61D2" w:rsidRDefault="004D61D2" w14:paraId="179F2E54" w14:textId="77777777">
      <w:pPr>
        <w:pStyle w:val="EndnoteText"/>
      </w:pPr>
      <w:r>
        <w:rPr>
          <w:rStyle w:val="EndnoteReference"/>
        </w:rPr>
        <w:endnoteRef/>
      </w:r>
      <w:r>
        <w:t xml:space="preserve"> Submission 50,</w:t>
      </w:r>
      <w:r w:rsidRPr="00510F64">
        <w:rPr>
          <w:i/>
          <w:iCs/>
        </w:rPr>
        <w:t xml:space="preserve"> </w:t>
      </w:r>
      <w:r>
        <w:rPr>
          <w:i/>
          <w:iCs/>
        </w:rPr>
        <w:t>Intersex Inquiry,</w:t>
      </w:r>
      <w:r>
        <w:t xml:space="preserve"> 3.</w:t>
      </w:r>
    </w:p>
  </w:endnote>
  <w:endnote w:id="305">
    <w:p w:rsidRPr="008B3D9D" w:rsidR="004D61D2" w:rsidP="004D61D2" w:rsidRDefault="004D61D2" w14:paraId="50C0F906" w14:textId="77777777">
      <w:pPr>
        <w:pStyle w:val="EndnoteText"/>
        <w:rPr>
          <w:lang w:val="en-US"/>
        </w:rPr>
      </w:pPr>
      <w:r>
        <w:rPr>
          <w:rStyle w:val="EndnoteReference"/>
        </w:rPr>
        <w:endnoteRef/>
      </w:r>
      <w:r>
        <w:t xml:space="preserve"> Submission </w:t>
      </w:r>
      <w:r>
        <w:rPr>
          <w:lang w:val="en-US"/>
        </w:rPr>
        <w:t>20,</w:t>
      </w:r>
      <w:r w:rsidRPr="00510F64">
        <w:rPr>
          <w:i/>
          <w:iCs/>
        </w:rPr>
        <w:t xml:space="preserve"> </w:t>
      </w:r>
      <w:r>
        <w:rPr>
          <w:i/>
          <w:iCs/>
        </w:rPr>
        <w:t>Intersex Inquiry,</w:t>
      </w:r>
      <w:r>
        <w:t xml:space="preserve"> </w:t>
      </w:r>
      <w:r>
        <w:rPr>
          <w:lang w:val="en-US"/>
        </w:rPr>
        <w:t xml:space="preserve">6. </w:t>
      </w:r>
    </w:p>
  </w:endnote>
  <w:endnote w:id="306">
    <w:p w:rsidRPr="00BF4AF1" w:rsidR="004D61D2" w:rsidP="004D61D2" w:rsidRDefault="004D61D2" w14:paraId="161E30FA" w14:textId="77777777">
      <w:pPr>
        <w:pStyle w:val="EndnoteText"/>
      </w:pPr>
      <w:r>
        <w:rPr>
          <w:rStyle w:val="EndnoteReference"/>
        </w:rPr>
        <w:endnoteRef/>
      </w:r>
      <w:r>
        <w:t xml:space="preserve"> F</w:t>
      </w:r>
      <w:r w:rsidRPr="00785C52">
        <w:t xml:space="preserve"> Kelly </w:t>
      </w:r>
      <w:r>
        <w:t>and M</w:t>
      </w:r>
      <w:r w:rsidRPr="00785C52">
        <w:t xml:space="preserve"> Smith, </w:t>
      </w:r>
      <w:r>
        <w:t>‘</w:t>
      </w:r>
      <w:r w:rsidRPr="00785C52">
        <w:t>Should court authorisation be required for surgery on intersex children? A critique of the Family Court decision in Re Carla</w:t>
      </w:r>
      <w:r>
        <w:t>’</w:t>
      </w:r>
      <w:r w:rsidRPr="00785C52">
        <w:t xml:space="preserve"> (2017) 31(2) </w:t>
      </w:r>
      <w:r w:rsidRPr="0005546F">
        <w:rPr>
          <w:i/>
          <w:iCs/>
        </w:rPr>
        <w:t>Australian Journal of Family Law</w:t>
      </w:r>
      <w:r w:rsidRPr="00785C52">
        <w:t xml:space="preserve"> </w:t>
      </w:r>
      <w:r>
        <w:t xml:space="preserve">118, 123. </w:t>
      </w:r>
    </w:p>
  </w:endnote>
  <w:endnote w:id="307">
    <w:p w:rsidRPr="001355D3" w:rsidR="004D61D2" w:rsidP="004D61D2" w:rsidRDefault="004D61D2" w14:paraId="1F499979" w14:textId="77777777">
      <w:pPr>
        <w:pStyle w:val="EndnoteText"/>
        <w:rPr>
          <w:rFonts w:cstheme="minorHAnsi"/>
        </w:rPr>
      </w:pPr>
      <w:r w:rsidRPr="001355D3">
        <w:rPr>
          <w:rStyle w:val="EndnoteReference"/>
          <w:rFonts w:cstheme="minorHAnsi"/>
        </w:rPr>
        <w:endnoteRef/>
      </w:r>
      <w:r w:rsidRPr="001355D3">
        <w:rPr>
          <w:rFonts w:cstheme="minorHAnsi"/>
        </w:rPr>
        <w:t xml:space="preserve"> </w:t>
      </w:r>
      <w:r w:rsidRPr="001355D3">
        <w:rPr>
          <w:rFonts w:cstheme="minorHAnsi"/>
          <w:i/>
        </w:rPr>
        <w:t xml:space="preserve">Re Carla (Medical </w:t>
      </w:r>
      <w:r>
        <w:rPr>
          <w:rFonts w:cstheme="minorHAnsi"/>
          <w:i/>
        </w:rPr>
        <w:t>P</w:t>
      </w:r>
      <w:r w:rsidRPr="001355D3">
        <w:rPr>
          <w:rFonts w:cstheme="minorHAnsi"/>
          <w:i/>
        </w:rPr>
        <w:t>rocedure)</w:t>
      </w:r>
      <w:r w:rsidRPr="001355D3">
        <w:rPr>
          <w:rFonts w:cstheme="minorHAnsi"/>
        </w:rPr>
        <w:t xml:space="preserve"> [2016] FamCA 7</w:t>
      </w:r>
      <w:r>
        <w:rPr>
          <w:rFonts w:cstheme="minorHAnsi"/>
        </w:rPr>
        <w:t>,</w:t>
      </w:r>
      <w:r w:rsidRPr="001355D3">
        <w:rPr>
          <w:rFonts w:cstheme="minorHAnsi"/>
        </w:rPr>
        <w:t xml:space="preserve"> </w:t>
      </w:r>
      <w:r>
        <w:rPr>
          <w:rFonts w:cstheme="minorHAnsi"/>
        </w:rPr>
        <w:t>[</w:t>
      </w:r>
      <w:r w:rsidRPr="001355D3">
        <w:rPr>
          <w:rFonts w:cstheme="minorHAnsi"/>
        </w:rPr>
        <w:t>19</w:t>
      </w:r>
      <w:r>
        <w:rPr>
          <w:rFonts w:cstheme="minorHAnsi"/>
        </w:rPr>
        <w:t>].</w:t>
      </w:r>
    </w:p>
  </w:endnote>
  <w:endnote w:id="308">
    <w:p w:rsidRPr="001355D3" w:rsidR="004D61D2" w:rsidP="004D61D2" w:rsidRDefault="004D61D2" w14:paraId="659188B4" w14:textId="77777777">
      <w:pPr>
        <w:pStyle w:val="EndnoteText"/>
        <w:rPr>
          <w:rFonts w:cstheme="minorHAnsi"/>
        </w:rPr>
      </w:pPr>
      <w:r w:rsidRPr="001355D3">
        <w:rPr>
          <w:rStyle w:val="EndnoteReference"/>
          <w:rFonts w:cstheme="minorHAnsi"/>
        </w:rPr>
        <w:endnoteRef/>
      </w:r>
      <w:r w:rsidRPr="001355D3">
        <w:rPr>
          <w:rFonts w:cstheme="minorHAnsi"/>
        </w:rPr>
        <w:t xml:space="preserve"> </w:t>
      </w:r>
      <w:r w:rsidRPr="001355D3">
        <w:rPr>
          <w:rFonts w:cstheme="minorHAnsi"/>
          <w:iCs/>
        </w:rPr>
        <w:t>PA Lee et al, ‘Consensus Statement on Management of Intersex Disorders’ (2006) 118</w:t>
      </w:r>
      <w:r>
        <w:rPr>
          <w:rFonts w:cstheme="minorHAnsi"/>
          <w:iCs/>
        </w:rPr>
        <w:t xml:space="preserve"> </w:t>
      </w:r>
      <w:r w:rsidRPr="001355D3">
        <w:rPr>
          <w:rFonts w:cstheme="minorHAnsi"/>
          <w:i/>
        </w:rPr>
        <w:t>Paediatrics</w:t>
      </w:r>
      <w:r w:rsidRPr="001355D3">
        <w:rPr>
          <w:rFonts w:cstheme="minorHAnsi"/>
          <w:iCs/>
        </w:rPr>
        <w:t xml:space="preserve"> </w:t>
      </w:r>
      <w:r>
        <w:rPr>
          <w:rFonts w:cstheme="minorHAnsi"/>
          <w:iCs/>
        </w:rPr>
        <w:t>14</w:t>
      </w:r>
      <w:r w:rsidRPr="001355D3">
        <w:rPr>
          <w:rFonts w:cstheme="minorHAnsi"/>
          <w:iCs/>
        </w:rPr>
        <w:t>8</w:t>
      </w:r>
      <w:r>
        <w:rPr>
          <w:rFonts w:cstheme="minorHAnsi"/>
          <w:i/>
        </w:rPr>
        <w:t xml:space="preserve">, </w:t>
      </w:r>
      <w:r w:rsidRPr="00D05D72">
        <w:rPr>
          <w:rFonts w:cstheme="minorHAnsi"/>
          <w:iCs/>
        </w:rPr>
        <w:t>155</w:t>
      </w:r>
      <w:r>
        <w:rPr>
          <w:rFonts w:cstheme="minorHAnsi"/>
          <w:i/>
        </w:rPr>
        <w:t>.</w:t>
      </w:r>
    </w:p>
  </w:endnote>
  <w:endnote w:id="309">
    <w:p w:rsidRPr="00134EA6" w:rsidR="004D61D2" w:rsidP="004D61D2" w:rsidRDefault="004D61D2" w14:paraId="1B3641C0" w14:textId="77777777">
      <w:pPr>
        <w:pStyle w:val="EndnoteText"/>
      </w:pPr>
      <w:r>
        <w:rPr>
          <w:rStyle w:val="EndnoteReference"/>
        </w:rPr>
        <w:endnoteRef/>
      </w:r>
      <w:r>
        <w:rPr>
          <w:rFonts w:cstheme="minorHAnsi"/>
          <w:iCs/>
        </w:rPr>
        <w:t xml:space="preserve"> </w:t>
      </w:r>
      <w:r w:rsidRPr="00B90FC0">
        <w:rPr>
          <w:rFonts w:cstheme="minorHAnsi"/>
          <w:iCs/>
        </w:rPr>
        <w:t>PA Lee et al, ‘Consensus Statement on Management of Intersex Disorders’ (2006) 118</w:t>
      </w:r>
      <w:r>
        <w:rPr>
          <w:rFonts w:cstheme="minorHAnsi"/>
          <w:iCs/>
        </w:rPr>
        <w:t xml:space="preserve"> </w:t>
      </w:r>
      <w:r w:rsidRPr="00B90FC0">
        <w:rPr>
          <w:rFonts w:cstheme="minorHAnsi"/>
          <w:iCs/>
        </w:rPr>
        <w:t xml:space="preserve">Paediatrics </w:t>
      </w:r>
      <w:r>
        <w:rPr>
          <w:rFonts w:cstheme="minorHAnsi"/>
          <w:iCs/>
        </w:rPr>
        <w:t>148, 155.</w:t>
      </w:r>
    </w:p>
  </w:endnote>
  <w:endnote w:id="310">
    <w:p w:rsidRPr="001355D3" w:rsidR="004D61D2" w:rsidP="004D61D2" w:rsidRDefault="004D61D2" w14:paraId="0B852CDC" w14:textId="77777777">
      <w:pPr>
        <w:pStyle w:val="EndnoteText"/>
        <w:rPr>
          <w:rFonts w:cstheme="minorHAnsi"/>
        </w:rPr>
      </w:pPr>
      <w:r w:rsidRPr="001355D3">
        <w:rPr>
          <w:rStyle w:val="EndnoteReference"/>
          <w:rFonts w:cstheme="minorHAnsi"/>
        </w:rPr>
        <w:endnoteRef/>
      </w:r>
      <w:r w:rsidRPr="001355D3">
        <w:rPr>
          <w:rFonts w:cstheme="minorHAnsi"/>
        </w:rPr>
        <w:t xml:space="preserve"> J Pleskacova et al, ‘Tumor Risk in Disorders of Sex Development’ (2010) 4(4–5) </w:t>
      </w:r>
      <w:r w:rsidRPr="001355D3">
        <w:rPr>
          <w:rFonts w:cstheme="minorHAnsi"/>
          <w:i/>
          <w:iCs/>
        </w:rPr>
        <w:t>Sexual</w:t>
      </w:r>
      <w:r>
        <w:rPr>
          <w:rFonts w:cstheme="minorHAnsi"/>
          <w:i/>
          <w:iCs/>
        </w:rPr>
        <w:t xml:space="preserve"> </w:t>
      </w:r>
      <w:r w:rsidRPr="001355D3">
        <w:rPr>
          <w:rFonts w:cstheme="minorHAnsi"/>
          <w:i/>
          <w:iCs/>
        </w:rPr>
        <w:t xml:space="preserve">Development </w:t>
      </w:r>
      <w:r w:rsidRPr="001355D3">
        <w:rPr>
          <w:rFonts w:cstheme="minorHAnsi"/>
        </w:rPr>
        <w:t>7</w:t>
      </w:r>
      <w:r>
        <w:rPr>
          <w:rFonts w:cstheme="minorHAnsi"/>
        </w:rPr>
        <w:t>.</w:t>
      </w:r>
      <w:r w:rsidRPr="001355D3">
        <w:rPr>
          <w:rFonts w:cstheme="minorHAnsi"/>
        </w:rPr>
        <w:t xml:space="preserve"> </w:t>
      </w:r>
    </w:p>
  </w:endnote>
  <w:endnote w:id="311">
    <w:p w:rsidRPr="003E5D16" w:rsidR="004D61D2" w:rsidP="004D61D2" w:rsidRDefault="004D61D2" w14:paraId="0F1699B0" w14:textId="77777777">
      <w:pPr>
        <w:pStyle w:val="EndnoteText"/>
      </w:pPr>
      <w:r w:rsidRPr="001355D3">
        <w:rPr>
          <w:rStyle w:val="EndnoteReference"/>
          <w:rFonts w:cstheme="minorHAnsi"/>
        </w:rPr>
        <w:endnoteRef/>
      </w:r>
      <w:r w:rsidRPr="001355D3">
        <w:rPr>
          <w:rFonts w:cstheme="minorHAnsi"/>
        </w:rPr>
        <w:t xml:space="preserve"> M Cools, et al, ‘Gonadal development and tumor formation at the crossroads of male and</w:t>
      </w:r>
      <w:r>
        <w:rPr>
          <w:rFonts w:cstheme="minorHAnsi"/>
        </w:rPr>
        <w:t xml:space="preserve"> </w:t>
      </w:r>
      <w:r w:rsidRPr="001355D3">
        <w:rPr>
          <w:rFonts w:cstheme="minorHAnsi"/>
        </w:rPr>
        <w:t xml:space="preserve">female sex determination’ (2011) 5 </w:t>
      </w:r>
      <w:r w:rsidRPr="001355D3">
        <w:rPr>
          <w:rFonts w:cstheme="minorHAnsi"/>
          <w:i/>
          <w:iCs/>
        </w:rPr>
        <w:t xml:space="preserve">Sexual Development </w:t>
      </w:r>
      <w:r w:rsidRPr="001355D3">
        <w:rPr>
          <w:rFonts w:cstheme="minorHAnsi"/>
        </w:rPr>
        <w:t>167, 178.</w:t>
      </w:r>
    </w:p>
  </w:endnote>
  <w:endnote w:id="312">
    <w:p w:rsidRPr="00EB71F1" w:rsidR="004D61D2" w:rsidP="004D61D2" w:rsidRDefault="004D61D2" w14:paraId="7112BD64" w14:textId="77777777">
      <w:pPr>
        <w:pStyle w:val="EndnoteText"/>
        <w:tabs>
          <w:tab w:val="left" w:pos="2304"/>
        </w:tabs>
        <w:rPr>
          <w:lang w:val="en-US"/>
        </w:rPr>
      </w:pPr>
      <w:r>
        <w:rPr>
          <w:rStyle w:val="EndnoteReference"/>
        </w:rPr>
        <w:endnoteRef/>
      </w:r>
      <w:r>
        <w:t xml:space="preserve"> Submission 68,</w:t>
      </w:r>
      <w:r w:rsidRPr="00510F64">
        <w:rPr>
          <w:i/>
          <w:iCs/>
        </w:rPr>
        <w:t xml:space="preserve"> </w:t>
      </w:r>
      <w:r>
        <w:rPr>
          <w:i/>
          <w:iCs/>
        </w:rPr>
        <w:t>Intersex Inquiry,</w:t>
      </w:r>
      <w:r>
        <w:t xml:space="preserve"> 3; </w:t>
      </w:r>
      <w:r w:rsidRPr="008410A3">
        <w:t>Western Australian Multidisciplinary DSD Team</w:t>
      </w:r>
      <w:r>
        <w:t>, Submission 23,</w:t>
      </w:r>
      <w:r w:rsidRPr="00510F64">
        <w:rPr>
          <w:i/>
          <w:iCs/>
        </w:rPr>
        <w:t xml:space="preserve"> </w:t>
      </w:r>
      <w:r>
        <w:rPr>
          <w:i/>
          <w:iCs/>
        </w:rPr>
        <w:t>Intersex Inquiry,</w:t>
      </w:r>
      <w:r>
        <w:t xml:space="preserve"> 1;</w:t>
      </w:r>
      <w:r w:rsidRPr="00210AF0">
        <w:t xml:space="preserve"> </w:t>
      </w:r>
      <w:r w:rsidRPr="008410A3">
        <w:t>NHMRC funded research program</w:t>
      </w:r>
      <w:r>
        <w:t>, Submission 30,</w:t>
      </w:r>
      <w:r w:rsidRPr="00510F64">
        <w:rPr>
          <w:i/>
          <w:iCs/>
        </w:rPr>
        <w:t xml:space="preserve"> </w:t>
      </w:r>
      <w:r>
        <w:rPr>
          <w:i/>
          <w:iCs/>
        </w:rPr>
        <w:t>Intersex Inquiry,</w:t>
      </w:r>
      <w:r>
        <w:t xml:space="preserve"> 4. </w:t>
      </w:r>
    </w:p>
  </w:endnote>
  <w:endnote w:id="313">
    <w:p w:rsidR="004D61D2" w:rsidP="004D61D2" w:rsidRDefault="004D61D2" w14:paraId="76F897F7" w14:textId="77777777">
      <w:pPr>
        <w:pStyle w:val="EndnoteText"/>
      </w:pPr>
      <w:r>
        <w:rPr>
          <w:rStyle w:val="EndnoteReference"/>
        </w:rPr>
        <w:endnoteRef/>
      </w:r>
      <w:r>
        <w:t xml:space="preserve"> Submission 55,</w:t>
      </w:r>
      <w:r w:rsidRPr="00510F64">
        <w:rPr>
          <w:i/>
          <w:iCs/>
        </w:rPr>
        <w:t xml:space="preserve"> </w:t>
      </w:r>
      <w:r>
        <w:rPr>
          <w:i/>
          <w:iCs/>
        </w:rPr>
        <w:t>Intersex Inquiry,</w:t>
      </w:r>
      <w:r>
        <w:t xml:space="preserve"> 2. </w:t>
      </w:r>
    </w:p>
  </w:endnote>
  <w:endnote w:id="314">
    <w:p w:rsidRPr="00EB71F1" w:rsidR="004D61D2" w:rsidP="004D61D2" w:rsidRDefault="004D61D2" w14:paraId="39EADBA3" w14:textId="77777777">
      <w:pPr>
        <w:pStyle w:val="EndnoteText"/>
        <w:rPr>
          <w:lang w:val="en-US"/>
        </w:rPr>
      </w:pPr>
      <w:r>
        <w:rPr>
          <w:rStyle w:val="EndnoteReference"/>
        </w:rPr>
        <w:endnoteRef/>
      </w:r>
      <w:r>
        <w:t xml:space="preserve"> Intersex Human Rights Australian, Submission 40,</w:t>
      </w:r>
      <w:r w:rsidRPr="00510F64">
        <w:rPr>
          <w:i/>
          <w:iCs/>
        </w:rPr>
        <w:t xml:space="preserve"> </w:t>
      </w:r>
      <w:r>
        <w:rPr>
          <w:i/>
          <w:iCs/>
        </w:rPr>
        <w:t>Intersex Inquiry,</w:t>
      </w:r>
      <w:r>
        <w:t xml:space="preserve"> 61–</w:t>
      </w:r>
      <w:r>
        <w:rPr>
          <w:lang w:val="en-US"/>
        </w:rPr>
        <w:t>62.</w:t>
      </w:r>
    </w:p>
  </w:endnote>
  <w:endnote w:id="315">
    <w:p w:rsidR="004D61D2" w:rsidP="004D61D2" w:rsidRDefault="004D61D2" w14:paraId="01F8CE44" w14:textId="77777777">
      <w:pPr>
        <w:pStyle w:val="EndnoteText"/>
      </w:pPr>
      <w:r>
        <w:rPr>
          <w:rStyle w:val="EndnoteReference"/>
        </w:rPr>
        <w:endnoteRef/>
      </w:r>
      <w:r>
        <w:t xml:space="preserve"> Intersex Human Rights Australian, Submission 40,</w:t>
      </w:r>
      <w:r w:rsidRPr="00510F64">
        <w:rPr>
          <w:i/>
          <w:iCs/>
        </w:rPr>
        <w:t xml:space="preserve"> </w:t>
      </w:r>
      <w:r>
        <w:rPr>
          <w:i/>
          <w:iCs/>
        </w:rPr>
        <w:t>Intersex Inquiry,</w:t>
      </w:r>
      <w:r>
        <w:t xml:space="preserve"> 61.</w:t>
      </w:r>
    </w:p>
  </w:endnote>
  <w:endnote w:id="316">
    <w:p w:rsidR="004D61D2" w:rsidP="004D61D2" w:rsidRDefault="004D61D2" w14:paraId="410DB635" w14:textId="77777777">
      <w:pPr>
        <w:pStyle w:val="EndnoteText"/>
      </w:pPr>
      <w:r>
        <w:rPr>
          <w:rStyle w:val="EndnoteReference"/>
        </w:rPr>
        <w:endnoteRef/>
      </w:r>
      <w:r>
        <w:t xml:space="preserve"> </w:t>
      </w:r>
      <w:r w:rsidRPr="00157173">
        <w:t xml:space="preserve">Senate Community Affairs References Committee, Parliament of Australia, Involuntary or Coerced Sterilisation of Intersex People in Australia (2013), </w:t>
      </w:r>
      <w:r>
        <w:t>88 &lt;</w:t>
      </w:r>
      <w:hyperlink w:history="1" r:id="rId31">
        <w:r w:rsidRPr="00F66FE2">
          <w:rPr>
            <w:rStyle w:val="Hyperlink"/>
          </w:rPr>
          <w:t>Http://Www.Aph.Gov.Au/Parliamentary_Business/Committees/Senate/Community_Affairs/Involuntary_Sterilisation/Sec_Report/~/Media/Committees/Senate/Committee/Clac_ctte/Involuntary_sterilisation/Second_report/Report.Ashx.</w:t>
        </w:r>
      </w:hyperlink>
      <w:r>
        <w:t>&gt;.</w:t>
      </w:r>
    </w:p>
  </w:endnote>
  <w:endnote w:id="317">
    <w:p w:rsidR="004D61D2" w:rsidP="004D61D2" w:rsidRDefault="004D61D2" w14:paraId="4613EF3D" w14:textId="77777777">
      <w:pPr>
        <w:pStyle w:val="EndnoteText"/>
      </w:pPr>
      <w:r>
        <w:rPr>
          <w:rStyle w:val="EndnoteReference"/>
        </w:rPr>
        <w:endnoteRef/>
      </w:r>
      <w:r>
        <w:t xml:space="preserve"> </w:t>
      </w:r>
      <w:bookmarkStart w:name="_Hlk28859526" w:id="299"/>
      <w:r w:rsidRPr="00157173">
        <w:t xml:space="preserve">Senate Community Affairs References Committee, Parliament of Australia, </w:t>
      </w:r>
      <w:r w:rsidRPr="007B5C5B">
        <w:rPr>
          <w:i/>
          <w:iCs/>
        </w:rPr>
        <w:t>Involuntary or Coerced Sterilisation of Intersex People in Australia</w:t>
      </w:r>
      <w:r w:rsidRPr="00157173">
        <w:t xml:space="preserve"> (2013), </w:t>
      </w:r>
      <w:r>
        <w:t>74 &lt;</w:t>
      </w:r>
      <w:hyperlink w:history="1" r:id="rId32">
        <w:r w:rsidRPr="00F66FE2">
          <w:rPr>
            <w:rStyle w:val="Hyperlink"/>
          </w:rPr>
          <w:t>Http://Www.Aph.Gov.Au/Parliamentary_Business/Committees/Senate/Community_Affairs/Involuntary_Sterilisation/Sec_Report/~/Media/Committees/Senate/Committee/Clac_ctte/Involuntary_sterilisation/Second_report/Report.Ashx.</w:t>
        </w:r>
      </w:hyperlink>
      <w:bookmarkEnd w:id="299"/>
      <w:r>
        <w:t>&gt;</w:t>
      </w:r>
    </w:p>
  </w:endnote>
  <w:endnote w:id="318">
    <w:p w:rsidRPr="003A0FE3" w:rsidR="004D61D2" w:rsidP="004D61D2" w:rsidRDefault="004D61D2" w14:paraId="05CDDBCB" w14:textId="77777777">
      <w:pPr>
        <w:pStyle w:val="EndnoteText"/>
        <w:rPr>
          <w:lang w:val="en-US"/>
        </w:rPr>
      </w:pPr>
      <w:r>
        <w:rPr>
          <w:rStyle w:val="EndnoteReference"/>
        </w:rPr>
        <w:endnoteRef/>
      </w:r>
      <w:r>
        <w:t xml:space="preserve"> </w:t>
      </w:r>
      <w:r w:rsidRPr="00CB4F30">
        <w:rPr>
          <w:rFonts w:cs="Open Sans"/>
        </w:rPr>
        <w:t xml:space="preserve">IA Hughes et al, ‘Consensus statement on management of intersex disorders’ (2006) 2 </w:t>
      </w:r>
      <w:r w:rsidRPr="00CB4F30">
        <w:rPr>
          <w:rFonts w:cs="Open Sans"/>
          <w:i/>
        </w:rPr>
        <w:t xml:space="preserve">Journal of Pediatric Urology </w:t>
      </w:r>
      <w:r w:rsidRPr="00CB4F30">
        <w:rPr>
          <w:rFonts w:cs="Open Sans"/>
        </w:rPr>
        <w:t>148, 1</w:t>
      </w:r>
      <w:r>
        <w:rPr>
          <w:rFonts w:cs="Open Sans"/>
        </w:rPr>
        <w:t>55.</w:t>
      </w:r>
    </w:p>
  </w:endnote>
  <w:endnote w:id="319">
    <w:p w:rsidRPr="001E658B" w:rsidR="004D61D2" w:rsidP="004D61D2" w:rsidRDefault="004D61D2" w14:paraId="4575AC0D" w14:textId="77777777">
      <w:pPr>
        <w:pStyle w:val="EndnoteText"/>
        <w:rPr>
          <w:lang w:val="en-US"/>
        </w:rPr>
      </w:pPr>
      <w:r>
        <w:rPr>
          <w:rStyle w:val="EndnoteReference"/>
        </w:rPr>
        <w:endnoteRef/>
      </w:r>
      <w:r>
        <w:t xml:space="preserve"> T</w:t>
      </w:r>
      <w:r w:rsidRPr="00CB6956">
        <w:t xml:space="preserve">he 2016 update recommends orchiopexy – where the testis/es is/are anchored to the scrotal wall – biopsy, self-examination and annual ultra-sound post puberty.  </w:t>
      </w:r>
    </w:p>
  </w:endnote>
  <w:endnote w:id="320">
    <w:p w:rsidRPr="007E4C30" w:rsidR="004D61D2" w:rsidP="004D61D2" w:rsidRDefault="004D61D2" w14:paraId="4E563621" w14:textId="77777777">
      <w:pPr>
        <w:pStyle w:val="EndnoteText"/>
        <w:rPr>
          <w:lang w:val="en-US"/>
        </w:rPr>
      </w:pPr>
      <w:r>
        <w:rPr>
          <w:rStyle w:val="EndnoteReference"/>
        </w:rPr>
        <w:endnoteRef/>
      </w:r>
      <w:r>
        <w:t xml:space="preserve"> Submission 20,</w:t>
      </w:r>
      <w:r w:rsidRPr="00570721">
        <w:rPr>
          <w:i/>
          <w:iCs/>
        </w:rPr>
        <w:t xml:space="preserve"> </w:t>
      </w:r>
      <w:r>
        <w:rPr>
          <w:i/>
          <w:iCs/>
        </w:rPr>
        <w:t>Intersex Inquiry,</w:t>
      </w:r>
      <w:r>
        <w:t xml:space="preserve"> </w:t>
      </w:r>
      <w:r>
        <w:rPr>
          <w:lang w:val="en-US"/>
        </w:rPr>
        <w:t xml:space="preserve">6. </w:t>
      </w:r>
    </w:p>
  </w:endnote>
  <w:endnote w:id="321">
    <w:p w:rsidRPr="003A0FE3" w:rsidR="004D61D2" w:rsidP="004D61D2" w:rsidRDefault="004D61D2" w14:paraId="5C676DCC" w14:textId="77777777">
      <w:pPr>
        <w:pStyle w:val="EndnoteText"/>
        <w:rPr>
          <w:lang w:val="en-US"/>
        </w:rPr>
      </w:pPr>
      <w:r>
        <w:rPr>
          <w:rStyle w:val="EndnoteReference"/>
        </w:rPr>
        <w:endnoteRef/>
      </w:r>
      <w:r>
        <w:t xml:space="preserve"> </w:t>
      </w:r>
      <w:r>
        <w:rPr>
          <w:rFonts w:cs="Open Sans"/>
        </w:rPr>
        <w:t>IA</w:t>
      </w:r>
      <w:r w:rsidRPr="00CB4F30">
        <w:rPr>
          <w:rFonts w:cs="Open Sans"/>
        </w:rPr>
        <w:t xml:space="preserve"> Hughes et al, ‘Consensus statement on management of intersex disorders’ (2006) 2 </w:t>
      </w:r>
      <w:r w:rsidRPr="00CB4F30">
        <w:rPr>
          <w:rFonts w:cs="Open Sans"/>
          <w:i/>
        </w:rPr>
        <w:t xml:space="preserve">Journal of Pediatric Urology </w:t>
      </w:r>
      <w:r w:rsidRPr="00CB4F30">
        <w:rPr>
          <w:rFonts w:cs="Open Sans"/>
        </w:rPr>
        <w:t>148, 1</w:t>
      </w:r>
      <w:r>
        <w:rPr>
          <w:rFonts w:cs="Open Sans"/>
        </w:rPr>
        <w:t>55.</w:t>
      </w:r>
    </w:p>
  </w:endnote>
  <w:endnote w:id="322">
    <w:p w:rsidRPr="00131E0D" w:rsidR="004D61D2" w:rsidP="004D61D2" w:rsidRDefault="004D61D2" w14:paraId="06EC14D6" w14:textId="77777777">
      <w:pPr>
        <w:pStyle w:val="EndnoteText"/>
        <w:rPr>
          <w:lang w:val="en-US"/>
        </w:rPr>
      </w:pPr>
      <w:r>
        <w:rPr>
          <w:rStyle w:val="EndnoteReference"/>
        </w:rPr>
        <w:endnoteRef/>
      </w:r>
      <w:r>
        <w:t xml:space="preserve"> </w:t>
      </w:r>
      <w:r w:rsidRPr="00157173">
        <w:t xml:space="preserve">Senate Community Affairs References Committee, Parliament of Australia, Involuntary or Coerced Sterilisation of Intersex People in Australia (2013), </w:t>
      </w:r>
      <w:r>
        <w:t>88 &lt;</w:t>
      </w:r>
      <w:hyperlink w:history="1" r:id="rId33">
        <w:r w:rsidRPr="00F66FE2">
          <w:rPr>
            <w:rStyle w:val="Hyperlink"/>
          </w:rPr>
          <w:t>Http://Www.Aph.Gov.Au/Parliamentary_Business/Committees/Senate/Community_Affairs/Involuntary_Sterilisation/Sec_Report/~/Media/Committees/Senate/Committee/Clac_ctte/Involuntary_sterilisation/Second_report/Report.Ashx.</w:t>
        </w:r>
      </w:hyperlink>
      <w:r>
        <w:t>&gt;.</w:t>
      </w:r>
    </w:p>
  </w:endnote>
  <w:endnote w:id="323">
    <w:p w:rsidRPr="009819BE" w:rsidR="004D61D2" w:rsidP="004D61D2" w:rsidRDefault="004D61D2" w14:paraId="29E81489" w14:textId="77777777">
      <w:pPr>
        <w:pStyle w:val="EndnoteText"/>
        <w:rPr>
          <w:lang w:val="en-US"/>
        </w:rPr>
      </w:pPr>
      <w:r>
        <w:rPr>
          <w:rStyle w:val="EndnoteReference"/>
        </w:rPr>
        <w:endnoteRef/>
      </w:r>
      <w:r>
        <w:t xml:space="preserve"> </w:t>
      </w:r>
      <w:r>
        <w:rPr>
          <w:lang w:val="en-US"/>
        </w:rPr>
        <w:t>Submission 68,</w:t>
      </w:r>
      <w:r w:rsidRPr="00570721">
        <w:rPr>
          <w:i/>
          <w:iCs/>
        </w:rPr>
        <w:t xml:space="preserve"> </w:t>
      </w:r>
      <w:r>
        <w:rPr>
          <w:i/>
          <w:iCs/>
        </w:rPr>
        <w:t>Intersex Inquiry,</w:t>
      </w:r>
      <w:r>
        <w:t xml:space="preserve"> </w:t>
      </w:r>
      <w:r>
        <w:rPr>
          <w:lang w:val="en-US"/>
        </w:rPr>
        <w:t>2.</w:t>
      </w:r>
    </w:p>
  </w:endnote>
  <w:endnote w:id="324">
    <w:p w:rsidRPr="00E80937" w:rsidR="004D61D2" w:rsidP="004D61D2" w:rsidRDefault="004D61D2" w14:paraId="4768877D" w14:textId="77777777">
      <w:pPr>
        <w:pStyle w:val="EndnoteText"/>
      </w:pPr>
      <w:r w:rsidRPr="00E80937">
        <w:rPr>
          <w:rStyle w:val="EndnoteReference"/>
        </w:rPr>
        <w:endnoteRef/>
      </w:r>
      <w:r w:rsidRPr="00E80937">
        <w:t xml:space="preserve"> </w:t>
      </w:r>
      <w:r>
        <w:t xml:space="preserve">Submission </w:t>
      </w:r>
      <w:r w:rsidRPr="00E80937">
        <w:t>36,</w:t>
      </w:r>
      <w:r w:rsidRPr="00570721">
        <w:rPr>
          <w:i/>
          <w:iCs/>
        </w:rPr>
        <w:t xml:space="preserve"> </w:t>
      </w:r>
      <w:r>
        <w:rPr>
          <w:i/>
          <w:iCs/>
        </w:rPr>
        <w:t>Intersex Inquiry,</w:t>
      </w:r>
      <w:r>
        <w:t xml:space="preserve"> 2; Submission </w:t>
      </w:r>
      <w:r w:rsidRPr="00E80937">
        <w:t>60,</w:t>
      </w:r>
      <w:r w:rsidRPr="008C5AA1">
        <w:rPr>
          <w:i/>
          <w:iCs/>
        </w:rPr>
        <w:t xml:space="preserve"> </w:t>
      </w:r>
      <w:r>
        <w:rPr>
          <w:i/>
          <w:iCs/>
        </w:rPr>
        <w:t>Intersex Inquiry</w:t>
      </w:r>
      <w:r w:rsidRPr="008C5AA1">
        <w:t>;</w:t>
      </w:r>
      <w:r>
        <w:t xml:space="preserve"> Submission 38,</w:t>
      </w:r>
      <w:r w:rsidRPr="008C5AA1">
        <w:rPr>
          <w:i/>
          <w:iCs/>
        </w:rPr>
        <w:t xml:space="preserve"> </w:t>
      </w:r>
      <w:r>
        <w:rPr>
          <w:i/>
          <w:iCs/>
        </w:rPr>
        <w:t>Intersex Inquiry</w:t>
      </w:r>
      <w:r>
        <w:t>;</w:t>
      </w:r>
      <w:r w:rsidRPr="00E80937">
        <w:t xml:space="preserve"> </w:t>
      </w:r>
      <w:r>
        <w:t xml:space="preserve">Submission </w:t>
      </w:r>
      <w:r w:rsidRPr="00E80937">
        <w:t>56</w:t>
      </w:r>
      <w:r>
        <w:t>,</w:t>
      </w:r>
      <w:r w:rsidRPr="008C5AA1">
        <w:rPr>
          <w:i/>
          <w:iCs/>
        </w:rPr>
        <w:t xml:space="preserve"> </w:t>
      </w:r>
      <w:r>
        <w:rPr>
          <w:i/>
          <w:iCs/>
        </w:rPr>
        <w:t>Intersex Inquiry,</w:t>
      </w:r>
      <w:r>
        <w:t xml:space="preserve"> </w:t>
      </w:r>
      <w:r w:rsidRPr="00E80937">
        <w:t>7</w:t>
      </w:r>
      <w:r>
        <w:t>;</w:t>
      </w:r>
      <w:r w:rsidRPr="00E80937">
        <w:t xml:space="preserve"> </w:t>
      </w:r>
      <w:r>
        <w:t xml:space="preserve">Submission </w:t>
      </w:r>
      <w:r w:rsidRPr="00E80937">
        <w:t>41</w:t>
      </w:r>
      <w:r>
        <w:t>,</w:t>
      </w:r>
      <w:r w:rsidRPr="00C06B69">
        <w:rPr>
          <w:i/>
          <w:iCs/>
        </w:rPr>
        <w:t xml:space="preserve"> </w:t>
      </w:r>
      <w:r>
        <w:rPr>
          <w:i/>
          <w:iCs/>
        </w:rPr>
        <w:t>Intersex Inquiry,</w:t>
      </w:r>
      <w:r>
        <w:t xml:space="preserve"> </w:t>
      </w:r>
      <w:r w:rsidRPr="00E80937">
        <w:t>7</w:t>
      </w:r>
      <w:r>
        <w:t>–</w:t>
      </w:r>
      <w:r w:rsidRPr="00E80937">
        <w:t>8</w:t>
      </w:r>
      <w:r>
        <w:t>;</w:t>
      </w:r>
      <w:r w:rsidRPr="00E80937">
        <w:t xml:space="preserve"> </w:t>
      </w:r>
      <w:r>
        <w:t xml:space="preserve">Submission </w:t>
      </w:r>
      <w:r w:rsidRPr="00E80937">
        <w:t>45</w:t>
      </w:r>
      <w:r>
        <w:t>,</w:t>
      </w:r>
      <w:r w:rsidRPr="00C06B69">
        <w:rPr>
          <w:i/>
          <w:iCs/>
        </w:rPr>
        <w:t xml:space="preserve"> </w:t>
      </w:r>
      <w:r>
        <w:rPr>
          <w:i/>
          <w:iCs/>
        </w:rPr>
        <w:t>Intersex Inquiry,</w:t>
      </w:r>
      <w:r>
        <w:t xml:space="preserve"> </w:t>
      </w:r>
      <w:r w:rsidRPr="00E80937">
        <w:t>3</w:t>
      </w:r>
      <w:r>
        <w:t>;</w:t>
      </w:r>
      <w:r w:rsidRPr="00E80937">
        <w:t xml:space="preserve"> </w:t>
      </w:r>
      <w:r>
        <w:t xml:space="preserve">Submission </w:t>
      </w:r>
      <w:r w:rsidRPr="00E80937">
        <w:t>59</w:t>
      </w:r>
      <w:r>
        <w:t>,</w:t>
      </w:r>
      <w:r w:rsidRPr="00C06B69">
        <w:rPr>
          <w:i/>
          <w:iCs/>
        </w:rPr>
        <w:t xml:space="preserve"> </w:t>
      </w:r>
      <w:r>
        <w:rPr>
          <w:i/>
          <w:iCs/>
        </w:rPr>
        <w:t>Intersex Inquiry,</w:t>
      </w:r>
      <w:r>
        <w:t xml:space="preserve"> </w:t>
      </w:r>
      <w:r w:rsidRPr="00E80937">
        <w:t>1</w:t>
      </w:r>
      <w:r>
        <w:t>;</w:t>
      </w:r>
      <w:r w:rsidRPr="00E80937">
        <w:t xml:space="preserve"> </w:t>
      </w:r>
      <w:r>
        <w:t xml:space="preserve">Submission </w:t>
      </w:r>
      <w:r w:rsidRPr="00E80937">
        <w:t>70</w:t>
      </w:r>
      <w:r>
        <w:t xml:space="preserve">, </w:t>
      </w:r>
      <w:r>
        <w:rPr>
          <w:i/>
          <w:iCs/>
        </w:rPr>
        <w:t>Intersex Inquiry,</w:t>
      </w:r>
      <w:r>
        <w:t xml:space="preserve"> </w:t>
      </w:r>
      <w:r w:rsidRPr="00E80937">
        <w:t>1</w:t>
      </w:r>
      <w:r>
        <w:t>;</w:t>
      </w:r>
      <w:r w:rsidRPr="00E80937">
        <w:t xml:space="preserve"> </w:t>
      </w:r>
      <w:r>
        <w:t xml:space="preserve">Submission </w:t>
      </w:r>
      <w:r w:rsidRPr="00E80937">
        <w:t>33</w:t>
      </w:r>
      <w:r>
        <w:t>,</w:t>
      </w:r>
      <w:r w:rsidRPr="00C3379A">
        <w:rPr>
          <w:i/>
          <w:iCs/>
        </w:rPr>
        <w:t xml:space="preserve"> </w:t>
      </w:r>
      <w:r>
        <w:rPr>
          <w:i/>
          <w:iCs/>
        </w:rPr>
        <w:t>Intersex Inquiry</w:t>
      </w:r>
      <w:r>
        <w:t>.</w:t>
      </w:r>
    </w:p>
  </w:endnote>
  <w:endnote w:id="325">
    <w:p w:rsidRPr="00E80937" w:rsidR="004D61D2" w:rsidP="004D61D2" w:rsidRDefault="004D61D2" w14:paraId="10229756" w14:textId="77777777">
      <w:pPr>
        <w:pStyle w:val="EndnoteText"/>
      </w:pPr>
      <w:r w:rsidRPr="00E80937">
        <w:rPr>
          <w:rStyle w:val="EndnoteReference"/>
        </w:rPr>
        <w:endnoteRef/>
      </w:r>
      <w:r w:rsidRPr="00E80937">
        <w:t xml:space="preserve"> </w:t>
      </w:r>
      <w:r>
        <w:t>Submission</w:t>
      </w:r>
      <w:r w:rsidRPr="00E80937">
        <w:t xml:space="preserve"> 36</w:t>
      </w:r>
      <w:r>
        <w:t>,</w:t>
      </w:r>
      <w:r w:rsidRPr="00C3379A">
        <w:rPr>
          <w:i/>
          <w:iCs/>
        </w:rPr>
        <w:t xml:space="preserve"> </w:t>
      </w:r>
      <w:r>
        <w:rPr>
          <w:i/>
          <w:iCs/>
        </w:rPr>
        <w:t>Intersex Inquiry,</w:t>
      </w:r>
      <w:r>
        <w:t xml:space="preserve"> 19;</w:t>
      </w:r>
      <w:r w:rsidRPr="00E80937">
        <w:t xml:space="preserve"> </w:t>
      </w:r>
      <w:r>
        <w:t xml:space="preserve">Submission </w:t>
      </w:r>
      <w:r w:rsidRPr="00E80937">
        <w:t>67</w:t>
      </w:r>
      <w:r>
        <w:t>,</w:t>
      </w:r>
      <w:r w:rsidRPr="00C3379A">
        <w:rPr>
          <w:i/>
          <w:iCs/>
        </w:rPr>
        <w:t xml:space="preserve"> </w:t>
      </w:r>
      <w:r>
        <w:rPr>
          <w:i/>
          <w:iCs/>
        </w:rPr>
        <w:t>Intersex Inquiry</w:t>
      </w:r>
      <w:r>
        <w:t>.</w:t>
      </w:r>
    </w:p>
  </w:endnote>
  <w:endnote w:id="326">
    <w:p w:rsidRPr="00E80937" w:rsidR="004D61D2" w:rsidP="004D61D2" w:rsidRDefault="004D61D2" w14:paraId="1A147850" w14:textId="77777777">
      <w:pPr>
        <w:pStyle w:val="EndnoteText"/>
        <w:rPr>
          <w:lang w:val="en-US"/>
        </w:rPr>
      </w:pPr>
      <w:r w:rsidRPr="00E80937">
        <w:rPr>
          <w:rStyle w:val="EndnoteReference"/>
        </w:rPr>
        <w:endnoteRef/>
      </w:r>
      <w:r w:rsidRPr="00E80937">
        <w:t xml:space="preserve"> </w:t>
      </w:r>
      <w:r>
        <w:rPr>
          <w:lang w:val="en-US"/>
        </w:rPr>
        <w:t xml:space="preserve">Morgan </w:t>
      </w:r>
      <w:r w:rsidRPr="00E80937">
        <w:rPr>
          <w:lang w:val="en-US"/>
        </w:rPr>
        <w:t>Carpenter, presentation to Health in Difference Conference, 2013</w:t>
      </w:r>
      <w:r>
        <w:rPr>
          <w:lang w:val="en-US"/>
        </w:rPr>
        <w:t xml:space="preserve"> &lt;</w:t>
      </w:r>
      <w:r w:rsidRPr="00820F17">
        <w:t xml:space="preserve"> </w:t>
      </w:r>
      <w:hyperlink w:history="1" r:id="rId34">
        <w:r w:rsidRPr="00F66FE2">
          <w:rPr>
            <w:rStyle w:val="Hyperlink"/>
            <w:lang w:val="en-US"/>
          </w:rPr>
          <w:t>https://ihra.org.au/22160/intersex-health-hid2013-plenary/</w:t>
        </w:r>
      </w:hyperlink>
      <w:r>
        <w:rPr>
          <w:lang w:val="en-US"/>
        </w:rPr>
        <w:t xml:space="preserve">&gt;. </w:t>
      </w:r>
    </w:p>
  </w:endnote>
  <w:endnote w:id="327">
    <w:p w:rsidR="004D61D2" w:rsidP="004D61D2" w:rsidRDefault="004D61D2" w14:paraId="1E586623" w14:textId="77777777">
      <w:pPr>
        <w:pStyle w:val="EndnoteText"/>
      </w:pPr>
      <w:r>
        <w:rPr>
          <w:rStyle w:val="EndnoteReference"/>
        </w:rPr>
        <w:endnoteRef/>
      </w:r>
      <w:r>
        <w:t xml:space="preserve"> Submission 67,</w:t>
      </w:r>
      <w:r w:rsidRPr="002A3A5C">
        <w:rPr>
          <w:i/>
          <w:iCs/>
        </w:rPr>
        <w:t xml:space="preserve"> </w:t>
      </w:r>
      <w:r>
        <w:rPr>
          <w:i/>
          <w:iCs/>
        </w:rPr>
        <w:t>Intersex Inquiry</w:t>
      </w:r>
      <w:r>
        <w:t>.</w:t>
      </w:r>
    </w:p>
  </w:endnote>
  <w:endnote w:id="328">
    <w:p w:rsidR="004D61D2" w:rsidP="004D61D2" w:rsidRDefault="004D61D2" w14:paraId="405314B9" w14:textId="77777777">
      <w:pPr>
        <w:pStyle w:val="EndnoteText"/>
      </w:pPr>
      <w:r>
        <w:rPr>
          <w:rStyle w:val="EndnoteReference"/>
        </w:rPr>
        <w:endnoteRef/>
      </w:r>
      <w:r>
        <w:t xml:space="preserve"> Submission 55,</w:t>
      </w:r>
      <w:r w:rsidRPr="002A3A5C">
        <w:rPr>
          <w:i/>
          <w:iCs/>
        </w:rPr>
        <w:t xml:space="preserve"> </w:t>
      </w:r>
      <w:r>
        <w:rPr>
          <w:i/>
          <w:iCs/>
        </w:rPr>
        <w:t>Intersex Inquiry,</w:t>
      </w:r>
      <w:r>
        <w:t xml:space="preserve"> 4.</w:t>
      </w:r>
    </w:p>
  </w:endnote>
  <w:endnote w:id="329">
    <w:p w:rsidRPr="00A208CA" w:rsidR="004D61D2" w:rsidP="004D61D2" w:rsidRDefault="004D61D2" w14:paraId="4E4EC609" w14:textId="77777777">
      <w:pPr>
        <w:pStyle w:val="EndnoteText"/>
        <w:rPr>
          <w:lang w:val="en-US"/>
        </w:rPr>
      </w:pPr>
      <w:r>
        <w:rPr>
          <w:rStyle w:val="EndnoteReference"/>
        </w:rPr>
        <w:endnoteRef/>
      </w:r>
      <w:r>
        <w:t xml:space="preserve"> </w:t>
      </w:r>
      <w:r>
        <w:rPr>
          <w:lang w:val="en-US"/>
        </w:rPr>
        <w:t xml:space="preserve">Submission 36, </w:t>
      </w:r>
      <w:r>
        <w:rPr>
          <w:i/>
          <w:iCs/>
        </w:rPr>
        <w:t>Intersex Inquiry,</w:t>
      </w:r>
      <w:r>
        <w:t xml:space="preserve"> </w:t>
      </w:r>
      <w:r>
        <w:rPr>
          <w:lang w:val="en-US"/>
        </w:rPr>
        <w:t>10.</w:t>
      </w:r>
    </w:p>
  </w:endnote>
  <w:endnote w:id="330">
    <w:p w:rsidR="004D61D2" w:rsidP="004D61D2" w:rsidRDefault="004D61D2" w14:paraId="3F103663" w14:textId="77777777">
      <w:pPr>
        <w:pStyle w:val="EndnoteText"/>
      </w:pPr>
      <w:r>
        <w:rPr>
          <w:rStyle w:val="EndnoteReference"/>
        </w:rPr>
        <w:endnoteRef/>
      </w:r>
      <w:r>
        <w:t xml:space="preserve"> Mauro Cabral Grinspan and Morgan Carpenter, ‘Gendering the Lens: Critical Reflections on Gender, Hospitality and Torture’ in </w:t>
      </w:r>
      <w:r w:rsidRPr="009652A7">
        <w:rPr>
          <w:i/>
          <w:iCs/>
        </w:rPr>
        <w:t>Gender Perspectives on Torture: Law and Practice</w:t>
      </w:r>
      <w:r>
        <w:t xml:space="preserve"> (American University Washington College of Law Centre for Human Rights and Humanitarian Law, 2018) 183, 188.</w:t>
      </w:r>
    </w:p>
  </w:endnote>
  <w:endnote w:id="331">
    <w:p w:rsidR="004D61D2" w:rsidP="004D61D2" w:rsidRDefault="004D61D2" w14:paraId="6C035C1D" w14:textId="77777777">
      <w:pPr>
        <w:pStyle w:val="EndnoteText"/>
      </w:pPr>
      <w:r>
        <w:rPr>
          <w:rStyle w:val="EndnoteReference"/>
        </w:rPr>
        <w:endnoteRef/>
      </w:r>
      <w:r>
        <w:t xml:space="preserve"> </w:t>
      </w:r>
      <w:r w:rsidRPr="00A62B79">
        <w:rPr>
          <w:i/>
          <w:iCs/>
        </w:rPr>
        <w:t>Re: Carla (Medical Procedure)</w:t>
      </w:r>
      <w:r>
        <w:t xml:space="preserve"> [2016] FamCA 7, [3] and [13]–[15].</w:t>
      </w:r>
    </w:p>
  </w:endnote>
  <w:endnote w:id="332">
    <w:p w:rsidR="004D61D2" w:rsidP="004D61D2" w:rsidRDefault="004D61D2" w14:paraId="57F1B0CE" w14:textId="77777777">
      <w:pPr>
        <w:pStyle w:val="EndnoteText"/>
      </w:pPr>
      <w:r>
        <w:rPr>
          <w:rStyle w:val="EndnoteReference"/>
        </w:rPr>
        <w:endnoteRef/>
      </w:r>
      <w:r>
        <w:t xml:space="preserve"> Submission 65, </w:t>
      </w:r>
      <w:r>
        <w:rPr>
          <w:i/>
          <w:iCs/>
        </w:rPr>
        <w:t>Intersex Inquiry,</w:t>
      </w:r>
      <w:r>
        <w:t xml:space="preserve"> 2.</w:t>
      </w:r>
    </w:p>
  </w:endnote>
  <w:endnote w:id="333">
    <w:p w:rsidR="004D61D2" w:rsidP="004D61D2" w:rsidRDefault="004D61D2" w14:paraId="6E18BACE" w14:textId="77777777">
      <w:pPr>
        <w:pStyle w:val="EndnoteText"/>
      </w:pPr>
      <w:r>
        <w:rPr>
          <w:rStyle w:val="EndnoteReference"/>
        </w:rPr>
        <w:endnoteRef/>
      </w:r>
      <w:r>
        <w:t xml:space="preserve"> Submission </w:t>
      </w:r>
      <w:r w:rsidRPr="00044ED4">
        <w:t>25</w:t>
      </w:r>
      <w:r>
        <w:t>,</w:t>
      </w:r>
      <w:r w:rsidRPr="002A3A5C">
        <w:rPr>
          <w:i/>
          <w:iCs/>
        </w:rPr>
        <w:t xml:space="preserve"> </w:t>
      </w:r>
      <w:r>
        <w:rPr>
          <w:i/>
          <w:iCs/>
        </w:rPr>
        <w:t>Intersex Inquiry,</w:t>
      </w:r>
      <w:r>
        <w:t xml:space="preserve"> </w:t>
      </w:r>
      <w:r w:rsidRPr="00044ED4">
        <w:t>4</w:t>
      </w:r>
      <w:r>
        <w:t>–</w:t>
      </w:r>
      <w:r w:rsidRPr="00044ED4">
        <w:t>5</w:t>
      </w:r>
      <w:r>
        <w:t xml:space="preserve">. </w:t>
      </w:r>
    </w:p>
  </w:endnote>
  <w:endnote w:id="334">
    <w:p w:rsidR="004D61D2" w:rsidP="004D61D2" w:rsidRDefault="004D61D2" w14:paraId="45C36739" w14:textId="77777777">
      <w:pPr>
        <w:pStyle w:val="EndnoteText"/>
      </w:pPr>
      <w:r>
        <w:rPr>
          <w:rStyle w:val="EndnoteReference"/>
        </w:rPr>
        <w:endnoteRef/>
      </w:r>
      <w:r>
        <w:t xml:space="preserve"> IA Hughes et al, ‘Consensus statement on management of intersex disorders’ (2006) 2 </w:t>
      </w:r>
      <w:r>
        <w:rPr>
          <w:i/>
          <w:iCs/>
        </w:rPr>
        <w:t>Journal of Pediatric Urology</w:t>
      </w:r>
      <w:r>
        <w:t xml:space="preserve"> 491. </w:t>
      </w:r>
    </w:p>
  </w:endnote>
  <w:endnote w:id="335">
    <w:p w:rsidRPr="008F3FD6" w:rsidR="004D61D2" w:rsidP="004D61D2" w:rsidRDefault="004D61D2" w14:paraId="745BCF3E" w14:textId="77777777">
      <w:pPr>
        <w:pStyle w:val="EndnoteText"/>
        <w:rPr>
          <w:lang w:val="en-US"/>
        </w:rPr>
      </w:pPr>
      <w:r>
        <w:rPr>
          <w:rStyle w:val="EndnoteReference"/>
        </w:rPr>
        <w:endnoteRef/>
      </w:r>
      <w:r>
        <w:t xml:space="preserve"> Submission 68,</w:t>
      </w:r>
      <w:r w:rsidRPr="002A3A5C">
        <w:rPr>
          <w:i/>
          <w:iCs/>
        </w:rPr>
        <w:t xml:space="preserve"> </w:t>
      </w:r>
      <w:r>
        <w:rPr>
          <w:i/>
          <w:iCs/>
        </w:rPr>
        <w:t>Intersex Inquiry,</w:t>
      </w:r>
      <w:r>
        <w:t xml:space="preserve"> 5. </w:t>
      </w:r>
    </w:p>
  </w:endnote>
  <w:endnote w:id="336">
    <w:p w:rsidRPr="008F3FD6" w:rsidR="004D61D2" w:rsidP="004D61D2" w:rsidRDefault="004D61D2" w14:paraId="012A800D" w14:textId="77777777">
      <w:pPr>
        <w:pStyle w:val="EndnoteText"/>
        <w:rPr>
          <w:lang w:val="en-US"/>
        </w:rPr>
      </w:pPr>
      <w:r>
        <w:rPr>
          <w:rStyle w:val="EndnoteReference"/>
        </w:rPr>
        <w:endnoteRef/>
      </w:r>
      <w:r>
        <w:t xml:space="preserve"> </w:t>
      </w:r>
      <w:r>
        <w:rPr>
          <w:rFonts w:cs="Open Sans"/>
        </w:rPr>
        <w:t>I</w:t>
      </w:r>
      <w:r w:rsidRPr="00CB4F30">
        <w:rPr>
          <w:rFonts w:cs="Open Sans"/>
        </w:rPr>
        <w:t xml:space="preserve">A Hughes et al, ‘Consensus statement on management of intersex disorders’ (2006) 2 </w:t>
      </w:r>
      <w:r w:rsidRPr="00CB4F30">
        <w:rPr>
          <w:rFonts w:cs="Open Sans"/>
          <w:i/>
        </w:rPr>
        <w:t xml:space="preserve">Journal of Pediatric Urology </w:t>
      </w:r>
      <w:r w:rsidRPr="00CB4F30">
        <w:rPr>
          <w:rFonts w:cs="Open Sans"/>
        </w:rPr>
        <w:t>1</w:t>
      </w:r>
      <w:r>
        <w:rPr>
          <w:rFonts w:cs="Open Sans"/>
        </w:rPr>
        <w:t xml:space="preserve">52. </w:t>
      </w:r>
    </w:p>
  </w:endnote>
  <w:endnote w:id="337">
    <w:p w:rsidRPr="00D77088" w:rsidR="004D61D2" w:rsidP="004D61D2" w:rsidRDefault="004D61D2" w14:paraId="567F3662" w14:textId="77777777">
      <w:pPr>
        <w:pStyle w:val="EndnoteText"/>
        <w:rPr>
          <w:lang w:val="en-US"/>
        </w:rPr>
      </w:pPr>
      <w:r>
        <w:rPr>
          <w:rStyle w:val="EndnoteReference"/>
        </w:rPr>
        <w:endnoteRef/>
      </w:r>
      <w:r>
        <w:t xml:space="preserve"> </w:t>
      </w:r>
      <w:r>
        <w:rPr>
          <w:rFonts w:cs="Open Sans"/>
        </w:rPr>
        <w:t>I</w:t>
      </w:r>
      <w:r w:rsidRPr="00CB4F30">
        <w:rPr>
          <w:rFonts w:cs="Open Sans"/>
        </w:rPr>
        <w:t xml:space="preserve">A Hughes et al, ‘Consensus statement on management of intersex disorders’ (2006) 2 </w:t>
      </w:r>
      <w:r w:rsidRPr="00CB4F30">
        <w:rPr>
          <w:rFonts w:cs="Open Sans"/>
          <w:i/>
        </w:rPr>
        <w:t xml:space="preserve">Journal of Pediatric Urology </w:t>
      </w:r>
      <w:r w:rsidRPr="00CB4F30">
        <w:rPr>
          <w:rFonts w:cs="Open Sans"/>
        </w:rPr>
        <w:t>1</w:t>
      </w:r>
      <w:r>
        <w:rPr>
          <w:rFonts w:cs="Open Sans"/>
        </w:rPr>
        <w:t>52.</w:t>
      </w:r>
    </w:p>
  </w:endnote>
  <w:endnote w:id="338">
    <w:p w:rsidRPr="00F44492" w:rsidR="004D61D2" w:rsidP="004D61D2" w:rsidRDefault="004D61D2" w14:paraId="69562844" w14:textId="77777777">
      <w:pPr>
        <w:pStyle w:val="EndnoteText"/>
        <w:rPr>
          <w:lang w:val="en-US"/>
        </w:rPr>
      </w:pPr>
      <w:r>
        <w:rPr>
          <w:rStyle w:val="EndnoteReference"/>
        </w:rPr>
        <w:endnoteRef/>
      </w:r>
      <w:r>
        <w:t xml:space="preserve"> </w:t>
      </w:r>
      <w:r>
        <w:rPr>
          <w:rFonts w:cs="Open Sans"/>
        </w:rPr>
        <w:t>I</w:t>
      </w:r>
      <w:r w:rsidRPr="00CB4F30">
        <w:rPr>
          <w:rFonts w:cs="Open Sans"/>
        </w:rPr>
        <w:t xml:space="preserve">A Hughes et al, ‘Consensus statement on management of intersex disorders’ (2006) 2 </w:t>
      </w:r>
      <w:r w:rsidRPr="00CB4F30">
        <w:rPr>
          <w:rFonts w:cs="Open Sans"/>
          <w:i/>
        </w:rPr>
        <w:t xml:space="preserve">Journal of Pediatric Urology </w:t>
      </w:r>
      <w:r w:rsidRPr="00CB4F30">
        <w:rPr>
          <w:rFonts w:cs="Open Sans"/>
        </w:rPr>
        <w:t>1</w:t>
      </w:r>
      <w:r>
        <w:rPr>
          <w:rFonts w:cs="Open Sans"/>
        </w:rPr>
        <w:t>53.</w:t>
      </w:r>
    </w:p>
  </w:endnote>
  <w:endnote w:id="339">
    <w:p w:rsidRPr="005734D7" w:rsidR="004D61D2" w:rsidP="004D61D2" w:rsidRDefault="004D61D2" w14:paraId="295395C4" w14:textId="77777777">
      <w:pPr>
        <w:pStyle w:val="EndnoteText"/>
        <w:rPr>
          <w:lang w:val="en-US"/>
        </w:rPr>
      </w:pPr>
      <w:r>
        <w:rPr>
          <w:rStyle w:val="EndnoteReference"/>
        </w:rPr>
        <w:endnoteRef/>
      </w:r>
      <w:r>
        <w:t xml:space="preserve"> </w:t>
      </w:r>
      <w:r>
        <w:rPr>
          <w:rFonts w:cs="Open Sans"/>
        </w:rPr>
        <w:t>I</w:t>
      </w:r>
      <w:r w:rsidRPr="00CB4F30">
        <w:rPr>
          <w:rFonts w:cs="Open Sans"/>
        </w:rPr>
        <w:t xml:space="preserve">A Hughes et al, ‘Consensus statement on management of intersex disorders’ (2006) 2 </w:t>
      </w:r>
      <w:r w:rsidRPr="00CB4F30">
        <w:rPr>
          <w:rFonts w:cs="Open Sans"/>
          <w:i/>
        </w:rPr>
        <w:t xml:space="preserve">Journal of Pediatric Urology </w:t>
      </w:r>
      <w:r w:rsidRPr="00CB4F30">
        <w:rPr>
          <w:rFonts w:cs="Open Sans"/>
        </w:rPr>
        <w:t>1</w:t>
      </w:r>
      <w:r>
        <w:rPr>
          <w:rFonts w:cs="Open Sans"/>
        </w:rPr>
        <w:t>53.</w:t>
      </w:r>
    </w:p>
  </w:endnote>
  <w:endnote w:id="340">
    <w:p w:rsidRPr="008F3FD6" w:rsidR="004D61D2" w:rsidP="004D61D2" w:rsidRDefault="004D61D2" w14:paraId="06A54A9C" w14:textId="77777777">
      <w:pPr>
        <w:pStyle w:val="EndnoteText"/>
        <w:rPr>
          <w:lang w:val="en-US"/>
        </w:rPr>
      </w:pPr>
      <w:r>
        <w:rPr>
          <w:rStyle w:val="EndnoteReference"/>
        </w:rPr>
        <w:endnoteRef/>
      </w:r>
      <w:r>
        <w:t xml:space="preserve"> </w:t>
      </w:r>
      <w:r w:rsidRPr="0014675C">
        <w:t>Victorian Government (Department of Health), ‘Decision-making principles for the care of infants, children and adolescents with intersex conditions’ (February 2013),</w:t>
      </w:r>
      <w:r>
        <w:t xml:space="preserve"> 18. </w:t>
      </w:r>
    </w:p>
  </w:endnote>
  <w:endnote w:id="341">
    <w:p w:rsidRPr="00DD1E92" w:rsidR="004D61D2" w:rsidP="004D61D2" w:rsidRDefault="004D61D2" w14:paraId="0E2C0450" w14:textId="77777777">
      <w:pPr>
        <w:pStyle w:val="EndnoteText"/>
      </w:pPr>
      <w:r>
        <w:rPr>
          <w:rStyle w:val="EndnoteReference"/>
        </w:rPr>
        <w:endnoteRef/>
      </w:r>
      <w:r>
        <w:t xml:space="preserve"> </w:t>
      </w:r>
      <w:r w:rsidRPr="0047276F">
        <w:rPr>
          <w:rFonts w:cs="Open Sans"/>
        </w:rPr>
        <w:t>Victorian Government (Department of Health), ‘Decision-making principles</w:t>
      </w:r>
      <w:r w:rsidRPr="004D2BDE">
        <w:rPr>
          <w:rFonts w:ascii="Arial" w:hAnsi="Arial" w:cs="Arial"/>
        </w:rPr>
        <w:t xml:space="preserve"> </w:t>
      </w:r>
      <w:r w:rsidRPr="00576FAA">
        <w:rPr>
          <w:rFonts w:cs="Open Sans"/>
        </w:rPr>
        <w:t xml:space="preserve">for the care of infants, children and adolescents with intersex conditions’ (February 2013). </w:t>
      </w:r>
      <w:r w:rsidRPr="00CE1C3D">
        <w:t>p</w:t>
      </w:r>
      <w:r>
        <w:t xml:space="preserve">19. </w:t>
      </w:r>
      <w:r>
        <w:rPr>
          <w:rFonts w:cs="Open Sans"/>
        </w:rPr>
        <w:t>&lt;</w:t>
      </w:r>
      <w:hyperlink w:history="1" r:id="rId35">
        <w:r w:rsidRPr="00310050">
          <w:rPr>
            <w:rStyle w:val="Hyperlink"/>
            <w:rFonts w:cs="Open Sans"/>
          </w:rPr>
          <w:t>https://www2.health.vic.gov.au/about/populations/lgbti-health/rainbow-equality/working-with-specific-groups/infants-children-adolescents-with-intersex-conditions</w:t>
        </w:r>
      </w:hyperlink>
      <w:r>
        <w:rPr>
          <w:rStyle w:val="Hyperlink"/>
          <w:rFonts w:cs="Open Sans"/>
        </w:rPr>
        <w:t>&gt;</w:t>
      </w:r>
    </w:p>
  </w:endnote>
  <w:endnote w:id="342">
    <w:p w:rsidR="004D61D2" w:rsidP="004D61D2" w:rsidRDefault="004D61D2" w14:paraId="49AE2909" w14:textId="77777777">
      <w:pPr>
        <w:pStyle w:val="EndnoteText"/>
      </w:pPr>
      <w:r>
        <w:rPr>
          <w:rStyle w:val="EndnoteReference"/>
        </w:rPr>
        <w:endnoteRef/>
      </w:r>
      <w:r>
        <w:t xml:space="preserve"> World Health Organization, 46,XY disorder of sex development due to 17-beta-hydroxysteroid dehydrogenase 3 deficiency in ICD-11 Beta Draft (Foundation) (2018); see also Morgan Carpenter, ‘The “Normalization” of Intersex Bodies and “Othering” of Intersex Identities in Australia’ (2018) </w:t>
      </w:r>
      <w:r w:rsidRPr="001C54A6">
        <w:rPr>
          <w:i/>
          <w:iCs/>
        </w:rPr>
        <w:t>Journal of Bioethical Inquiry</w:t>
      </w:r>
      <w:r>
        <w:t xml:space="preserve"> 1, 3.</w:t>
      </w:r>
    </w:p>
  </w:endnote>
  <w:endnote w:id="343">
    <w:p w:rsidR="004D61D2" w:rsidP="004D61D2" w:rsidRDefault="004D61D2" w14:paraId="39690C0C" w14:textId="77777777">
      <w:pPr>
        <w:pStyle w:val="EndnoteText"/>
      </w:pPr>
      <w:r>
        <w:rPr>
          <w:rStyle w:val="EndnoteReference"/>
        </w:rPr>
        <w:endnoteRef/>
      </w:r>
      <w:r>
        <w:t xml:space="preserve"> </w:t>
      </w:r>
      <w:r w:rsidRPr="00663C3E">
        <w:t>NHMRC funded research program</w:t>
      </w:r>
      <w:r>
        <w:t>, Submission 30,</w:t>
      </w:r>
      <w:r w:rsidRPr="007A1C7E">
        <w:rPr>
          <w:i/>
          <w:iCs/>
        </w:rPr>
        <w:t xml:space="preserve"> </w:t>
      </w:r>
      <w:r>
        <w:rPr>
          <w:i/>
          <w:iCs/>
        </w:rPr>
        <w:t>Intersex Inquiry,</w:t>
      </w:r>
      <w:r>
        <w:t xml:space="preserve"> 5. </w:t>
      </w:r>
    </w:p>
  </w:endnote>
  <w:endnote w:id="344">
    <w:p w:rsidR="004D61D2" w:rsidP="004D61D2" w:rsidRDefault="004D61D2" w14:paraId="0DFFF0AB" w14:textId="77777777">
      <w:pPr>
        <w:pStyle w:val="EndnoteText"/>
      </w:pPr>
      <w:r>
        <w:rPr>
          <w:rStyle w:val="EndnoteReference"/>
        </w:rPr>
        <w:endnoteRef/>
      </w:r>
      <w:r>
        <w:t xml:space="preserve"> Submission 68,</w:t>
      </w:r>
      <w:r w:rsidRPr="007A1C7E">
        <w:rPr>
          <w:i/>
          <w:iCs/>
        </w:rPr>
        <w:t xml:space="preserve"> </w:t>
      </w:r>
      <w:r>
        <w:rPr>
          <w:i/>
          <w:iCs/>
        </w:rPr>
        <w:t>Intersex Inquiry,</w:t>
      </w:r>
      <w:r>
        <w:t xml:space="preserve"> 3. </w:t>
      </w:r>
    </w:p>
  </w:endnote>
  <w:endnote w:id="345">
    <w:p w:rsidR="004D61D2" w:rsidP="004D61D2" w:rsidRDefault="004D61D2" w14:paraId="2EC08E76" w14:textId="77777777">
      <w:pPr>
        <w:pStyle w:val="EndnoteText"/>
      </w:pPr>
      <w:r>
        <w:rPr>
          <w:rStyle w:val="EndnoteReference"/>
        </w:rPr>
        <w:endnoteRef/>
      </w:r>
      <w:r>
        <w:t xml:space="preserve"> </w:t>
      </w:r>
      <w:r w:rsidRPr="0061209E">
        <w:t>Western Australian Multidisciplinary DSD Team</w:t>
      </w:r>
      <w:r>
        <w:t>, Submission 23,</w:t>
      </w:r>
      <w:r w:rsidRPr="007A1C7E">
        <w:rPr>
          <w:i/>
          <w:iCs/>
        </w:rPr>
        <w:t xml:space="preserve"> </w:t>
      </w:r>
      <w:r>
        <w:rPr>
          <w:i/>
          <w:iCs/>
        </w:rPr>
        <w:t>Intersex Inquiry,</w:t>
      </w:r>
      <w:r>
        <w:t xml:space="preserve"> 3; Submission 67,</w:t>
      </w:r>
      <w:r w:rsidRPr="007A1C7E">
        <w:rPr>
          <w:i/>
          <w:iCs/>
        </w:rPr>
        <w:t xml:space="preserve"> </w:t>
      </w:r>
      <w:r>
        <w:rPr>
          <w:i/>
          <w:iCs/>
        </w:rPr>
        <w:t>Intersex Inquiry</w:t>
      </w:r>
      <w:r w:rsidRPr="007A1C7E">
        <w:t xml:space="preserve">; </w:t>
      </w:r>
      <w:r>
        <w:t>Submission 68,</w:t>
      </w:r>
      <w:r w:rsidRPr="007A1C7E">
        <w:rPr>
          <w:i/>
          <w:iCs/>
        </w:rPr>
        <w:t xml:space="preserve"> </w:t>
      </w:r>
      <w:r>
        <w:rPr>
          <w:i/>
          <w:iCs/>
        </w:rPr>
        <w:t>Intersex Inquiry,</w:t>
      </w:r>
      <w:r>
        <w:t xml:space="preserve"> 5.</w:t>
      </w:r>
    </w:p>
  </w:endnote>
  <w:endnote w:id="346">
    <w:p w:rsidR="004D61D2" w:rsidP="004D61D2" w:rsidRDefault="004D61D2" w14:paraId="2C262381" w14:textId="77777777">
      <w:pPr>
        <w:pStyle w:val="EndnoteText"/>
      </w:pPr>
      <w:r>
        <w:rPr>
          <w:rStyle w:val="EndnoteReference"/>
        </w:rPr>
        <w:endnoteRef/>
      </w:r>
      <w:r>
        <w:t xml:space="preserve"> Submission 67,</w:t>
      </w:r>
      <w:r w:rsidRPr="007A1C7E">
        <w:rPr>
          <w:i/>
          <w:iCs/>
        </w:rPr>
        <w:t xml:space="preserve"> </w:t>
      </w:r>
      <w:r>
        <w:rPr>
          <w:i/>
          <w:iCs/>
        </w:rPr>
        <w:t>Intersex Inquiry</w:t>
      </w:r>
      <w:r>
        <w:t>.</w:t>
      </w:r>
    </w:p>
  </w:endnote>
  <w:endnote w:id="347">
    <w:p w:rsidRPr="00F31DEC" w:rsidR="004D61D2" w:rsidP="004D61D2" w:rsidRDefault="004D61D2" w14:paraId="4E2CCF26" w14:textId="77777777">
      <w:pPr>
        <w:pStyle w:val="EndnoteText"/>
        <w:rPr>
          <w:lang w:val="en-US"/>
        </w:rPr>
      </w:pPr>
      <w:r>
        <w:rPr>
          <w:rStyle w:val="EndnoteReference"/>
        </w:rPr>
        <w:endnoteRef/>
      </w:r>
      <w:r>
        <w:t xml:space="preserve"> </w:t>
      </w:r>
      <w:r>
        <w:rPr>
          <w:lang w:val="en-US"/>
        </w:rPr>
        <w:t xml:space="preserve">Submission 42, </w:t>
      </w:r>
      <w:r>
        <w:rPr>
          <w:i/>
          <w:iCs/>
        </w:rPr>
        <w:t>Intersex Inquiry,</w:t>
      </w:r>
      <w:r>
        <w:t xml:space="preserve"> </w:t>
      </w:r>
      <w:r>
        <w:rPr>
          <w:lang w:val="en-US"/>
        </w:rPr>
        <w:t xml:space="preserve">2. </w:t>
      </w:r>
    </w:p>
  </w:endnote>
  <w:endnote w:id="348">
    <w:p w:rsidR="004D61D2" w:rsidP="004D61D2" w:rsidRDefault="004D61D2" w14:paraId="2813C2FE" w14:textId="77777777">
      <w:pPr>
        <w:pStyle w:val="EndnoteText"/>
      </w:pPr>
      <w:r>
        <w:rPr>
          <w:rStyle w:val="EndnoteReference"/>
        </w:rPr>
        <w:endnoteRef/>
      </w:r>
      <w:r>
        <w:t xml:space="preserve"> Submission 45,</w:t>
      </w:r>
      <w:r w:rsidRPr="007A1C7E">
        <w:rPr>
          <w:i/>
          <w:iCs/>
        </w:rPr>
        <w:t xml:space="preserve"> </w:t>
      </w:r>
      <w:r>
        <w:rPr>
          <w:i/>
          <w:iCs/>
        </w:rPr>
        <w:t>Intersex Inquiry,</w:t>
      </w:r>
      <w:r>
        <w:t xml:space="preserve"> 2. </w:t>
      </w:r>
    </w:p>
  </w:endnote>
  <w:endnote w:id="349">
    <w:p w:rsidRPr="002739BC" w:rsidR="004D61D2" w:rsidP="004D61D2" w:rsidRDefault="004D61D2" w14:paraId="192C4A1D" w14:textId="77777777">
      <w:pPr>
        <w:pStyle w:val="EndnoteText"/>
        <w:rPr>
          <w:u w:val="double"/>
        </w:rPr>
      </w:pPr>
      <w:r>
        <w:rPr>
          <w:rStyle w:val="EndnoteReference"/>
        </w:rPr>
        <w:endnoteRef/>
      </w:r>
      <w:r>
        <w:t xml:space="preserve"> Submission 26,</w:t>
      </w:r>
      <w:r w:rsidRPr="00D846F0">
        <w:rPr>
          <w:i/>
          <w:iCs/>
        </w:rPr>
        <w:t xml:space="preserve"> </w:t>
      </w:r>
      <w:r>
        <w:rPr>
          <w:i/>
          <w:iCs/>
        </w:rPr>
        <w:t>Intersex Inquiry,</w:t>
      </w:r>
      <w:r>
        <w:t xml:space="preserve"> 2.</w:t>
      </w:r>
    </w:p>
  </w:endnote>
  <w:endnote w:id="350">
    <w:p w:rsidR="004D61D2" w:rsidP="004D61D2" w:rsidRDefault="004D61D2" w14:paraId="53240B15" w14:textId="77777777">
      <w:pPr>
        <w:pStyle w:val="EndnoteText"/>
      </w:pPr>
      <w:r>
        <w:rPr>
          <w:rStyle w:val="EndnoteReference"/>
        </w:rPr>
        <w:endnoteRef/>
      </w:r>
      <w:r>
        <w:t xml:space="preserve"> Submission 26,</w:t>
      </w:r>
      <w:r w:rsidRPr="00D846F0">
        <w:rPr>
          <w:i/>
          <w:iCs/>
        </w:rPr>
        <w:t xml:space="preserve"> </w:t>
      </w:r>
      <w:r>
        <w:rPr>
          <w:i/>
          <w:iCs/>
        </w:rPr>
        <w:t>Intersex Inquiry,</w:t>
      </w:r>
      <w:r>
        <w:t xml:space="preserve">  2.</w:t>
      </w:r>
    </w:p>
  </w:endnote>
  <w:endnote w:id="351">
    <w:p w:rsidRPr="004200DB" w:rsidR="004D61D2" w:rsidP="004D61D2" w:rsidRDefault="004D61D2" w14:paraId="28CA0896" w14:textId="77777777">
      <w:pPr>
        <w:pStyle w:val="EndnoteText"/>
        <w:rPr>
          <w:lang w:val="en-US"/>
        </w:rPr>
      </w:pPr>
      <w:r>
        <w:rPr>
          <w:rStyle w:val="EndnoteReference"/>
        </w:rPr>
        <w:endnoteRef/>
      </w:r>
      <w:r>
        <w:t xml:space="preserve"> Intersex Human Rights Australia, Submission 40,</w:t>
      </w:r>
      <w:r w:rsidRPr="00D846F0">
        <w:rPr>
          <w:i/>
          <w:iCs/>
        </w:rPr>
        <w:t xml:space="preserve"> </w:t>
      </w:r>
      <w:r>
        <w:rPr>
          <w:i/>
          <w:iCs/>
        </w:rPr>
        <w:t>Intersex Inquiry,</w:t>
      </w:r>
      <w:r>
        <w:t xml:space="preserve"> 57; </w:t>
      </w:r>
      <w:r>
        <w:rPr>
          <w:lang w:val="en-US"/>
        </w:rPr>
        <w:t>Submission 36,</w:t>
      </w:r>
      <w:r w:rsidRPr="00D846F0">
        <w:rPr>
          <w:i/>
          <w:iCs/>
        </w:rPr>
        <w:t xml:space="preserve"> </w:t>
      </w:r>
      <w:r>
        <w:rPr>
          <w:i/>
          <w:iCs/>
        </w:rPr>
        <w:t>Intersex Inquiry,</w:t>
      </w:r>
      <w:r>
        <w:rPr>
          <w:lang w:val="en-US"/>
        </w:rPr>
        <w:t xml:space="preserve"> 17; </w:t>
      </w:r>
      <w:r>
        <w:t xml:space="preserve">Submission </w:t>
      </w:r>
      <w:r>
        <w:rPr>
          <w:lang w:val="en-US"/>
        </w:rPr>
        <w:t xml:space="preserve">56, </w:t>
      </w:r>
      <w:r>
        <w:rPr>
          <w:i/>
          <w:iCs/>
        </w:rPr>
        <w:t xml:space="preserve">Intersex Inquiry, </w:t>
      </w:r>
      <w:r>
        <w:rPr>
          <w:lang w:val="en-US"/>
        </w:rPr>
        <w:t xml:space="preserve">6. </w:t>
      </w:r>
    </w:p>
  </w:endnote>
  <w:endnote w:id="352">
    <w:p w:rsidRPr="00D52FC0" w:rsidR="004D61D2" w:rsidP="004D61D2" w:rsidRDefault="004D61D2" w14:paraId="69B821CE" w14:textId="77777777">
      <w:pPr>
        <w:pStyle w:val="EndnoteText"/>
      </w:pPr>
      <w:r w:rsidRPr="00D52FC0">
        <w:rPr>
          <w:rStyle w:val="EndnoteReference"/>
        </w:rPr>
        <w:endnoteRef/>
      </w:r>
      <w:r>
        <w:t>Submission</w:t>
      </w:r>
      <w:r w:rsidRPr="00D52FC0">
        <w:t xml:space="preserve"> </w:t>
      </w:r>
      <w:r>
        <w:t xml:space="preserve">56, </w:t>
      </w:r>
      <w:r>
        <w:rPr>
          <w:i/>
          <w:iCs/>
        </w:rPr>
        <w:t>Intersex Inquiry,</w:t>
      </w:r>
      <w:r>
        <w:t xml:space="preserve"> 5, which characterises psychosocial purposes as ‘positioned in a cultural and social context’. </w:t>
      </w:r>
    </w:p>
  </w:endnote>
  <w:endnote w:id="353">
    <w:p w:rsidRPr="00055711" w:rsidR="004D61D2" w:rsidP="004D61D2" w:rsidRDefault="004D61D2" w14:paraId="57F5C855" w14:textId="77777777">
      <w:pPr>
        <w:pStyle w:val="EndnoteText"/>
        <w:rPr>
          <w:lang w:val="en-US"/>
        </w:rPr>
      </w:pPr>
      <w:r>
        <w:rPr>
          <w:rStyle w:val="EndnoteReference"/>
        </w:rPr>
        <w:endnoteRef/>
      </w:r>
      <w:r>
        <w:t xml:space="preserve"> </w:t>
      </w:r>
      <w:r>
        <w:rPr>
          <w:lang w:val="en-US"/>
        </w:rPr>
        <w:t xml:space="preserve">See Chapter 6 – </w:t>
      </w:r>
      <w:r w:rsidRPr="00504346">
        <w:t>Clinical practice  and new National Guidelines</w:t>
      </w:r>
      <w:r>
        <w:t>.</w:t>
      </w:r>
    </w:p>
  </w:endnote>
  <w:endnote w:id="354">
    <w:p w:rsidR="004D61D2" w:rsidP="004D61D2" w:rsidRDefault="004D61D2" w14:paraId="0B133F52" w14:textId="77777777">
      <w:pPr>
        <w:pStyle w:val="EndnoteText"/>
      </w:pPr>
      <w:r>
        <w:rPr>
          <w:rStyle w:val="EndnoteReference"/>
        </w:rPr>
        <w:endnoteRef/>
      </w:r>
      <w:r>
        <w:t xml:space="preserve"> Intersex Human Rights Australia, Submission 40,</w:t>
      </w:r>
      <w:r w:rsidRPr="00D846F0">
        <w:rPr>
          <w:i/>
          <w:iCs/>
        </w:rPr>
        <w:t xml:space="preserve"> </w:t>
      </w:r>
      <w:r>
        <w:rPr>
          <w:i/>
          <w:iCs/>
        </w:rPr>
        <w:t>Intersex Inquiry,</w:t>
      </w:r>
      <w:r>
        <w:t xml:space="preserve"> 51.</w:t>
      </w:r>
    </w:p>
  </w:endnote>
  <w:endnote w:id="355">
    <w:p w:rsidR="004D61D2" w:rsidP="004D61D2" w:rsidRDefault="004D61D2" w14:paraId="7C70E97A" w14:textId="77777777">
      <w:pPr>
        <w:pStyle w:val="EndnoteText"/>
      </w:pPr>
      <w:r>
        <w:rPr>
          <w:rStyle w:val="EndnoteReference"/>
        </w:rPr>
        <w:endnoteRef/>
      </w:r>
      <w:r>
        <w:t xml:space="preserve"> </w:t>
      </w:r>
      <w:r w:rsidRPr="00502374">
        <w:t>Western Australian Multidisciplinary DSD Team</w:t>
      </w:r>
      <w:r>
        <w:t>, Submission 23,</w:t>
      </w:r>
      <w:r w:rsidRPr="00D846F0">
        <w:rPr>
          <w:i/>
          <w:iCs/>
        </w:rPr>
        <w:t xml:space="preserve"> </w:t>
      </w:r>
      <w:r>
        <w:rPr>
          <w:i/>
          <w:iCs/>
        </w:rPr>
        <w:t>Intersex Inquiry,</w:t>
      </w:r>
      <w:r>
        <w:t xml:space="preserve"> 3. </w:t>
      </w:r>
    </w:p>
  </w:endnote>
  <w:endnote w:id="356">
    <w:p w:rsidR="004D61D2" w:rsidP="004D61D2" w:rsidRDefault="004D61D2" w14:paraId="12B9F279" w14:textId="77777777">
      <w:pPr>
        <w:pStyle w:val="EndnoteText"/>
      </w:pPr>
      <w:r>
        <w:rPr>
          <w:rStyle w:val="EndnoteReference"/>
        </w:rPr>
        <w:endnoteRef/>
      </w:r>
      <w:r>
        <w:t xml:space="preserve"> Australasian Paediatric Endocrine Group, Submission 20,</w:t>
      </w:r>
      <w:r w:rsidRPr="00D846F0">
        <w:rPr>
          <w:i/>
          <w:iCs/>
        </w:rPr>
        <w:t xml:space="preserve"> </w:t>
      </w:r>
      <w:r>
        <w:rPr>
          <w:i/>
          <w:iCs/>
        </w:rPr>
        <w:t>Intersex Inquiry,</w:t>
      </w:r>
      <w:r>
        <w:t xml:space="preserve"> 6. </w:t>
      </w:r>
    </w:p>
  </w:endnote>
  <w:endnote w:id="357">
    <w:p w:rsidR="004D61D2" w:rsidP="004D61D2" w:rsidRDefault="004D61D2" w14:paraId="0297B6E5" w14:textId="77777777">
      <w:pPr>
        <w:pStyle w:val="EndnoteText"/>
      </w:pPr>
      <w:r>
        <w:rPr>
          <w:rStyle w:val="EndnoteReference"/>
        </w:rPr>
        <w:endnoteRef/>
      </w:r>
      <w:r>
        <w:t xml:space="preserve"> </w:t>
      </w:r>
      <w:r w:rsidRPr="006649D2">
        <w:t>NHMRC funded research program</w:t>
      </w:r>
      <w:r>
        <w:t>, Submission 30,</w:t>
      </w:r>
      <w:r w:rsidRPr="00D846F0">
        <w:rPr>
          <w:i/>
          <w:iCs/>
        </w:rPr>
        <w:t xml:space="preserve"> </w:t>
      </w:r>
      <w:r>
        <w:rPr>
          <w:i/>
          <w:iCs/>
        </w:rPr>
        <w:t>Intersex Inquiry,</w:t>
      </w:r>
      <w:r>
        <w:t xml:space="preserve"> 5. </w:t>
      </w:r>
    </w:p>
  </w:endnote>
  <w:endnote w:id="358">
    <w:p w:rsidR="004D61D2" w:rsidP="004D61D2" w:rsidRDefault="004D61D2" w14:paraId="115025BE" w14:textId="77777777">
      <w:pPr>
        <w:pStyle w:val="EndnoteText"/>
      </w:pPr>
      <w:r>
        <w:rPr>
          <w:rStyle w:val="EndnoteReference"/>
        </w:rPr>
        <w:endnoteRef/>
      </w:r>
      <w:r>
        <w:t xml:space="preserve"> Intersex Human Rights Australia, Submission 40,</w:t>
      </w:r>
      <w:r w:rsidRPr="00D846F0">
        <w:rPr>
          <w:i/>
          <w:iCs/>
        </w:rPr>
        <w:t xml:space="preserve"> </w:t>
      </w:r>
      <w:r>
        <w:rPr>
          <w:i/>
          <w:iCs/>
        </w:rPr>
        <w:t>Intersex Inquiry,</w:t>
      </w:r>
      <w:r>
        <w:t xml:space="preserve"> 6; Submission 33,</w:t>
      </w:r>
      <w:r w:rsidRPr="00D846F0">
        <w:rPr>
          <w:i/>
          <w:iCs/>
        </w:rPr>
        <w:t xml:space="preserve"> </w:t>
      </w:r>
      <w:r>
        <w:rPr>
          <w:i/>
          <w:iCs/>
        </w:rPr>
        <w:t>Intersex Inquiry,</w:t>
      </w:r>
      <w:r>
        <w:t xml:space="preserve"> 1. </w:t>
      </w:r>
    </w:p>
  </w:endnote>
  <w:endnote w:id="359">
    <w:p w:rsidRPr="00F0727A" w:rsidR="004D61D2" w:rsidP="004D61D2" w:rsidRDefault="004D61D2" w14:paraId="4AC4A67E" w14:textId="77777777">
      <w:pPr>
        <w:pStyle w:val="EndnoteText"/>
        <w:rPr>
          <w:lang w:val="en-US"/>
        </w:rPr>
      </w:pPr>
      <w:r>
        <w:rPr>
          <w:rStyle w:val="EndnoteReference"/>
        </w:rPr>
        <w:endnoteRef/>
      </w:r>
      <w:r>
        <w:t xml:space="preserve"> </w:t>
      </w:r>
      <w:r>
        <w:rPr>
          <w:lang w:val="en-US"/>
        </w:rPr>
        <w:t>Submission 68,</w:t>
      </w:r>
      <w:r w:rsidRPr="00D846F0">
        <w:rPr>
          <w:i/>
          <w:iCs/>
        </w:rPr>
        <w:t xml:space="preserve"> </w:t>
      </w:r>
      <w:r>
        <w:rPr>
          <w:i/>
          <w:iCs/>
        </w:rPr>
        <w:t>Intersex Inquiry,</w:t>
      </w:r>
      <w:r>
        <w:rPr>
          <w:lang w:val="en-US"/>
        </w:rPr>
        <w:t xml:space="preserve"> 5. </w:t>
      </w:r>
    </w:p>
  </w:endnote>
  <w:endnote w:id="360">
    <w:p w:rsidRPr="007F0D87" w:rsidR="004D61D2" w:rsidP="004D61D2" w:rsidRDefault="004D61D2" w14:paraId="753410A7" w14:textId="77777777">
      <w:pPr>
        <w:pStyle w:val="EndnoteText"/>
        <w:rPr>
          <w:lang w:val="en-US"/>
        </w:rPr>
      </w:pPr>
      <w:r>
        <w:rPr>
          <w:rStyle w:val="EndnoteReference"/>
        </w:rPr>
        <w:endnoteRef/>
      </w:r>
      <w:r>
        <w:t xml:space="preserve"> </w:t>
      </w:r>
      <w:r>
        <w:rPr>
          <w:lang w:val="en-US"/>
        </w:rPr>
        <w:t>Submission 68,</w:t>
      </w:r>
      <w:r w:rsidRPr="00D846F0">
        <w:rPr>
          <w:i/>
          <w:iCs/>
        </w:rPr>
        <w:t xml:space="preserve"> </w:t>
      </w:r>
      <w:r>
        <w:rPr>
          <w:i/>
          <w:iCs/>
        </w:rPr>
        <w:t>Intersex Inquiry,</w:t>
      </w:r>
      <w:r>
        <w:t xml:space="preserve"> </w:t>
      </w:r>
      <w:r>
        <w:rPr>
          <w:lang w:val="en-US"/>
        </w:rPr>
        <w:t xml:space="preserve"> 5.</w:t>
      </w:r>
    </w:p>
  </w:endnote>
  <w:endnote w:id="361">
    <w:p w:rsidRPr="00B10F44" w:rsidR="004D61D2" w:rsidP="004D61D2" w:rsidRDefault="004D61D2" w14:paraId="696FD18C" w14:textId="77777777">
      <w:pPr>
        <w:pStyle w:val="EndnoteText"/>
        <w:rPr>
          <w:lang w:val="en-US"/>
        </w:rPr>
      </w:pPr>
      <w:r>
        <w:rPr>
          <w:rStyle w:val="EndnoteReference"/>
        </w:rPr>
        <w:endnoteRef/>
      </w:r>
      <w:r>
        <w:t xml:space="preserve"> </w:t>
      </w:r>
      <w:r w:rsidRPr="006649D2">
        <w:t>NHMRC funded research program</w:t>
      </w:r>
      <w:r>
        <w:t>, Submission 30,</w:t>
      </w:r>
      <w:r w:rsidRPr="00D846F0">
        <w:rPr>
          <w:i/>
          <w:iCs/>
        </w:rPr>
        <w:t xml:space="preserve"> </w:t>
      </w:r>
      <w:r>
        <w:rPr>
          <w:i/>
          <w:iCs/>
        </w:rPr>
        <w:t>Intersex Inquiry,</w:t>
      </w:r>
      <w:r>
        <w:t xml:space="preserve">  4. </w:t>
      </w:r>
    </w:p>
  </w:endnote>
  <w:endnote w:id="362">
    <w:p w:rsidRPr="00B10F44" w:rsidR="004D61D2" w:rsidP="004D61D2" w:rsidRDefault="004D61D2" w14:paraId="01C6E3DF" w14:textId="77777777">
      <w:pPr>
        <w:pStyle w:val="EndnoteText"/>
        <w:rPr>
          <w:lang w:val="en-US"/>
        </w:rPr>
      </w:pPr>
      <w:r>
        <w:rPr>
          <w:rStyle w:val="EndnoteReference"/>
        </w:rPr>
        <w:endnoteRef/>
      </w:r>
      <w:r>
        <w:t xml:space="preserve"> </w:t>
      </w:r>
      <w:r>
        <w:rPr>
          <w:lang w:val="en-US"/>
        </w:rPr>
        <w:t xml:space="preserve">Submission 19, </w:t>
      </w:r>
      <w:r>
        <w:rPr>
          <w:i/>
          <w:iCs/>
        </w:rPr>
        <w:t>Intersex Inquiry.</w:t>
      </w:r>
    </w:p>
  </w:endnote>
  <w:endnote w:id="363">
    <w:p w:rsidRPr="00B10F44" w:rsidR="004D61D2" w:rsidP="004D61D2" w:rsidRDefault="004D61D2" w14:paraId="462086BA" w14:textId="77777777">
      <w:pPr>
        <w:pStyle w:val="EndnoteText"/>
        <w:rPr>
          <w:lang w:val="en-US"/>
        </w:rPr>
      </w:pPr>
      <w:r>
        <w:rPr>
          <w:rStyle w:val="EndnoteReference"/>
        </w:rPr>
        <w:endnoteRef/>
      </w:r>
      <w:r>
        <w:t xml:space="preserve"> University of California, San Francisco, </w:t>
      </w:r>
      <w:r>
        <w:rPr>
          <w:i/>
          <w:iCs/>
        </w:rPr>
        <w:t xml:space="preserve">Hypospadias </w:t>
      </w:r>
      <w:r>
        <w:t>&lt;</w:t>
      </w:r>
      <w:hyperlink w:history="1" r:id="rId36">
        <w:r w:rsidRPr="00F66FE2">
          <w:rPr>
            <w:rStyle w:val="Hyperlink"/>
          </w:rPr>
          <w:t>https://urology.ucsf.edu/patient-care/children/genital-anomalies/hypospadias</w:t>
        </w:r>
      </w:hyperlink>
      <w:r>
        <w:rPr>
          <w:rStyle w:val="Hyperlink"/>
        </w:rPr>
        <w:t xml:space="preserve">&gt;; </w:t>
      </w:r>
      <w:r w:rsidRPr="00CA778C">
        <w:t>Assessment of Outcome in Hypospadias Surgery – A Review</w:t>
      </w:r>
      <w:r>
        <w:t>, Frontiers in Paediatrics &lt;</w:t>
      </w:r>
      <w:hyperlink w:history="1" r:id="rId37">
        <w:r w:rsidRPr="00F66FE2">
          <w:rPr>
            <w:rStyle w:val="Hyperlink"/>
          </w:rPr>
          <w:t>https://www.ncbi.nlm.nih.gov/pmc/articles/PMC3895870/</w:t>
        </w:r>
      </w:hyperlink>
      <w:r>
        <w:t>&gt;.</w:t>
      </w:r>
    </w:p>
  </w:endnote>
  <w:endnote w:id="364">
    <w:p w:rsidRPr="001D169B" w:rsidR="004D61D2" w:rsidP="004D61D2" w:rsidRDefault="004D61D2" w14:paraId="68DD678F" w14:textId="77777777">
      <w:pPr>
        <w:pStyle w:val="EndnoteText"/>
        <w:rPr>
          <w:lang w:val="en-US"/>
        </w:rPr>
      </w:pPr>
      <w:r>
        <w:rPr>
          <w:rStyle w:val="EndnoteReference"/>
        </w:rPr>
        <w:endnoteRef/>
      </w:r>
      <w:r>
        <w:t xml:space="preserve"> Submission 45,</w:t>
      </w:r>
      <w:r w:rsidRPr="00D846F0">
        <w:rPr>
          <w:i/>
          <w:iCs/>
        </w:rPr>
        <w:t xml:space="preserve"> </w:t>
      </w:r>
      <w:r>
        <w:rPr>
          <w:i/>
          <w:iCs/>
        </w:rPr>
        <w:t>Intersex Inquiry,</w:t>
      </w:r>
      <w:r>
        <w:t xml:space="preserve"> 7. </w:t>
      </w:r>
    </w:p>
  </w:endnote>
  <w:endnote w:id="365">
    <w:p w:rsidRPr="00161409" w:rsidR="004D61D2" w:rsidP="004D61D2" w:rsidRDefault="004D61D2" w14:paraId="10DACF90" w14:textId="77777777">
      <w:pPr>
        <w:pStyle w:val="EndnoteText"/>
        <w:rPr>
          <w:lang w:val="en-US"/>
        </w:rPr>
      </w:pPr>
      <w:r>
        <w:rPr>
          <w:rStyle w:val="EndnoteReference"/>
        </w:rPr>
        <w:endnoteRef/>
      </w:r>
      <w:r>
        <w:t xml:space="preserve"> Intersex Human Rights Australia, </w:t>
      </w:r>
      <w:r>
        <w:rPr>
          <w:lang w:val="en-US"/>
        </w:rPr>
        <w:t>Submission 40,</w:t>
      </w:r>
      <w:r w:rsidRPr="00D846F0">
        <w:rPr>
          <w:i/>
          <w:iCs/>
        </w:rPr>
        <w:t xml:space="preserve"> </w:t>
      </w:r>
      <w:r>
        <w:rPr>
          <w:i/>
          <w:iCs/>
        </w:rPr>
        <w:t>Intersex Inquiry,</w:t>
      </w:r>
      <w:r>
        <w:rPr>
          <w:lang w:val="en-US"/>
        </w:rPr>
        <w:t xml:space="preserve"> 67; Submission 36, </w:t>
      </w:r>
      <w:r>
        <w:rPr>
          <w:i/>
          <w:iCs/>
        </w:rPr>
        <w:t>Intersex Inquiry,</w:t>
      </w:r>
      <w:r>
        <w:t xml:space="preserve"> </w:t>
      </w:r>
      <w:r>
        <w:rPr>
          <w:lang w:val="en-US"/>
        </w:rPr>
        <w:t xml:space="preserve">14. </w:t>
      </w:r>
    </w:p>
  </w:endnote>
  <w:endnote w:id="366">
    <w:p w:rsidR="004D61D2" w:rsidP="004D61D2" w:rsidRDefault="004D61D2" w14:paraId="35598F65" w14:textId="77777777">
      <w:pPr>
        <w:pStyle w:val="EndnoteText"/>
      </w:pPr>
      <w:r>
        <w:rPr>
          <w:rStyle w:val="EndnoteReference"/>
        </w:rPr>
        <w:endnoteRef/>
      </w:r>
      <w:r>
        <w:t xml:space="preserve"> Intersex Human Rights Australia, Submission 40,</w:t>
      </w:r>
      <w:r w:rsidRPr="00D846F0">
        <w:rPr>
          <w:i/>
          <w:iCs/>
        </w:rPr>
        <w:t xml:space="preserve"> </w:t>
      </w:r>
      <w:r>
        <w:rPr>
          <w:i/>
          <w:iCs/>
        </w:rPr>
        <w:t>Intersex Inquiry,</w:t>
      </w:r>
      <w:r>
        <w:t xml:space="preserve"> 65.</w:t>
      </w:r>
    </w:p>
  </w:endnote>
  <w:endnote w:id="367">
    <w:p w:rsidR="004D61D2" w:rsidP="004D61D2" w:rsidRDefault="004D61D2" w14:paraId="47DEE57D" w14:textId="77777777">
      <w:pPr>
        <w:pStyle w:val="EndnoteText"/>
      </w:pPr>
      <w:r>
        <w:rPr>
          <w:rStyle w:val="EndnoteReference"/>
        </w:rPr>
        <w:endnoteRef/>
      </w:r>
      <w:r>
        <w:t xml:space="preserve"> Submission 32,</w:t>
      </w:r>
      <w:r w:rsidRPr="00D846F0">
        <w:rPr>
          <w:i/>
          <w:iCs/>
        </w:rPr>
        <w:t xml:space="preserve"> </w:t>
      </w:r>
      <w:r>
        <w:rPr>
          <w:i/>
          <w:iCs/>
        </w:rPr>
        <w:t>Intersex Inquiry,</w:t>
      </w:r>
      <w:r>
        <w:t xml:space="preserve"> 9.</w:t>
      </w:r>
    </w:p>
  </w:endnote>
  <w:endnote w:id="368">
    <w:p w:rsidR="004D61D2" w:rsidP="004D61D2" w:rsidRDefault="004D61D2" w14:paraId="4D16D768" w14:textId="77777777">
      <w:pPr>
        <w:pStyle w:val="EndnoteText"/>
      </w:pPr>
      <w:r>
        <w:rPr>
          <w:rStyle w:val="EndnoteReference"/>
        </w:rPr>
        <w:endnoteRef/>
      </w:r>
      <w:r>
        <w:t xml:space="preserve"> Submission 36,</w:t>
      </w:r>
      <w:r w:rsidRPr="00D846F0">
        <w:rPr>
          <w:i/>
          <w:iCs/>
        </w:rPr>
        <w:t xml:space="preserve"> </w:t>
      </w:r>
      <w:r>
        <w:rPr>
          <w:i/>
          <w:iCs/>
        </w:rPr>
        <w:t>Intersex Inquiry,</w:t>
      </w:r>
      <w:r>
        <w:t xml:space="preserve"> 1. </w:t>
      </w:r>
    </w:p>
  </w:endnote>
  <w:endnote w:id="369">
    <w:p w:rsidR="004D61D2" w:rsidP="004D61D2" w:rsidRDefault="004D61D2" w14:paraId="0052994F" w14:textId="77777777">
      <w:pPr>
        <w:pStyle w:val="EndnoteText"/>
      </w:pPr>
      <w:r>
        <w:rPr>
          <w:rStyle w:val="EndnoteReference"/>
        </w:rPr>
        <w:endnoteRef/>
      </w:r>
      <w:r>
        <w:t xml:space="preserve"> Submission 33,</w:t>
      </w:r>
      <w:r w:rsidRPr="00D846F0">
        <w:rPr>
          <w:i/>
          <w:iCs/>
        </w:rPr>
        <w:t xml:space="preserve"> </w:t>
      </w:r>
      <w:r>
        <w:rPr>
          <w:i/>
          <w:iCs/>
        </w:rPr>
        <w:t>Intersex Inquiry,</w:t>
      </w:r>
      <w:r>
        <w:t xml:space="preserve"> 1.</w:t>
      </w:r>
    </w:p>
  </w:endnote>
  <w:endnote w:id="370">
    <w:p w:rsidRPr="00ED59AA" w:rsidR="004D61D2" w:rsidP="004D61D2" w:rsidRDefault="004D61D2" w14:paraId="7BD02E15" w14:textId="77777777">
      <w:pPr>
        <w:pStyle w:val="EndnoteText"/>
        <w:rPr>
          <w:lang w:val="en-US"/>
        </w:rPr>
      </w:pPr>
      <w:r>
        <w:rPr>
          <w:rStyle w:val="EndnoteReference"/>
        </w:rPr>
        <w:endnoteRef/>
      </w:r>
      <w:r>
        <w:t xml:space="preserve"> </w:t>
      </w:r>
      <w:r>
        <w:rPr>
          <w:rFonts w:cs="Open Sans"/>
        </w:rPr>
        <w:t>A</w:t>
      </w:r>
      <w:r w:rsidRPr="00CB4F30">
        <w:rPr>
          <w:rFonts w:cs="Open Sans"/>
        </w:rPr>
        <w:t xml:space="preserve"> Hughes et al, ‘Consensus statement on management of intersex disorders’ (2006) 2 </w:t>
      </w:r>
      <w:r w:rsidRPr="00CB4F30">
        <w:rPr>
          <w:rFonts w:cs="Open Sans"/>
          <w:i/>
        </w:rPr>
        <w:t xml:space="preserve">Journal of Pediatric Urology </w:t>
      </w:r>
      <w:r w:rsidRPr="00CB4F30">
        <w:rPr>
          <w:rFonts w:cs="Open Sans"/>
        </w:rPr>
        <w:t>1</w:t>
      </w:r>
      <w:r>
        <w:rPr>
          <w:rFonts w:cs="Open Sans"/>
        </w:rPr>
        <w:t>56.</w:t>
      </w:r>
    </w:p>
  </w:endnote>
  <w:endnote w:id="371">
    <w:p w:rsidR="004D61D2" w:rsidP="004D61D2" w:rsidRDefault="004D61D2" w14:paraId="7C84D948" w14:textId="77777777">
      <w:pPr>
        <w:pStyle w:val="EndnoteText"/>
      </w:pPr>
      <w:r>
        <w:rPr>
          <w:rStyle w:val="EndnoteReference"/>
        </w:rPr>
        <w:endnoteRef/>
      </w:r>
      <w:r>
        <w:t xml:space="preserve"> Australasian Paediatric </w:t>
      </w:r>
      <w:r w:rsidRPr="001E7304">
        <w:t>Endocrine Group,</w:t>
      </w:r>
      <w:r w:rsidRPr="00402A6F">
        <w:rPr>
          <w:i/>
          <w:iCs/>
        </w:rPr>
        <w:t xml:space="preserve"> </w:t>
      </w:r>
      <w:r>
        <w:rPr>
          <w:i/>
          <w:iCs/>
        </w:rPr>
        <w:t>Intersex Inquiry,</w:t>
      </w:r>
      <w:r>
        <w:t xml:space="preserve"> 6. </w:t>
      </w:r>
    </w:p>
  </w:endnote>
  <w:endnote w:id="372">
    <w:p w:rsidRPr="003F03DB" w:rsidR="004D61D2" w:rsidP="004D61D2" w:rsidRDefault="004D61D2" w14:paraId="0F909EEA" w14:textId="77777777">
      <w:pPr>
        <w:pStyle w:val="EndnoteText"/>
        <w:rPr>
          <w:rFonts w:cs="Open Sans"/>
        </w:rPr>
      </w:pPr>
      <w:r w:rsidRPr="003F03DB">
        <w:rPr>
          <w:rStyle w:val="EndnoteReference"/>
          <w:rFonts w:cs="Open Sans"/>
        </w:rPr>
        <w:endnoteRef/>
      </w:r>
      <w:r w:rsidRPr="003F03DB">
        <w:rPr>
          <w:rFonts w:cs="Open Sans"/>
        </w:rPr>
        <w:t xml:space="preserve"> </w:t>
      </w:r>
      <w:r>
        <w:rPr>
          <w:rFonts w:cs="Open Sans"/>
        </w:rPr>
        <w:t>Submission 55,</w:t>
      </w:r>
      <w:r w:rsidRPr="00402A6F">
        <w:rPr>
          <w:i/>
          <w:iCs/>
        </w:rPr>
        <w:t xml:space="preserve"> </w:t>
      </w:r>
      <w:r>
        <w:rPr>
          <w:i/>
          <w:iCs/>
        </w:rPr>
        <w:t>Intersex Inquiry,</w:t>
      </w:r>
      <w:r>
        <w:rPr>
          <w:rFonts w:cs="Open Sans"/>
        </w:rPr>
        <w:t xml:space="preserve"> 6. </w:t>
      </w:r>
    </w:p>
  </w:endnote>
  <w:endnote w:id="373">
    <w:p w:rsidRPr="003F03DB" w:rsidR="004D61D2" w:rsidP="004D61D2" w:rsidRDefault="004D61D2" w14:paraId="3A2D1EF2" w14:textId="77777777">
      <w:pPr>
        <w:pStyle w:val="EndnoteText"/>
        <w:rPr>
          <w:rFonts w:cs="Open Sans"/>
        </w:rPr>
      </w:pPr>
      <w:r w:rsidRPr="003F03DB">
        <w:rPr>
          <w:rStyle w:val="EndnoteReference"/>
          <w:rFonts w:cs="Open Sans"/>
        </w:rPr>
        <w:endnoteRef/>
      </w:r>
      <w:r w:rsidRPr="003F03DB">
        <w:rPr>
          <w:rFonts w:cs="Open Sans"/>
        </w:rPr>
        <w:t xml:space="preserve"> </w:t>
      </w:r>
      <w:r>
        <w:rPr>
          <w:rFonts w:cs="Open Sans"/>
        </w:rPr>
        <w:t xml:space="preserve">Submission </w:t>
      </w:r>
      <w:r w:rsidRPr="003F03DB">
        <w:rPr>
          <w:rFonts w:cs="Open Sans"/>
        </w:rPr>
        <w:t>68</w:t>
      </w:r>
      <w:r>
        <w:rPr>
          <w:rFonts w:cs="Open Sans"/>
        </w:rPr>
        <w:t>,</w:t>
      </w:r>
      <w:r w:rsidRPr="00402A6F">
        <w:rPr>
          <w:i/>
          <w:iCs/>
        </w:rPr>
        <w:t xml:space="preserve"> </w:t>
      </w:r>
      <w:r>
        <w:rPr>
          <w:i/>
          <w:iCs/>
        </w:rPr>
        <w:t>Intersex Inquiry,</w:t>
      </w:r>
      <w:r>
        <w:rPr>
          <w:rFonts w:cs="Open Sans"/>
        </w:rPr>
        <w:t xml:space="preserve"> 5. </w:t>
      </w:r>
    </w:p>
  </w:endnote>
  <w:endnote w:id="374">
    <w:p w:rsidR="004D61D2" w:rsidP="004D61D2" w:rsidRDefault="004D61D2" w14:paraId="7008FCA2" w14:textId="77777777">
      <w:pPr>
        <w:spacing w:after="0"/>
      </w:pPr>
      <w:r w:rsidRPr="00A62B79">
        <w:rPr>
          <w:rStyle w:val="EndnoteReference"/>
          <w:rFonts w:cs="Open Sans"/>
          <w:szCs w:val="20"/>
        </w:rPr>
        <w:endnoteRef/>
      </w:r>
      <w:r w:rsidRPr="00A62B79">
        <w:rPr>
          <w:rFonts w:cs="Open Sans"/>
          <w:sz w:val="20"/>
          <w:szCs w:val="20"/>
        </w:rPr>
        <w:t xml:space="preserve"> </w:t>
      </w:r>
      <w:r w:rsidRPr="00402A6F">
        <w:rPr>
          <w:rFonts w:cstheme="minorHAnsi"/>
          <w:sz w:val="20"/>
          <w:szCs w:val="20"/>
        </w:rPr>
        <w:t>Submission 68,</w:t>
      </w:r>
      <w:r w:rsidRPr="00402A6F">
        <w:rPr>
          <w:rFonts w:cstheme="minorHAnsi"/>
          <w:i/>
          <w:iCs/>
          <w:sz w:val="20"/>
          <w:szCs w:val="20"/>
        </w:rPr>
        <w:t xml:space="preserve"> Intersex Inquiry,</w:t>
      </w:r>
      <w:r w:rsidRPr="00402A6F">
        <w:rPr>
          <w:rFonts w:cstheme="minorHAnsi"/>
          <w:sz w:val="20"/>
          <w:szCs w:val="20"/>
        </w:rPr>
        <w:t xml:space="preserve"> 5.</w:t>
      </w:r>
    </w:p>
  </w:endnote>
  <w:endnote w:id="375">
    <w:p w:rsidR="004D61D2" w:rsidP="004D61D2" w:rsidRDefault="004D61D2" w14:paraId="23D0C113" w14:textId="77777777">
      <w:pPr>
        <w:pStyle w:val="EndnoteText"/>
      </w:pPr>
      <w:r>
        <w:rPr>
          <w:rStyle w:val="EndnoteReference"/>
        </w:rPr>
        <w:endnoteRef/>
      </w:r>
      <w:r>
        <w:t xml:space="preserve"> </w:t>
      </w:r>
      <w:r>
        <w:rPr>
          <w:bCs/>
          <w:lang w:val="en-US"/>
        </w:rPr>
        <w:t xml:space="preserve">Submission </w:t>
      </w:r>
      <w:r w:rsidRPr="00CC6C8F">
        <w:rPr>
          <w:bCs/>
          <w:lang w:val="en-US"/>
        </w:rPr>
        <w:t>19</w:t>
      </w:r>
      <w:r>
        <w:rPr>
          <w:bCs/>
          <w:lang w:val="en-US"/>
        </w:rPr>
        <w:t>,</w:t>
      </w:r>
      <w:r w:rsidRPr="00402A6F">
        <w:rPr>
          <w:i/>
          <w:iCs/>
        </w:rPr>
        <w:t xml:space="preserve"> </w:t>
      </w:r>
      <w:r>
        <w:rPr>
          <w:i/>
          <w:iCs/>
        </w:rPr>
        <w:t>Intersex Inquiry</w:t>
      </w:r>
      <w:r>
        <w:rPr>
          <w:bCs/>
          <w:lang w:val="en-US"/>
        </w:rPr>
        <w:t xml:space="preserve">; </w:t>
      </w:r>
      <w:r>
        <w:t>Submission 68,</w:t>
      </w:r>
      <w:r w:rsidRPr="009A2B2E">
        <w:rPr>
          <w:bCs/>
          <w:lang w:val="en-US"/>
        </w:rPr>
        <w:t xml:space="preserve"> </w:t>
      </w:r>
      <w:r>
        <w:rPr>
          <w:i/>
          <w:iCs/>
        </w:rPr>
        <w:t>Intersex Inquiry,</w:t>
      </w:r>
      <w:r>
        <w:t xml:space="preserve"> </w:t>
      </w:r>
      <w:r>
        <w:rPr>
          <w:bCs/>
          <w:lang w:val="en-US"/>
        </w:rPr>
        <w:t xml:space="preserve">5. </w:t>
      </w:r>
    </w:p>
  </w:endnote>
  <w:endnote w:id="376">
    <w:p w:rsidRPr="00F8141D" w:rsidR="004D61D2" w:rsidP="004D61D2" w:rsidRDefault="004D61D2" w14:paraId="1A8BB0E0" w14:textId="77777777">
      <w:pPr>
        <w:pStyle w:val="EndnoteText"/>
        <w:rPr>
          <w:lang w:val="en-US"/>
        </w:rPr>
      </w:pPr>
      <w:r>
        <w:rPr>
          <w:rStyle w:val="EndnoteReference"/>
        </w:rPr>
        <w:endnoteRef/>
      </w:r>
      <w:r>
        <w:t xml:space="preserve"> </w:t>
      </w:r>
      <w:r>
        <w:rPr>
          <w:lang w:val="en-US"/>
        </w:rPr>
        <w:t xml:space="preserve">Submission 19, </w:t>
      </w:r>
      <w:r>
        <w:rPr>
          <w:i/>
          <w:iCs/>
        </w:rPr>
        <w:t>Intersex Inquiry.</w:t>
      </w:r>
    </w:p>
  </w:endnote>
  <w:endnote w:id="377">
    <w:p w:rsidR="004D61D2" w:rsidP="004D61D2" w:rsidRDefault="004D61D2" w14:paraId="7C0D32F9" w14:textId="77777777">
      <w:pPr>
        <w:pStyle w:val="EndnoteText"/>
      </w:pPr>
      <w:r>
        <w:rPr>
          <w:rStyle w:val="EndnoteReference"/>
        </w:rPr>
        <w:endnoteRef/>
      </w:r>
      <w:r>
        <w:t xml:space="preserve"> Submission 26,</w:t>
      </w:r>
      <w:r w:rsidRPr="00402A6F">
        <w:rPr>
          <w:i/>
          <w:iCs/>
        </w:rPr>
        <w:t xml:space="preserve"> </w:t>
      </w:r>
      <w:r>
        <w:rPr>
          <w:i/>
          <w:iCs/>
        </w:rPr>
        <w:t>Intersex Inquiry,</w:t>
      </w:r>
      <w:r>
        <w:t xml:space="preserve"> 2; Submission 45,</w:t>
      </w:r>
      <w:r w:rsidRPr="00402A6F">
        <w:rPr>
          <w:i/>
          <w:iCs/>
        </w:rPr>
        <w:t xml:space="preserve"> </w:t>
      </w:r>
      <w:r>
        <w:rPr>
          <w:i/>
          <w:iCs/>
        </w:rPr>
        <w:t>Intersex Inquiry,</w:t>
      </w:r>
      <w:r>
        <w:t xml:space="preserve"> 7.</w:t>
      </w:r>
    </w:p>
  </w:endnote>
  <w:endnote w:id="378">
    <w:p w:rsidR="004D61D2" w:rsidP="004D61D2" w:rsidRDefault="004D61D2" w14:paraId="2169841A" w14:textId="77777777">
      <w:pPr>
        <w:pStyle w:val="EndnoteText"/>
      </w:pPr>
      <w:r>
        <w:rPr>
          <w:rStyle w:val="EndnoteReference"/>
        </w:rPr>
        <w:endnoteRef/>
      </w:r>
      <w:r>
        <w:t xml:space="preserve"> Intersex Human Rights Australia, Submission 40,</w:t>
      </w:r>
      <w:r w:rsidRPr="00402A6F">
        <w:rPr>
          <w:i/>
          <w:iCs/>
        </w:rPr>
        <w:t xml:space="preserve"> </w:t>
      </w:r>
      <w:r>
        <w:rPr>
          <w:i/>
          <w:iCs/>
        </w:rPr>
        <w:t>Intersex Inquiry,</w:t>
      </w:r>
      <w:r>
        <w:t xml:space="preserve"> 76. </w:t>
      </w:r>
    </w:p>
  </w:endnote>
  <w:endnote w:id="379">
    <w:p w:rsidR="004D61D2" w:rsidP="004D61D2" w:rsidRDefault="004D61D2" w14:paraId="67FDA6D8" w14:textId="77777777">
      <w:pPr>
        <w:pStyle w:val="EndnoteText"/>
      </w:pPr>
      <w:r>
        <w:rPr>
          <w:rStyle w:val="EndnoteReference"/>
        </w:rPr>
        <w:endnoteRef/>
      </w:r>
      <w:r>
        <w:t xml:space="preserve"> A Gender Agenda, Submission 52</w:t>
      </w:r>
      <w:r>
        <w:rPr>
          <w:i/>
          <w:iCs/>
        </w:rPr>
        <w:t>, Intersex Inquiry</w:t>
      </w:r>
      <w:r>
        <w:t xml:space="preserve">. </w:t>
      </w:r>
    </w:p>
  </w:endnote>
  <w:endnote w:id="380">
    <w:p w:rsidR="004D61D2" w:rsidP="004D61D2" w:rsidRDefault="004D61D2" w14:paraId="08F69EAA" w14:textId="77777777">
      <w:pPr>
        <w:pStyle w:val="EndnoteText"/>
      </w:pPr>
      <w:r>
        <w:rPr>
          <w:rStyle w:val="EndnoteReference"/>
        </w:rPr>
        <w:endnoteRef/>
      </w:r>
      <w:r>
        <w:t xml:space="preserve"> Submission 41, </w:t>
      </w:r>
      <w:r>
        <w:rPr>
          <w:i/>
          <w:iCs/>
        </w:rPr>
        <w:t>Intersex Inquiry,</w:t>
      </w:r>
      <w:r>
        <w:t xml:space="preserve"> 7, Submission 33, </w:t>
      </w:r>
      <w:r>
        <w:rPr>
          <w:i/>
          <w:iCs/>
        </w:rPr>
        <w:t>Intersex Inquiry,</w:t>
      </w:r>
      <w:r>
        <w:t xml:space="preserve"> 1. </w:t>
      </w:r>
    </w:p>
  </w:endnote>
  <w:endnote w:id="381">
    <w:p w:rsidRPr="00F8141D" w:rsidR="004D61D2" w:rsidP="004D61D2" w:rsidRDefault="004D61D2" w14:paraId="78318C56" w14:textId="77777777">
      <w:pPr>
        <w:pStyle w:val="EndnoteText"/>
        <w:rPr>
          <w:lang w:val="en-US"/>
        </w:rPr>
      </w:pPr>
      <w:r>
        <w:rPr>
          <w:rStyle w:val="EndnoteReference"/>
        </w:rPr>
        <w:endnoteRef/>
      </w:r>
      <w:r>
        <w:t xml:space="preserve"> </w:t>
      </w:r>
      <w:r w:rsidRPr="00CB4F30">
        <w:rPr>
          <w:rFonts w:cs="Open Sans"/>
        </w:rPr>
        <w:t xml:space="preserve">Peter A Lee et al, ‘Global Disorders of Sex Development Update since 2006: Perceptions, Approach and Care’ (2016) 85 </w:t>
      </w:r>
      <w:r w:rsidRPr="00CB4F30">
        <w:rPr>
          <w:rFonts w:cs="Open Sans"/>
          <w:i/>
        </w:rPr>
        <w:t>Hormone Research in Paediatrics</w:t>
      </w:r>
      <w:r w:rsidRPr="00CB4F30">
        <w:rPr>
          <w:rFonts w:cs="Open Sans"/>
        </w:rPr>
        <w:t xml:space="preserve"> 158, 176</w:t>
      </w:r>
      <w:r>
        <w:rPr>
          <w:rFonts w:cs="Open Sans"/>
        </w:rPr>
        <w:t>.</w:t>
      </w:r>
    </w:p>
  </w:endnote>
  <w:endnote w:id="382">
    <w:p w:rsidR="004D61D2" w:rsidP="004D61D2" w:rsidRDefault="004D61D2" w14:paraId="1FE1C25E" w14:textId="77777777">
      <w:pPr>
        <w:pStyle w:val="EndnoteText"/>
      </w:pPr>
      <w:r>
        <w:rPr>
          <w:rStyle w:val="EndnoteReference"/>
        </w:rPr>
        <w:endnoteRef/>
      </w:r>
      <w:r>
        <w:t xml:space="preserve"> Submission 45,</w:t>
      </w:r>
      <w:r w:rsidRPr="00021DF0">
        <w:rPr>
          <w:i/>
          <w:iCs/>
        </w:rPr>
        <w:t xml:space="preserve"> </w:t>
      </w:r>
      <w:r>
        <w:rPr>
          <w:i/>
          <w:iCs/>
        </w:rPr>
        <w:t>Intersex Inquiry,</w:t>
      </w:r>
      <w:r>
        <w:t xml:space="preserve"> 8, citing T </w:t>
      </w:r>
      <w:r w:rsidRPr="002446D8">
        <w:t xml:space="preserve">Jones, </w:t>
      </w:r>
      <w:r>
        <w:t>B</w:t>
      </w:r>
      <w:r w:rsidRPr="002446D8">
        <w:t xml:space="preserve"> Hart,</w:t>
      </w:r>
      <w:r>
        <w:t xml:space="preserve"> M</w:t>
      </w:r>
      <w:r w:rsidRPr="002446D8">
        <w:t xml:space="preserve"> Carpenter,</w:t>
      </w:r>
      <w:r>
        <w:t xml:space="preserve"> G</w:t>
      </w:r>
      <w:r w:rsidRPr="002446D8">
        <w:t xml:space="preserve"> Ansara, </w:t>
      </w:r>
      <w:r>
        <w:t>W</w:t>
      </w:r>
      <w:r w:rsidRPr="002446D8">
        <w:t xml:space="preserve"> Leonard, </w:t>
      </w:r>
      <w:r>
        <w:t>and J</w:t>
      </w:r>
      <w:r w:rsidRPr="002446D8">
        <w:t xml:space="preserve"> Lucke, </w:t>
      </w:r>
      <w:r w:rsidRPr="002446D8">
        <w:rPr>
          <w:i/>
          <w:iCs/>
        </w:rPr>
        <w:t>Intersex: Stories and statistics from Australia</w:t>
      </w:r>
      <w:r w:rsidRPr="002446D8">
        <w:t xml:space="preserve"> </w:t>
      </w:r>
      <w:r>
        <w:t>(</w:t>
      </w:r>
      <w:r w:rsidRPr="002446D8">
        <w:t>Open Book Publishers</w:t>
      </w:r>
      <w:r>
        <w:t>, 2017)</w:t>
      </w:r>
      <w:r w:rsidRPr="002446D8">
        <w:t xml:space="preserve"> </w:t>
      </w:r>
      <w:r>
        <w:t>&lt;</w:t>
      </w:r>
      <w:hyperlink w:history="1" r:id="rId38">
        <w:r w:rsidRPr="001A1C4C">
          <w:rPr>
            <w:rStyle w:val="Hyperlink"/>
          </w:rPr>
          <w:t>https://research-management.mq.edu.au/ws/portalfiles/portal/83835078/72593734.pdf</w:t>
        </w:r>
      </w:hyperlink>
      <w:r>
        <w:rPr>
          <w:rStyle w:val="Hyperlink"/>
        </w:rPr>
        <w:t>&gt;.</w:t>
      </w:r>
    </w:p>
  </w:endnote>
  <w:endnote w:id="383">
    <w:p w:rsidR="004D61D2" w:rsidP="004D61D2" w:rsidRDefault="004D61D2" w14:paraId="32EA6531" w14:textId="77777777">
      <w:pPr>
        <w:pStyle w:val="EndnoteText"/>
      </w:pPr>
      <w:r>
        <w:rPr>
          <w:rStyle w:val="EndnoteReference"/>
        </w:rPr>
        <w:endnoteRef/>
      </w:r>
      <w:r>
        <w:t xml:space="preserve"> Submission 45,</w:t>
      </w:r>
      <w:r w:rsidRPr="00021DF0">
        <w:rPr>
          <w:i/>
          <w:iCs/>
        </w:rPr>
        <w:t xml:space="preserve"> </w:t>
      </w:r>
      <w:r>
        <w:rPr>
          <w:i/>
          <w:iCs/>
        </w:rPr>
        <w:t>Intersex Inquiry,</w:t>
      </w:r>
      <w:r>
        <w:t xml:space="preserve"> 8, citing R </w:t>
      </w:r>
      <w:r w:rsidRPr="00C30F61">
        <w:t xml:space="preserve">Fagerholm, </w:t>
      </w:r>
      <w:r>
        <w:t xml:space="preserve">AK </w:t>
      </w:r>
      <w:r w:rsidRPr="00C30F61">
        <w:t xml:space="preserve">Mattila, </w:t>
      </w:r>
      <w:r>
        <w:t>RP</w:t>
      </w:r>
      <w:r w:rsidRPr="00C30F61">
        <w:t xml:space="preserve"> Roine, </w:t>
      </w:r>
      <w:r>
        <w:t>H</w:t>
      </w:r>
      <w:r w:rsidRPr="00C30F61">
        <w:t xml:space="preserve"> Sintonen </w:t>
      </w:r>
      <w:r>
        <w:t>and</w:t>
      </w:r>
      <w:r w:rsidRPr="00C30F61">
        <w:t xml:space="preserve"> </w:t>
      </w:r>
      <w:r>
        <w:t xml:space="preserve">S </w:t>
      </w:r>
      <w:r w:rsidRPr="00C30F61">
        <w:t xml:space="preserve">Taskinen, </w:t>
      </w:r>
      <w:r>
        <w:t>‘</w:t>
      </w:r>
      <w:r w:rsidRPr="00C30F61">
        <w:t>Mental health and quality of life after feminizing genitoplasty</w:t>
      </w:r>
      <w:r>
        <w:t>’</w:t>
      </w:r>
      <w:r w:rsidRPr="00C30F61">
        <w:t>. (2012)</w:t>
      </w:r>
      <w:r>
        <w:t xml:space="preserve"> 47(4)</w:t>
      </w:r>
      <w:r w:rsidRPr="00C30F61">
        <w:t xml:space="preserve"> </w:t>
      </w:r>
      <w:r w:rsidRPr="009E6629">
        <w:rPr>
          <w:i/>
          <w:iCs/>
        </w:rPr>
        <w:t>Journal of Pediatric Surgery</w:t>
      </w:r>
      <w:r>
        <w:rPr>
          <w:i/>
          <w:iCs/>
        </w:rPr>
        <w:t xml:space="preserve"> </w:t>
      </w:r>
      <w:r w:rsidRPr="00C30F61">
        <w:t>747</w:t>
      </w:r>
      <w:r>
        <w:t>–</w:t>
      </w:r>
      <w:r w:rsidRPr="00C30F61">
        <w:t>751.</w:t>
      </w:r>
    </w:p>
  </w:endnote>
  <w:endnote w:id="384">
    <w:p w:rsidRPr="001E7304" w:rsidR="004D61D2" w:rsidP="004D61D2" w:rsidRDefault="004D61D2" w14:paraId="6538E8DB" w14:textId="77777777">
      <w:pPr>
        <w:pStyle w:val="EndnoteText"/>
      </w:pPr>
      <w:r>
        <w:rPr>
          <w:rStyle w:val="EndnoteReference"/>
        </w:rPr>
        <w:endnoteRef/>
      </w:r>
      <w:r>
        <w:t xml:space="preserve"> </w:t>
      </w:r>
      <w:r w:rsidRPr="00E0207E">
        <w:t>Western Australian Multidisciplinary DSD Team</w:t>
      </w:r>
      <w:r>
        <w:t>, Submission 23,</w:t>
      </w:r>
      <w:r w:rsidRPr="00021DF0">
        <w:rPr>
          <w:i/>
          <w:iCs/>
        </w:rPr>
        <w:t xml:space="preserve"> </w:t>
      </w:r>
      <w:r>
        <w:rPr>
          <w:i/>
          <w:iCs/>
        </w:rPr>
        <w:t>Intersex Inquiry,</w:t>
      </w:r>
      <w:r>
        <w:t xml:space="preserve"> 3; Australasian Paediatric </w:t>
      </w:r>
      <w:r w:rsidRPr="001E7304">
        <w:t>Endocrine Group,</w:t>
      </w:r>
      <w:r w:rsidRPr="001E7304">
        <w:rPr>
          <w:i/>
          <w:iCs/>
        </w:rPr>
        <w:t xml:space="preserve"> Intersex Inquiry,</w:t>
      </w:r>
      <w:r w:rsidRPr="001E7304">
        <w:t xml:space="preserve"> 6; NHMRC funded research program, Submission 30, </w:t>
      </w:r>
      <w:r w:rsidRPr="001E7304">
        <w:rPr>
          <w:i/>
          <w:iCs/>
        </w:rPr>
        <w:t>Intersex Inquiry,</w:t>
      </w:r>
      <w:r w:rsidRPr="001E7304">
        <w:t xml:space="preserve"> 5. </w:t>
      </w:r>
    </w:p>
  </w:endnote>
  <w:endnote w:id="385">
    <w:p w:rsidR="004D61D2" w:rsidP="004D61D2" w:rsidRDefault="004D61D2" w14:paraId="534A1484" w14:textId="77777777">
      <w:pPr>
        <w:pStyle w:val="EndnoteText"/>
      </w:pPr>
      <w:r w:rsidRPr="001E7304">
        <w:rPr>
          <w:rStyle w:val="EndnoteReference"/>
        </w:rPr>
        <w:endnoteRef/>
      </w:r>
      <w:r w:rsidRPr="001E7304">
        <w:t xml:space="preserve"> T Jones, B Hart</w:t>
      </w:r>
      <w:r w:rsidRPr="002446D8">
        <w:t>,</w:t>
      </w:r>
      <w:r>
        <w:t xml:space="preserve"> M</w:t>
      </w:r>
      <w:r w:rsidRPr="002446D8">
        <w:t xml:space="preserve"> Carpenter,</w:t>
      </w:r>
      <w:r>
        <w:t xml:space="preserve"> G</w:t>
      </w:r>
      <w:r w:rsidRPr="002446D8">
        <w:t xml:space="preserve"> Ansara, </w:t>
      </w:r>
      <w:r>
        <w:t>W</w:t>
      </w:r>
      <w:r w:rsidRPr="002446D8">
        <w:t xml:space="preserve"> Leonard, </w:t>
      </w:r>
      <w:r>
        <w:t>and J</w:t>
      </w:r>
      <w:r w:rsidRPr="002446D8">
        <w:t xml:space="preserve"> Lucke, </w:t>
      </w:r>
      <w:r w:rsidRPr="002446D8">
        <w:rPr>
          <w:i/>
          <w:iCs/>
        </w:rPr>
        <w:t>Intersex: Stories and statistics from Australia</w:t>
      </w:r>
      <w:r w:rsidRPr="002446D8">
        <w:t xml:space="preserve"> </w:t>
      </w:r>
      <w:r>
        <w:t>(</w:t>
      </w:r>
      <w:r w:rsidRPr="002446D8">
        <w:t>Open Book Publishers</w:t>
      </w:r>
      <w:r>
        <w:t>, 2017)</w:t>
      </w:r>
      <w:r w:rsidRPr="002446D8">
        <w:t xml:space="preserve"> </w:t>
      </w:r>
      <w:r>
        <w:t>&lt;</w:t>
      </w:r>
      <w:hyperlink w:history="1" r:id="rId39">
        <w:r w:rsidRPr="001A1C4C">
          <w:rPr>
            <w:rStyle w:val="Hyperlink"/>
          </w:rPr>
          <w:t>https://research-management.mq.edu.au/ws/portalfiles/portal/83835078/72593734.pdf</w:t>
        </w:r>
      </w:hyperlink>
      <w:r>
        <w:rPr>
          <w:rStyle w:val="Hyperlink"/>
        </w:rPr>
        <w:t>&gt;</w:t>
      </w:r>
      <w:r w:rsidRPr="00230BA0">
        <w:rPr>
          <w:rStyle w:val="Hyperlink"/>
        </w:rPr>
        <w:t xml:space="preserve">; </w:t>
      </w:r>
      <w:r>
        <w:t xml:space="preserve">R </w:t>
      </w:r>
      <w:r w:rsidRPr="00C30F61">
        <w:t xml:space="preserve">Fagerholm, </w:t>
      </w:r>
      <w:r>
        <w:t xml:space="preserve">AK </w:t>
      </w:r>
      <w:r w:rsidRPr="00C30F61">
        <w:t xml:space="preserve">Mattila, </w:t>
      </w:r>
      <w:r>
        <w:t>RP</w:t>
      </w:r>
      <w:r w:rsidRPr="00C30F61">
        <w:t xml:space="preserve"> Roine, </w:t>
      </w:r>
      <w:r>
        <w:t>H</w:t>
      </w:r>
      <w:r w:rsidRPr="00C30F61">
        <w:t xml:space="preserve"> Sintonen </w:t>
      </w:r>
      <w:r>
        <w:t>and</w:t>
      </w:r>
      <w:r w:rsidRPr="00C30F61">
        <w:t xml:space="preserve"> </w:t>
      </w:r>
      <w:r>
        <w:t xml:space="preserve">S </w:t>
      </w:r>
      <w:r w:rsidRPr="00C30F61">
        <w:t xml:space="preserve">Taskinen, </w:t>
      </w:r>
      <w:r>
        <w:t>‘</w:t>
      </w:r>
      <w:r w:rsidRPr="00C30F61">
        <w:t>Mental health and quality of life after feminizing genitoplasty</w:t>
      </w:r>
      <w:r>
        <w:t>’</w:t>
      </w:r>
      <w:r w:rsidRPr="00C30F61">
        <w:t>. (2012)</w:t>
      </w:r>
      <w:r>
        <w:t xml:space="preserve"> 47(4)</w:t>
      </w:r>
      <w:r w:rsidRPr="00C30F61">
        <w:t xml:space="preserve"> </w:t>
      </w:r>
      <w:r w:rsidRPr="009E6629">
        <w:rPr>
          <w:i/>
          <w:iCs/>
        </w:rPr>
        <w:t>Journal of Pediatric Surgery</w:t>
      </w:r>
      <w:r>
        <w:rPr>
          <w:i/>
          <w:iCs/>
        </w:rPr>
        <w:t xml:space="preserve"> </w:t>
      </w:r>
      <w:r w:rsidRPr="00C30F61">
        <w:t>747</w:t>
      </w:r>
      <w:r>
        <w:t>–</w:t>
      </w:r>
      <w:r w:rsidRPr="00C30F61">
        <w:t>751.</w:t>
      </w:r>
    </w:p>
  </w:endnote>
  <w:endnote w:id="386">
    <w:p w:rsidRPr="00982825" w:rsidR="004D61D2" w:rsidP="004D61D2" w:rsidRDefault="004D61D2" w14:paraId="5C01E890" w14:textId="77777777">
      <w:pPr>
        <w:pStyle w:val="EndnoteText"/>
        <w:rPr>
          <w:lang w:val="en-US"/>
        </w:rPr>
      </w:pPr>
      <w:r>
        <w:rPr>
          <w:rStyle w:val="EndnoteReference"/>
        </w:rPr>
        <w:endnoteRef/>
      </w:r>
      <w:r>
        <w:t xml:space="preserve"> </w:t>
      </w:r>
      <w:r w:rsidRPr="00CB4F30">
        <w:rPr>
          <w:rFonts w:cs="Open Sans"/>
        </w:rPr>
        <w:t xml:space="preserve">Peter A Lee et al, ‘Global Disorders of Sex Development Update since 2006: Perceptions, Approach and Care’ (2016) 85 </w:t>
      </w:r>
      <w:r w:rsidRPr="00CB4F30">
        <w:rPr>
          <w:rFonts w:cs="Open Sans"/>
          <w:i/>
        </w:rPr>
        <w:t>Hormone Research in Paediatrics</w:t>
      </w:r>
      <w:r w:rsidRPr="00CB4F30">
        <w:rPr>
          <w:rFonts w:cs="Open Sans"/>
        </w:rPr>
        <w:t xml:space="preserve"> </w:t>
      </w:r>
      <w:r>
        <w:rPr>
          <w:rFonts w:cs="Open Sans"/>
        </w:rPr>
        <w:t>176.</w:t>
      </w:r>
    </w:p>
  </w:endnote>
  <w:endnote w:id="387">
    <w:p w:rsidRPr="00982825" w:rsidR="004D61D2" w:rsidP="004D61D2" w:rsidRDefault="004D61D2" w14:paraId="5043C9A2" w14:textId="77777777">
      <w:pPr>
        <w:pStyle w:val="EndnoteText"/>
        <w:rPr>
          <w:lang w:val="en-US"/>
        </w:rPr>
      </w:pPr>
      <w:r>
        <w:rPr>
          <w:rStyle w:val="EndnoteReference"/>
        </w:rPr>
        <w:endnoteRef/>
      </w:r>
      <w:r>
        <w:rPr>
          <w:rFonts w:cs="Open Sans"/>
        </w:rPr>
        <w:t xml:space="preserve"> IA</w:t>
      </w:r>
      <w:r w:rsidRPr="00CB4F30">
        <w:rPr>
          <w:rFonts w:cs="Open Sans"/>
        </w:rPr>
        <w:t xml:space="preserve"> Hughes et al, ‘Consensus statement on management of intersex disorders’ (2006) 2 </w:t>
      </w:r>
      <w:r w:rsidRPr="00CB4F30">
        <w:rPr>
          <w:rFonts w:cs="Open Sans"/>
          <w:i/>
        </w:rPr>
        <w:t xml:space="preserve">Journal of Pediatric Urology </w:t>
      </w:r>
      <w:r>
        <w:rPr>
          <w:lang w:val="en-US"/>
        </w:rPr>
        <w:t>155.</w:t>
      </w:r>
    </w:p>
  </w:endnote>
  <w:endnote w:id="388">
    <w:p w:rsidRPr="00185064" w:rsidR="00810FD7" w:rsidP="00810FD7" w:rsidRDefault="00810FD7" w14:paraId="3F2D92BC" w14:textId="77777777">
      <w:pPr>
        <w:pStyle w:val="EndnoteText"/>
        <w:rPr>
          <w:lang w:val="en-US"/>
        </w:rPr>
      </w:pPr>
      <w:r>
        <w:rPr>
          <w:rStyle w:val="EndnoteReference"/>
        </w:rPr>
        <w:endnoteRef/>
      </w:r>
      <w:r>
        <w:t xml:space="preserve"> Submission </w:t>
      </w:r>
      <w:r>
        <w:rPr>
          <w:lang w:val="en-US"/>
        </w:rPr>
        <w:t>68,</w:t>
      </w:r>
      <w:r w:rsidRPr="0034053D">
        <w:rPr>
          <w:i/>
          <w:iCs/>
        </w:rPr>
        <w:t xml:space="preserve"> </w:t>
      </w:r>
      <w:r>
        <w:rPr>
          <w:i/>
          <w:iCs/>
        </w:rPr>
        <w:t>Intersex Inquiry,</w:t>
      </w:r>
      <w:r>
        <w:t xml:space="preserve"> </w:t>
      </w:r>
      <w:r>
        <w:rPr>
          <w:lang w:val="en-US"/>
        </w:rPr>
        <w:t>3.</w:t>
      </w:r>
    </w:p>
  </w:endnote>
  <w:endnote w:id="389">
    <w:p w:rsidR="00810FD7" w:rsidP="00810FD7" w:rsidRDefault="00810FD7" w14:paraId="52630F16" w14:textId="77777777">
      <w:pPr>
        <w:pStyle w:val="EndnoteText"/>
      </w:pPr>
      <w:r>
        <w:rPr>
          <w:rStyle w:val="EndnoteReference"/>
        </w:rPr>
        <w:endnoteRef/>
      </w:r>
      <w:r>
        <w:t xml:space="preserve"> </w:t>
      </w:r>
      <w:r w:rsidRPr="00871339">
        <w:t>NHMRC funded research program</w:t>
      </w:r>
      <w:r>
        <w:t>,</w:t>
      </w:r>
      <w:r w:rsidRPr="00871339">
        <w:t xml:space="preserve"> </w:t>
      </w:r>
      <w:r>
        <w:t>Submission 30,</w:t>
      </w:r>
      <w:r w:rsidRPr="00A30756">
        <w:rPr>
          <w:i/>
          <w:iCs/>
        </w:rPr>
        <w:t xml:space="preserve"> </w:t>
      </w:r>
      <w:r>
        <w:rPr>
          <w:i/>
          <w:iCs/>
        </w:rPr>
        <w:t>Intersex Inquiry,</w:t>
      </w:r>
      <w:r>
        <w:t xml:space="preserve"> 4; Submission 68,</w:t>
      </w:r>
      <w:r w:rsidRPr="00A30756">
        <w:rPr>
          <w:i/>
          <w:iCs/>
        </w:rPr>
        <w:t xml:space="preserve"> </w:t>
      </w:r>
      <w:r>
        <w:rPr>
          <w:i/>
          <w:iCs/>
        </w:rPr>
        <w:t>Intersex Inquiry,</w:t>
      </w:r>
      <w:r>
        <w:t xml:space="preserve"> 3.</w:t>
      </w:r>
    </w:p>
  </w:endnote>
  <w:endnote w:id="390">
    <w:p w:rsidRPr="00926FAC" w:rsidR="00810FD7" w:rsidP="00810FD7" w:rsidRDefault="00810FD7" w14:paraId="3D46A233" w14:textId="77777777">
      <w:pPr>
        <w:pStyle w:val="EndnoteText"/>
        <w:rPr>
          <w:lang w:val="en-US"/>
        </w:rPr>
      </w:pPr>
      <w:r>
        <w:rPr>
          <w:rStyle w:val="EndnoteReference"/>
        </w:rPr>
        <w:endnoteRef/>
      </w:r>
      <w:r>
        <w:t xml:space="preserve"> </w:t>
      </w:r>
      <w:r>
        <w:rPr>
          <w:lang w:val="en-US"/>
        </w:rPr>
        <w:t xml:space="preserve">Sydney medical roundtable, Melbourne medical roundtable 1 and 2, Perth medical roundtable. </w:t>
      </w:r>
    </w:p>
  </w:endnote>
  <w:endnote w:id="391">
    <w:p w:rsidRPr="00926FAC" w:rsidR="00810FD7" w:rsidP="00810FD7" w:rsidRDefault="00810FD7" w14:paraId="59C944E2" w14:textId="77777777">
      <w:pPr>
        <w:pStyle w:val="EndnoteText"/>
        <w:rPr>
          <w:lang w:val="en-US"/>
        </w:rPr>
      </w:pPr>
      <w:r>
        <w:rPr>
          <w:rStyle w:val="EndnoteReference"/>
        </w:rPr>
        <w:endnoteRef/>
      </w:r>
      <w:r>
        <w:t xml:space="preserve"> </w:t>
      </w:r>
      <w:r>
        <w:rPr>
          <w:lang w:val="en-US"/>
        </w:rPr>
        <w:t xml:space="preserve">Brisbane medical roundtable. </w:t>
      </w:r>
    </w:p>
  </w:endnote>
  <w:endnote w:id="392">
    <w:p w:rsidRPr="00F51902" w:rsidR="00810FD7" w:rsidP="00810FD7" w:rsidRDefault="00810FD7" w14:paraId="19648173" w14:textId="77777777">
      <w:pPr>
        <w:pStyle w:val="EndnoteText"/>
        <w:rPr>
          <w:lang w:val="en-US"/>
        </w:rPr>
      </w:pPr>
      <w:r>
        <w:rPr>
          <w:rStyle w:val="EndnoteReference"/>
        </w:rPr>
        <w:endnoteRef/>
      </w:r>
      <w:r>
        <w:t xml:space="preserve"> Submission 20, </w:t>
      </w:r>
      <w:r>
        <w:rPr>
          <w:i/>
          <w:iCs/>
        </w:rPr>
        <w:t>Intersex Inquiry,</w:t>
      </w:r>
      <w:r>
        <w:t xml:space="preserve"> 9.</w:t>
      </w:r>
    </w:p>
  </w:endnote>
  <w:endnote w:id="393">
    <w:p w:rsidRPr="00412023" w:rsidR="00810FD7" w:rsidP="00810FD7" w:rsidRDefault="00810FD7" w14:paraId="3FC6C91B" w14:textId="77777777">
      <w:pPr>
        <w:pStyle w:val="EndnoteText"/>
        <w:rPr>
          <w:lang w:val="en-US"/>
        </w:rPr>
      </w:pPr>
      <w:r>
        <w:rPr>
          <w:rStyle w:val="EndnoteReference"/>
        </w:rPr>
        <w:endnoteRef/>
      </w:r>
      <w:r>
        <w:t xml:space="preserve"> </w:t>
      </w:r>
      <w:r>
        <w:rPr>
          <w:lang w:val="en-US"/>
        </w:rPr>
        <w:t xml:space="preserve">Brisbane medical roundtable. </w:t>
      </w:r>
    </w:p>
  </w:endnote>
  <w:endnote w:id="394">
    <w:p w:rsidRPr="00932222" w:rsidR="00810FD7" w:rsidP="00810FD7" w:rsidRDefault="00810FD7" w14:paraId="481DF0B7" w14:textId="77777777">
      <w:pPr>
        <w:pStyle w:val="EndnoteText"/>
        <w:rPr>
          <w:lang w:val="en-US"/>
        </w:rPr>
      </w:pPr>
      <w:r>
        <w:rPr>
          <w:rStyle w:val="EndnoteReference"/>
        </w:rPr>
        <w:endnoteRef/>
      </w:r>
      <w:r>
        <w:t xml:space="preserve"> </w:t>
      </w:r>
      <w:r>
        <w:rPr>
          <w:lang w:val="en-US"/>
        </w:rPr>
        <w:t>Brisbane medical roundtable.</w:t>
      </w:r>
    </w:p>
  </w:endnote>
  <w:endnote w:id="395">
    <w:p w:rsidRPr="00DB69FC" w:rsidR="00810FD7" w:rsidP="00810FD7" w:rsidRDefault="00810FD7" w14:paraId="3FA88980" w14:textId="77777777">
      <w:pPr>
        <w:pStyle w:val="EndnoteText"/>
        <w:rPr>
          <w:lang w:val="en-US"/>
        </w:rPr>
      </w:pPr>
      <w:r>
        <w:rPr>
          <w:rStyle w:val="EndnoteReference"/>
        </w:rPr>
        <w:endnoteRef/>
      </w:r>
      <w:r>
        <w:t xml:space="preserve"> </w:t>
      </w:r>
      <w:r>
        <w:rPr>
          <w:lang w:val="en-US"/>
        </w:rPr>
        <w:t>Submission 68,</w:t>
      </w:r>
      <w:r w:rsidRPr="0088004C">
        <w:rPr>
          <w:i/>
          <w:iCs/>
        </w:rPr>
        <w:t xml:space="preserve"> </w:t>
      </w:r>
      <w:r>
        <w:rPr>
          <w:i/>
          <w:iCs/>
        </w:rPr>
        <w:t>Intersex Inquiry,</w:t>
      </w:r>
      <w:r>
        <w:t xml:space="preserve"> </w:t>
      </w:r>
      <w:r>
        <w:rPr>
          <w:lang w:val="en-US"/>
        </w:rPr>
        <w:t xml:space="preserve">3. </w:t>
      </w:r>
    </w:p>
  </w:endnote>
  <w:endnote w:id="396">
    <w:p w:rsidRPr="005840EE" w:rsidR="00810FD7" w:rsidP="00810FD7" w:rsidRDefault="00810FD7" w14:paraId="3FAFD85B" w14:textId="77777777">
      <w:pPr>
        <w:pStyle w:val="EndnoteText"/>
        <w:rPr>
          <w:lang w:val="en-US"/>
        </w:rPr>
      </w:pPr>
      <w:r>
        <w:rPr>
          <w:rStyle w:val="EndnoteReference"/>
        </w:rPr>
        <w:endnoteRef/>
      </w:r>
      <w:r>
        <w:t xml:space="preserve"> Australasian Paediatric Endocrine Group</w:t>
      </w:r>
      <w:r>
        <w:rPr>
          <w:lang w:val="en-US"/>
        </w:rPr>
        <w:t>, Submission 20,</w:t>
      </w:r>
      <w:r w:rsidRPr="0088004C">
        <w:rPr>
          <w:i/>
          <w:iCs/>
        </w:rPr>
        <w:t xml:space="preserve"> </w:t>
      </w:r>
      <w:r>
        <w:rPr>
          <w:i/>
          <w:iCs/>
        </w:rPr>
        <w:t>Intersex Inquiry,</w:t>
      </w:r>
      <w:r>
        <w:t xml:space="preserve"> </w:t>
      </w:r>
      <w:r>
        <w:rPr>
          <w:lang w:val="en-US"/>
        </w:rPr>
        <w:t>9.</w:t>
      </w:r>
    </w:p>
  </w:endnote>
  <w:endnote w:id="397">
    <w:p w:rsidRPr="005840EE" w:rsidR="00810FD7" w:rsidP="00810FD7" w:rsidRDefault="00810FD7" w14:paraId="580BE144" w14:textId="77777777">
      <w:pPr>
        <w:pStyle w:val="EndnoteText"/>
        <w:rPr>
          <w:lang w:val="en-US"/>
        </w:rPr>
      </w:pPr>
      <w:r>
        <w:rPr>
          <w:rStyle w:val="EndnoteReference"/>
        </w:rPr>
        <w:endnoteRef/>
      </w:r>
      <w:r>
        <w:t xml:space="preserve"> </w:t>
      </w:r>
      <w:r>
        <w:rPr>
          <w:lang w:val="en-US"/>
        </w:rPr>
        <w:t>Submission 50,</w:t>
      </w:r>
      <w:r w:rsidRPr="0088004C">
        <w:rPr>
          <w:i/>
          <w:iCs/>
        </w:rPr>
        <w:t xml:space="preserve"> </w:t>
      </w:r>
      <w:r>
        <w:rPr>
          <w:i/>
          <w:iCs/>
        </w:rPr>
        <w:t>Intersex Inquiry,</w:t>
      </w:r>
      <w:r>
        <w:t xml:space="preserve"> </w:t>
      </w:r>
      <w:r>
        <w:rPr>
          <w:lang w:val="en-US"/>
        </w:rPr>
        <w:t>2.</w:t>
      </w:r>
    </w:p>
  </w:endnote>
  <w:endnote w:id="398">
    <w:p w:rsidRPr="009B3C63" w:rsidR="00810FD7" w:rsidP="00810FD7" w:rsidRDefault="00810FD7" w14:paraId="5ACDCF1C" w14:textId="77777777">
      <w:pPr>
        <w:pStyle w:val="EndnoteText"/>
        <w:tabs>
          <w:tab w:val="left" w:pos="5220"/>
        </w:tabs>
        <w:rPr>
          <w:lang w:val="en-US"/>
        </w:rPr>
      </w:pPr>
      <w:r>
        <w:rPr>
          <w:rStyle w:val="EndnoteReference"/>
        </w:rPr>
        <w:endnoteRef/>
      </w:r>
      <w:r>
        <w:t xml:space="preserve"> Submission 23,</w:t>
      </w:r>
      <w:r w:rsidRPr="008338D5">
        <w:rPr>
          <w:i/>
          <w:iCs/>
        </w:rPr>
        <w:t xml:space="preserve"> </w:t>
      </w:r>
      <w:r>
        <w:rPr>
          <w:i/>
          <w:iCs/>
        </w:rPr>
        <w:t>Intersex Inquiry,</w:t>
      </w:r>
      <w:r>
        <w:t xml:space="preserve"> 3. </w:t>
      </w:r>
    </w:p>
  </w:endnote>
  <w:endnote w:id="399">
    <w:p w:rsidRPr="00C45AEC" w:rsidR="00810FD7" w:rsidP="00810FD7" w:rsidRDefault="00810FD7" w14:paraId="248F441C" w14:textId="77777777">
      <w:pPr>
        <w:pStyle w:val="EndnoteText"/>
        <w:rPr>
          <w:lang w:val="en-US"/>
        </w:rPr>
      </w:pPr>
      <w:r>
        <w:rPr>
          <w:rStyle w:val="EndnoteReference"/>
        </w:rPr>
        <w:endnoteRef/>
      </w:r>
      <w:r>
        <w:t xml:space="preserve"> </w:t>
      </w:r>
      <w:r w:rsidRPr="00C45AEC">
        <w:t>Submission 23,</w:t>
      </w:r>
      <w:r w:rsidRPr="008338D5">
        <w:rPr>
          <w:i/>
          <w:iCs/>
        </w:rPr>
        <w:t xml:space="preserve"> </w:t>
      </w:r>
      <w:r>
        <w:rPr>
          <w:i/>
          <w:iCs/>
        </w:rPr>
        <w:t>Intersex Inquiry,</w:t>
      </w:r>
      <w:r>
        <w:t xml:space="preserve"> </w:t>
      </w:r>
      <w:r w:rsidRPr="00C45AEC">
        <w:t>3</w:t>
      </w:r>
    </w:p>
  </w:endnote>
  <w:endnote w:id="400">
    <w:p w:rsidRPr="001B4881" w:rsidR="00810FD7" w:rsidP="00810FD7" w:rsidRDefault="00810FD7" w14:paraId="27349EF8" w14:textId="77777777">
      <w:pPr>
        <w:pStyle w:val="EndnoteText"/>
        <w:rPr>
          <w:lang w:val="en-US"/>
        </w:rPr>
      </w:pPr>
      <w:r>
        <w:rPr>
          <w:rStyle w:val="EndnoteReference"/>
        </w:rPr>
        <w:endnoteRef/>
      </w:r>
      <w:r>
        <w:t xml:space="preserve"> </w:t>
      </w:r>
      <w:r>
        <w:rPr>
          <w:lang w:val="en-US"/>
        </w:rPr>
        <w:t xml:space="preserve">Perth medical roundtable. </w:t>
      </w:r>
    </w:p>
  </w:endnote>
  <w:endnote w:id="401">
    <w:p w:rsidRPr="00C17FBE" w:rsidR="00810FD7" w:rsidP="00810FD7" w:rsidRDefault="00810FD7" w14:paraId="28C35DCC" w14:textId="77777777">
      <w:pPr>
        <w:pStyle w:val="EndnoteText"/>
        <w:rPr>
          <w:lang w:val="en-US"/>
        </w:rPr>
      </w:pPr>
      <w:r>
        <w:rPr>
          <w:rStyle w:val="EndnoteReference"/>
        </w:rPr>
        <w:endnoteRef/>
      </w:r>
      <w:r>
        <w:t xml:space="preserve"> </w:t>
      </w:r>
      <w:r>
        <w:rPr>
          <w:lang w:val="en-US"/>
        </w:rPr>
        <w:t xml:space="preserve">Submission 68, </w:t>
      </w:r>
      <w:r>
        <w:rPr>
          <w:i/>
          <w:iCs/>
        </w:rPr>
        <w:t>Intersex Inquiry,</w:t>
      </w:r>
      <w:r>
        <w:t xml:space="preserve"> </w:t>
      </w:r>
      <w:r>
        <w:rPr>
          <w:lang w:val="en-US"/>
        </w:rPr>
        <w:t>3.</w:t>
      </w:r>
    </w:p>
  </w:endnote>
  <w:endnote w:id="402">
    <w:p w:rsidRPr="002618E6" w:rsidR="00810FD7" w:rsidP="00810FD7" w:rsidRDefault="00810FD7" w14:paraId="69F21C72" w14:textId="77777777">
      <w:pPr>
        <w:pStyle w:val="EndnoteText"/>
        <w:rPr>
          <w:lang w:val="en-US"/>
        </w:rPr>
      </w:pPr>
      <w:r>
        <w:rPr>
          <w:rStyle w:val="EndnoteReference"/>
        </w:rPr>
        <w:endnoteRef/>
      </w:r>
      <w:r>
        <w:t xml:space="preserve"> </w:t>
      </w:r>
      <w:r>
        <w:rPr>
          <w:lang w:val="en-US"/>
        </w:rPr>
        <w:t xml:space="preserve">Perth medical roundtable. </w:t>
      </w:r>
    </w:p>
  </w:endnote>
  <w:endnote w:id="403">
    <w:p w:rsidRPr="00AB58EC" w:rsidR="00810FD7" w:rsidP="00810FD7" w:rsidRDefault="00810FD7" w14:paraId="083A2A3E" w14:textId="77777777">
      <w:pPr>
        <w:pStyle w:val="EndnoteText"/>
        <w:rPr>
          <w:lang w:val="en-US"/>
        </w:rPr>
      </w:pPr>
      <w:r>
        <w:rPr>
          <w:rStyle w:val="EndnoteReference"/>
        </w:rPr>
        <w:endnoteRef/>
      </w:r>
      <w:r>
        <w:t xml:space="preserve"> </w:t>
      </w:r>
      <w:r>
        <w:rPr>
          <w:lang w:val="en-US"/>
        </w:rPr>
        <w:t>Melbourne medical roundtable 2.</w:t>
      </w:r>
    </w:p>
  </w:endnote>
  <w:endnote w:id="404">
    <w:p w:rsidRPr="007A0B95" w:rsidR="00810FD7" w:rsidP="00810FD7" w:rsidRDefault="00810FD7" w14:paraId="3A73446C" w14:textId="77777777">
      <w:pPr>
        <w:pStyle w:val="EndnoteText"/>
        <w:rPr>
          <w:lang w:val="en-US"/>
        </w:rPr>
      </w:pPr>
      <w:r>
        <w:rPr>
          <w:rStyle w:val="EndnoteReference"/>
        </w:rPr>
        <w:endnoteRef/>
      </w:r>
      <w:r>
        <w:t xml:space="preserve"> Submission 50,</w:t>
      </w:r>
      <w:r w:rsidRPr="008338D5">
        <w:rPr>
          <w:i/>
          <w:iCs/>
        </w:rPr>
        <w:t xml:space="preserve"> </w:t>
      </w:r>
      <w:r>
        <w:rPr>
          <w:i/>
          <w:iCs/>
        </w:rPr>
        <w:t>Intersex Inquiry,</w:t>
      </w:r>
      <w:r>
        <w:t xml:space="preserve"> 4.</w:t>
      </w:r>
    </w:p>
  </w:endnote>
  <w:endnote w:id="405">
    <w:p w:rsidRPr="008902F9" w:rsidR="00810FD7" w:rsidP="00810FD7" w:rsidRDefault="00810FD7" w14:paraId="7314AA0A" w14:textId="77777777">
      <w:pPr>
        <w:pStyle w:val="EndnoteText"/>
        <w:rPr>
          <w:lang w:val="en-US"/>
        </w:rPr>
      </w:pPr>
      <w:r>
        <w:rPr>
          <w:rStyle w:val="EndnoteReference"/>
        </w:rPr>
        <w:endnoteRef/>
      </w:r>
      <w:r>
        <w:t xml:space="preserve"> </w:t>
      </w:r>
      <w:r>
        <w:rPr>
          <w:lang w:val="en-US"/>
        </w:rPr>
        <w:t>Melbourne medical roundtable 2.</w:t>
      </w:r>
    </w:p>
  </w:endnote>
  <w:endnote w:id="406">
    <w:p w:rsidR="00810FD7" w:rsidP="00810FD7" w:rsidRDefault="00810FD7" w14:paraId="7ACC346B" w14:textId="77777777">
      <w:pPr>
        <w:pStyle w:val="EndnoteText"/>
      </w:pPr>
      <w:r>
        <w:rPr>
          <w:rStyle w:val="EndnoteReference"/>
        </w:rPr>
        <w:endnoteRef/>
      </w:r>
      <w:r>
        <w:t xml:space="preserve"> </w:t>
      </w:r>
      <w:r w:rsidRPr="00C62AA4">
        <w:t>Western Australian Multidisciplinary DSD Team</w:t>
      </w:r>
      <w:r>
        <w:t>, Submission 23,</w:t>
      </w:r>
      <w:r w:rsidRPr="008338D5">
        <w:rPr>
          <w:i/>
          <w:iCs/>
        </w:rPr>
        <w:t xml:space="preserve"> </w:t>
      </w:r>
      <w:r>
        <w:rPr>
          <w:i/>
          <w:iCs/>
        </w:rPr>
        <w:t>Intersex Inquiry,</w:t>
      </w:r>
      <w:r>
        <w:t xml:space="preserve"> 3.</w:t>
      </w:r>
    </w:p>
  </w:endnote>
  <w:endnote w:id="407">
    <w:p w:rsidRPr="00AB40CE" w:rsidR="00810FD7" w:rsidP="00810FD7" w:rsidRDefault="00810FD7" w14:paraId="0703F791" w14:textId="77777777">
      <w:pPr>
        <w:pStyle w:val="EndnoteText"/>
        <w:rPr>
          <w:lang w:val="en-US"/>
        </w:rPr>
      </w:pPr>
      <w:r>
        <w:rPr>
          <w:rStyle w:val="EndnoteReference"/>
        </w:rPr>
        <w:endnoteRef/>
      </w:r>
      <w:r>
        <w:t xml:space="preserve"> Submission 20</w:t>
      </w:r>
      <w:r>
        <w:rPr>
          <w:lang w:val="en-US"/>
        </w:rPr>
        <w:t>,</w:t>
      </w:r>
      <w:r w:rsidRPr="008338D5">
        <w:rPr>
          <w:i/>
          <w:iCs/>
        </w:rPr>
        <w:t xml:space="preserve"> </w:t>
      </w:r>
      <w:r>
        <w:rPr>
          <w:i/>
          <w:iCs/>
        </w:rPr>
        <w:t>Intersex Inquiry,</w:t>
      </w:r>
      <w:r>
        <w:t xml:space="preserve"> </w:t>
      </w:r>
      <w:r>
        <w:rPr>
          <w:lang w:val="en-US"/>
        </w:rPr>
        <w:t>9.</w:t>
      </w:r>
    </w:p>
  </w:endnote>
  <w:endnote w:id="408">
    <w:p w:rsidRPr="00AB40CE" w:rsidR="00810FD7" w:rsidP="00810FD7" w:rsidRDefault="00810FD7" w14:paraId="3E3D318B" w14:textId="77777777">
      <w:pPr>
        <w:pStyle w:val="EndnoteText"/>
        <w:rPr>
          <w:lang w:val="en-US"/>
        </w:rPr>
      </w:pPr>
      <w:r>
        <w:rPr>
          <w:rStyle w:val="EndnoteReference"/>
        </w:rPr>
        <w:endnoteRef/>
      </w:r>
      <w:r>
        <w:t xml:space="preserve"> Clinician contribution, at </w:t>
      </w:r>
      <w:r w:rsidRPr="00DC4791">
        <w:t>Melb</w:t>
      </w:r>
      <w:r>
        <w:t>ourne clinical r</w:t>
      </w:r>
      <w:r w:rsidRPr="00DC4791">
        <w:t>oundtable</w:t>
      </w:r>
      <w:r>
        <w:t xml:space="preserve">. </w:t>
      </w:r>
    </w:p>
  </w:endnote>
  <w:endnote w:id="409">
    <w:p w:rsidRPr="00AB40CE" w:rsidR="00810FD7" w:rsidP="00810FD7" w:rsidRDefault="00810FD7" w14:paraId="4CA2805B" w14:textId="77777777">
      <w:pPr>
        <w:pStyle w:val="EndnoteText"/>
        <w:rPr>
          <w:lang w:val="en-US"/>
        </w:rPr>
      </w:pPr>
      <w:r>
        <w:rPr>
          <w:rStyle w:val="EndnoteReference"/>
        </w:rPr>
        <w:endnoteRef/>
      </w:r>
      <w:r>
        <w:t xml:space="preserve"> </w:t>
      </w:r>
      <w:r>
        <w:rPr>
          <w:lang w:val="en-US"/>
        </w:rPr>
        <w:t>Submission 36,</w:t>
      </w:r>
      <w:r w:rsidRPr="008338D5">
        <w:rPr>
          <w:i/>
          <w:iCs/>
        </w:rPr>
        <w:t xml:space="preserve"> </w:t>
      </w:r>
      <w:r>
        <w:rPr>
          <w:i/>
          <w:iCs/>
        </w:rPr>
        <w:t>Intersex Inquiry,</w:t>
      </w:r>
      <w:r>
        <w:t xml:space="preserve"> </w:t>
      </w:r>
      <w:r>
        <w:rPr>
          <w:lang w:val="en-US"/>
        </w:rPr>
        <w:t>3.</w:t>
      </w:r>
    </w:p>
  </w:endnote>
  <w:endnote w:id="410">
    <w:p w:rsidRPr="00C26775" w:rsidR="00810FD7" w:rsidP="00810FD7" w:rsidRDefault="00810FD7" w14:paraId="1122FB41" w14:textId="77777777">
      <w:pPr>
        <w:pStyle w:val="EndnoteText"/>
        <w:rPr>
          <w:lang w:val="en-US"/>
        </w:rPr>
      </w:pPr>
      <w:r>
        <w:rPr>
          <w:rStyle w:val="EndnoteReference"/>
        </w:rPr>
        <w:endnoteRef/>
      </w:r>
      <w:r>
        <w:t xml:space="preserve"> </w:t>
      </w:r>
      <w:r>
        <w:rPr>
          <w:lang w:val="en-US"/>
        </w:rPr>
        <w:t>Submission 50,</w:t>
      </w:r>
      <w:r w:rsidRPr="008338D5">
        <w:rPr>
          <w:i/>
          <w:iCs/>
        </w:rPr>
        <w:t xml:space="preserve"> </w:t>
      </w:r>
      <w:r>
        <w:rPr>
          <w:i/>
          <w:iCs/>
        </w:rPr>
        <w:t>Intersex Inquiry,</w:t>
      </w:r>
      <w:r>
        <w:t xml:space="preserve"> </w:t>
      </w:r>
      <w:r>
        <w:rPr>
          <w:lang w:val="en-US"/>
        </w:rPr>
        <w:t>3.</w:t>
      </w:r>
    </w:p>
  </w:endnote>
  <w:endnote w:id="411">
    <w:p w:rsidRPr="00C42B0A" w:rsidR="00810FD7" w:rsidP="00810FD7" w:rsidRDefault="00810FD7" w14:paraId="060D9813" w14:textId="77777777">
      <w:pPr>
        <w:pStyle w:val="EndnoteText"/>
        <w:rPr>
          <w:lang w:val="en-US"/>
        </w:rPr>
      </w:pPr>
      <w:r>
        <w:rPr>
          <w:rStyle w:val="EndnoteReference"/>
        </w:rPr>
        <w:endnoteRef/>
      </w:r>
      <w:r>
        <w:t xml:space="preserve"> Submission </w:t>
      </w:r>
      <w:r>
        <w:rPr>
          <w:lang w:val="en-US"/>
        </w:rPr>
        <w:t xml:space="preserve">68, </w:t>
      </w:r>
      <w:r>
        <w:rPr>
          <w:i/>
          <w:iCs/>
        </w:rPr>
        <w:t>Intersex Inquiry,</w:t>
      </w:r>
      <w:r>
        <w:t xml:space="preserve"> </w:t>
      </w:r>
      <w:r>
        <w:rPr>
          <w:lang w:val="en-US"/>
        </w:rPr>
        <w:t>5.</w:t>
      </w:r>
    </w:p>
  </w:endnote>
  <w:endnote w:id="412">
    <w:p w:rsidRPr="00E80937" w:rsidR="00810FD7" w:rsidP="00810FD7" w:rsidRDefault="00810FD7" w14:paraId="528FD1DD" w14:textId="77777777">
      <w:pPr>
        <w:pStyle w:val="EndnoteText"/>
      </w:pPr>
      <w:r w:rsidRPr="00E80937">
        <w:rPr>
          <w:rStyle w:val="EndnoteReference"/>
        </w:rPr>
        <w:endnoteRef/>
      </w:r>
      <w:r w:rsidRPr="00E80937">
        <w:t xml:space="preserve"> </w:t>
      </w:r>
      <w:r w:rsidRPr="00174506">
        <w:t>Western Australian Multidisciplinary DSD Team</w:t>
      </w:r>
      <w:r>
        <w:t>,</w:t>
      </w:r>
      <w:r w:rsidRPr="00174506">
        <w:t xml:space="preserve"> </w:t>
      </w:r>
      <w:r>
        <w:t xml:space="preserve">Submission </w:t>
      </w:r>
      <w:r w:rsidRPr="00E80937">
        <w:t>23</w:t>
      </w:r>
      <w:r>
        <w:t>,</w:t>
      </w:r>
      <w:r w:rsidRPr="008338D5">
        <w:rPr>
          <w:i/>
          <w:iCs/>
        </w:rPr>
        <w:t xml:space="preserve"> </w:t>
      </w:r>
      <w:r>
        <w:rPr>
          <w:i/>
          <w:iCs/>
        </w:rPr>
        <w:t>Intersex Inquiry,</w:t>
      </w:r>
      <w:r>
        <w:t xml:space="preserve"> </w:t>
      </w:r>
      <w:r w:rsidRPr="00E80937">
        <w:t>3</w:t>
      </w:r>
      <w:r>
        <w:t xml:space="preserve">. </w:t>
      </w:r>
    </w:p>
  </w:endnote>
  <w:endnote w:id="413">
    <w:p w:rsidR="00810FD7" w:rsidP="00810FD7" w:rsidRDefault="00810FD7" w14:paraId="7272F7A1" w14:textId="77777777">
      <w:pPr>
        <w:pStyle w:val="EndnoteText"/>
      </w:pPr>
      <w:r>
        <w:rPr>
          <w:rStyle w:val="EndnoteReference"/>
        </w:rPr>
        <w:endnoteRef/>
      </w:r>
      <w:r>
        <w:t xml:space="preserve"> Submission 36,</w:t>
      </w:r>
      <w:r w:rsidRPr="008338D5">
        <w:rPr>
          <w:i/>
          <w:iCs/>
        </w:rPr>
        <w:t xml:space="preserve"> </w:t>
      </w:r>
      <w:r>
        <w:rPr>
          <w:i/>
          <w:iCs/>
        </w:rPr>
        <w:t>Intersex Inquiry,</w:t>
      </w:r>
      <w:r>
        <w:t xml:space="preserve"> 25.</w:t>
      </w:r>
    </w:p>
  </w:endnote>
  <w:endnote w:id="414">
    <w:p w:rsidRPr="00E80937" w:rsidR="00810FD7" w:rsidP="00810FD7" w:rsidRDefault="00810FD7" w14:paraId="3F92CE5B" w14:textId="77777777">
      <w:pPr>
        <w:pStyle w:val="EndnoteText"/>
      </w:pPr>
      <w:r w:rsidRPr="00E80937">
        <w:rPr>
          <w:rStyle w:val="EndnoteReference"/>
        </w:rPr>
        <w:endnoteRef/>
      </w:r>
      <w:r w:rsidRPr="00E80937">
        <w:t xml:space="preserve"> </w:t>
      </w:r>
      <w:r>
        <w:t>Interview 9</w:t>
      </w:r>
      <w:r>
        <w:rPr>
          <w:i/>
          <w:iCs/>
        </w:rPr>
        <w:t>, Intersex Inquiry</w:t>
      </w:r>
      <w:r>
        <w:t xml:space="preserve">. </w:t>
      </w:r>
    </w:p>
  </w:endnote>
  <w:endnote w:id="415">
    <w:p w:rsidRPr="00E80937" w:rsidR="00810FD7" w:rsidP="00810FD7" w:rsidRDefault="00810FD7" w14:paraId="7E033E10" w14:textId="77777777">
      <w:pPr>
        <w:pStyle w:val="EndnoteText"/>
      </w:pPr>
      <w:r w:rsidRPr="00E80937">
        <w:rPr>
          <w:rStyle w:val="EndnoteReference"/>
        </w:rPr>
        <w:endnoteRef/>
      </w:r>
      <w:r w:rsidRPr="00E80937">
        <w:t xml:space="preserve"> </w:t>
      </w:r>
      <w:r>
        <w:t xml:space="preserve">Anonymous submission. </w:t>
      </w:r>
    </w:p>
  </w:endnote>
  <w:endnote w:id="416">
    <w:p w:rsidR="00810FD7" w:rsidP="00810FD7" w:rsidRDefault="00810FD7" w14:paraId="5D70F72D" w14:textId="77777777">
      <w:pPr>
        <w:pStyle w:val="EndnoteText"/>
      </w:pPr>
      <w:r>
        <w:rPr>
          <w:rStyle w:val="EndnoteReference"/>
        </w:rPr>
        <w:endnoteRef/>
      </w:r>
      <w:r>
        <w:t xml:space="preserve"> Submission </w:t>
      </w:r>
      <w:r w:rsidRPr="001C126A">
        <w:t>50</w:t>
      </w:r>
      <w:r>
        <w:t>,</w:t>
      </w:r>
      <w:r w:rsidRPr="005A4C67">
        <w:rPr>
          <w:i/>
          <w:iCs/>
        </w:rPr>
        <w:t xml:space="preserve"> </w:t>
      </w:r>
      <w:r>
        <w:rPr>
          <w:i/>
          <w:iCs/>
        </w:rPr>
        <w:t>Intersex Inquiry,</w:t>
      </w:r>
      <w:r>
        <w:t xml:space="preserve"> </w:t>
      </w:r>
      <w:r w:rsidRPr="001C126A">
        <w:t>4</w:t>
      </w:r>
      <w:r>
        <w:t xml:space="preserve">. </w:t>
      </w:r>
    </w:p>
  </w:endnote>
  <w:endnote w:id="417">
    <w:p w:rsidRPr="005252B4" w:rsidR="00810FD7" w:rsidP="00810FD7" w:rsidRDefault="00810FD7" w14:paraId="51C773DB" w14:textId="77777777">
      <w:pPr>
        <w:pStyle w:val="EndnoteText"/>
        <w:rPr>
          <w:lang w:val="en-US"/>
        </w:rPr>
      </w:pPr>
      <w:r>
        <w:rPr>
          <w:rStyle w:val="EndnoteReference"/>
        </w:rPr>
        <w:endnoteRef/>
      </w:r>
      <w:r>
        <w:t xml:space="preserve"> </w:t>
      </w:r>
      <w:r w:rsidRPr="00C8464B">
        <w:t>Senate Community Affairs References Committee, Parliament of Australia</w:t>
      </w:r>
      <w:r w:rsidRPr="009B4C76">
        <w:rPr>
          <w:i/>
          <w:iCs/>
        </w:rPr>
        <w:t>, Involuntary or coerced sterilisation of intersex people in Australia</w:t>
      </w:r>
      <w:r w:rsidRPr="00C8464B">
        <w:t xml:space="preserve"> (2013)</w:t>
      </w:r>
      <w:r>
        <w:t>, &lt;</w:t>
      </w:r>
      <w:hyperlink w:history="1" r:id="rId40">
        <w:r w:rsidRPr="003E206C">
          <w:rPr>
            <w:rStyle w:val="Hyperlink"/>
          </w:rPr>
          <w:t>http://www.aph.gov.au/Parliamentary_Business/Committees/Senate/Community_Affairs/Involuntary_Sterilisation/Sec_Report/~/media/Committees/Senate/committee/clac_ctte/involuntary_sterilisation/second_report/report.ashx</w:t>
        </w:r>
      </w:hyperlink>
      <w:r>
        <w:t xml:space="preserve">&gt;. </w:t>
      </w:r>
    </w:p>
  </w:endnote>
  <w:endnote w:id="418">
    <w:p w:rsidRPr="005857EB" w:rsidR="00810FD7" w:rsidP="00810FD7" w:rsidRDefault="00810FD7" w14:paraId="6BB471B9" w14:textId="77777777">
      <w:pPr>
        <w:pStyle w:val="EndnoteText"/>
      </w:pPr>
      <w:r>
        <w:rPr>
          <w:rStyle w:val="EndnoteReference"/>
        </w:rPr>
        <w:endnoteRef/>
      </w:r>
      <w:r>
        <w:t xml:space="preserve"> </w:t>
      </w:r>
      <w:r w:rsidRPr="00C8464B">
        <w:t>Senate Community Affairs References Committee, Parliament of Australia</w:t>
      </w:r>
      <w:r w:rsidRPr="009B4C76">
        <w:rPr>
          <w:i/>
          <w:iCs/>
        </w:rPr>
        <w:t>, Involuntary or coerced sterilisation of intersex people in Australia</w:t>
      </w:r>
      <w:r w:rsidRPr="00C8464B">
        <w:t xml:space="preserve"> (2013)</w:t>
      </w:r>
      <w:r>
        <w:t>, &lt;</w:t>
      </w:r>
      <w:hyperlink w:history="1" r:id="rId41">
        <w:r w:rsidRPr="003E206C">
          <w:rPr>
            <w:rStyle w:val="Hyperlink"/>
          </w:rPr>
          <w:t>http://www.aph.gov.au/Parliamentary_Business/Committees/Senate/Community_Affairs/Involuntary_Sterilisation/Sec_Report/~/media/Committees/Senate/committee/clac_ctte/involuntary_sterilisation/second_report/report.ashx</w:t>
        </w:r>
      </w:hyperlink>
      <w:r>
        <w:t xml:space="preserve">&gt; citing </w:t>
      </w:r>
      <w:r>
        <w:rPr>
          <w:rFonts w:cs="Open Sans"/>
        </w:rPr>
        <w:t xml:space="preserve">a study undertaken by Jaqueline Hewitt for APEG, which </w:t>
      </w:r>
      <w:r w:rsidRPr="007F1517">
        <w:rPr>
          <w:rFonts w:cs="Open Sans"/>
        </w:rPr>
        <w:t>asked a question about when surgery should be conducted on females with</w:t>
      </w:r>
      <w:r>
        <w:rPr>
          <w:rFonts w:cs="Open Sans"/>
        </w:rPr>
        <w:t xml:space="preserve"> congenital adrenal hyperplasia,</w:t>
      </w:r>
      <w:r w:rsidRPr="00A9514A">
        <w:t xml:space="preserve"> </w:t>
      </w:r>
      <w:r>
        <w:t>Jacqueline Hewitt, 'Management of virilisation in CAH: where to from here?', Australasian Paediatric Endocrine Group Annual Scientific Meeting, Sydney 2013.</w:t>
      </w:r>
    </w:p>
  </w:endnote>
  <w:endnote w:id="419">
    <w:p w:rsidR="00810FD7" w:rsidP="00810FD7" w:rsidRDefault="00810FD7" w14:paraId="1697F406" w14:textId="77777777">
      <w:pPr>
        <w:pStyle w:val="EndnoteText"/>
      </w:pPr>
      <w:r>
        <w:rPr>
          <w:rStyle w:val="EndnoteReference"/>
        </w:rPr>
        <w:endnoteRef/>
      </w:r>
      <w:r>
        <w:t xml:space="preserve"> </w:t>
      </w:r>
      <w:r w:rsidRPr="00C8464B">
        <w:t>Senate Community Affairs References Committee, Parliament of Australia</w:t>
      </w:r>
      <w:r w:rsidRPr="009B4C76">
        <w:rPr>
          <w:i/>
          <w:iCs/>
        </w:rPr>
        <w:t>, Involuntary or coerced sterilisation of intersex people in Australia</w:t>
      </w:r>
      <w:r w:rsidRPr="00C8464B">
        <w:t xml:space="preserve"> (2013)</w:t>
      </w:r>
      <w:r>
        <w:t>. &lt;</w:t>
      </w:r>
      <w:hyperlink w:history="1" r:id="rId42">
        <w:r w:rsidRPr="003E206C">
          <w:rPr>
            <w:rStyle w:val="Hyperlink"/>
          </w:rPr>
          <w:t>http://www.aph.gov.au/Parliamentary_Business/Committees/Senate/Community_Affairs/Involuntary_Sterilisation/Sec_Report/~/media/Committees/Senate/committee/clac_ctte/involuntary_sterilisation/second_report/report.ashx</w:t>
        </w:r>
      </w:hyperlink>
      <w:r>
        <w:t xml:space="preserve">&gt; citing </w:t>
      </w:r>
      <w:r>
        <w:rPr>
          <w:rFonts w:cs="Open Sans"/>
        </w:rPr>
        <w:t xml:space="preserve">to a study undertaken by Jaqueline Hewitt for APEG, which </w:t>
      </w:r>
      <w:r w:rsidRPr="007F1517">
        <w:rPr>
          <w:rFonts w:cs="Open Sans"/>
        </w:rPr>
        <w:t>asked a question about when surgery should be conducted on females with</w:t>
      </w:r>
      <w:r>
        <w:rPr>
          <w:rFonts w:cs="Open Sans"/>
        </w:rPr>
        <w:t xml:space="preserve"> congenital adrenal hyperplasia,</w:t>
      </w:r>
      <w:r w:rsidRPr="00A9514A">
        <w:t xml:space="preserve"> </w:t>
      </w:r>
      <w:r>
        <w:t>Jacqueline Hewitt, 'Management of virilisation in CAH: where to from here?', Australasian Paediatric Endocrine Group Annual Scientific Meeting, Sydney 2013.</w:t>
      </w:r>
    </w:p>
  </w:endnote>
  <w:endnote w:id="420">
    <w:p w:rsidRPr="000D394B" w:rsidR="00810FD7" w:rsidP="00810FD7" w:rsidRDefault="00810FD7" w14:paraId="5E7935A3" w14:textId="77777777">
      <w:pPr>
        <w:pStyle w:val="EndnoteText"/>
        <w:rPr>
          <w:lang w:val="en-US"/>
        </w:rPr>
      </w:pPr>
      <w:r>
        <w:rPr>
          <w:rStyle w:val="EndnoteReference"/>
        </w:rPr>
        <w:endnoteRef/>
      </w:r>
      <w:r>
        <w:t xml:space="preserve"> Submission 52, </w:t>
      </w:r>
      <w:r>
        <w:rPr>
          <w:i/>
          <w:iCs/>
        </w:rPr>
        <w:t>Intersex Inquiry,</w:t>
      </w:r>
      <w:r>
        <w:t xml:space="preserve"> 10; Submission 25,</w:t>
      </w:r>
      <w:r w:rsidRPr="005A4C67">
        <w:rPr>
          <w:i/>
          <w:iCs/>
        </w:rPr>
        <w:t xml:space="preserve"> </w:t>
      </w:r>
      <w:r>
        <w:rPr>
          <w:i/>
          <w:iCs/>
        </w:rPr>
        <w:t>Intersex Inquiry,</w:t>
      </w:r>
      <w:r>
        <w:t xml:space="preserve"> 5; Submission 21,</w:t>
      </w:r>
      <w:r w:rsidRPr="005A4C67">
        <w:rPr>
          <w:i/>
          <w:iCs/>
        </w:rPr>
        <w:t xml:space="preserve"> </w:t>
      </w:r>
      <w:r>
        <w:rPr>
          <w:i/>
          <w:iCs/>
        </w:rPr>
        <w:t>Intersex Inquiry</w:t>
      </w:r>
      <w:r>
        <w:t xml:space="preserve">. </w:t>
      </w:r>
    </w:p>
  </w:endnote>
  <w:endnote w:id="421">
    <w:p w:rsidRPr="005252B4" w:rsidR="00810FD7" w:rsidP="00810FD7" w:rsidRDefault="00810FD7" w14:paraId="6B0B958A" w14:textId="77777777">
      <w:pPr>
        <w:pStyle w:val="EndnoteText"/>
        <w:rPr>
          <w:lang w:val="en-US"/>
        </w:rPr>
      </w:pPr>
      <w:r>
        <w:rPr>
          <w:rStyle w:val="EndnoteReference"/>
        </w:rPr>
        <w:endnoteRef/>
      </w:r>
      <w:r>
        <w:t xml:space="preserve"> </w:t>
      </w:r>
      <w:r>
        <w:rPr>
          <w:lang w:val="en-US"/>
        </w:rPr>
        <w:t xml:space="preserve">Perth medical roundtable. </w:t>
      </w:r>
    </w:p>
  </w:endnote>
  <w:endnote w:id="422">
    <w:p w:rsidRPr="009C368A" w:rsidR="00810FD7" w:rsidP="00810FD7" w:rsidRDefault="00810FD7" w14:paraId="3674BB7B" w14:textId="77777777">
      <w:pPr>
        <w:pStyle w:val="EndnoteText"/>
        <w:rPr>
          <w:lang w:val="en-US"/>
        </w:rPr>
      </w:pPr>
      <w:r>
        <w:rPr>
          <w:rStyle w:val="EndnoteReference"/>
        </w:rPr>
        <w:endnoteRef/>
      </w:r>
      <w:r>
        <w:t xml:space="preserve"> </w:t>
      </w:r>
      <w:r>
        <w:rPr>
          <w:lang w:val="en-US"/>
        </w:rPr>
        <w:t xml:space="preserve">Submission 20, </w:t>
      </w:r>
      <w:r>
        <w:rPr>
          <w:i/>
          <w:iCs/>
        </w:rPr>
        <w:t>Intersex Inquiry,</w:t>
      </w:r>
      <w:r>
        <w:t xml:space="preserve"> </w:t>
      </w:r>
      <w:r>
        <w:rPr>
          <w:lang w:val="en-US"/>
        </w:rPr>
        <w:t xml:space="preserve">9. </w:t>
      </w:r>
    </w:p>
  </w:endnote>
  <w:endnote w:id="423">
    <w:p w:rsidR="00810FD7" w:rsidP="00810FD7" w:rsidRDefault="00810FD7" w14:paraId="37492A56" w14:textId="77777777">
      <w:pPr>
        <w:pStyle w:val="EndnoteText"/>
      </w:pPr>
      <w:r>
        <w:rPr>
          <w:rStyle w:val="EndnoteReference"/>
        </w:rPr>
        <w:endnoteRef/>
      </w:r>
      <w:r>
        <w:t xml:space="preserve"> Submission 36,</w:t>
      </w:r>
      <w:r w:rsidRPr="00BA7ADF">
        <w:rPr>
          <w:i/>
          <w:iCs/>
        </w:rPr>
        <w:t xml:space="preserve"> </w:t>
      </w:r>
      <w:r>
        <w:rPr>
          <w:i/>
          <w:iCs/>
        </w:rPr>
        <w:t>Intersex Inquiry,</w:t>
      </w:r>
      <w:r>
        <w:t xml:space="preserve"> 1.</w:t>
      </w:r>
    </w:p>
  </w:endnote>
  <w:endnote w:id="424">
    <w:p w:rsidRPr="00B97E38" w:rsidR="00810FD7" w:rsidP="00810FD7" w:rsidRDefault="00810FD7" w14:paraId="0CE9F81E" w14:textId="77777777">
      <w:pPr>
        <w:pStyle w:val="EndnoteText"/>
        <w:rPr>
          <w:lang w:val="en-US"/>
        </w:rPr>
      </w:pPr>
      <w:r>
        <w:rPr>
          <w:rStyle w:val="EndnoteReference"/>
        </w:rPr>
        <w:endnoteRef/>
      </w:r>
      <w:r>
        <w:t xml:space="preserve"> Submission 55,</w:t>
      </w:r>
      <w:r w:rsidRPr="00BA7ADF">
        <w:rPr>
          <w:i/>
          <w:iCs/>
        </w:rPr>
        <w:t xml:space="preserve"> </w:t>
      </w:r>
      <w:r>
        <w:rPr>
          <w:i/>
          <w:iCs/>
        </w:rPr>
        <w:t>Intersex Inquiry,</w:t>
      </w:r>
      <w:r>
        <w:t xml:space="preserve"> 10. </w:t>
      </w:r>
      <w:r>
        <w:rPr>
          <w:rFonts w:cs="Open Sans"/>
        </w:rPr>
        <w:t>A specialist psychologist organisations-</w:t>
      </w:r>
      <w:r w:rsidRPr="00AE29EF">
        <w:t xml:space="preserve"> </w:t>
      </w:r>
      <w:r>
        <w:t xml:space="preserve">Submission 45, </w:t>
      </w:r>
      <w:r>
        <w:rPr>
          <w:i/>
          <w:iCs/>
        </w:rPr>
        <w:t>Intersex Inquiry,</w:t>
      </w:r>
      <w:r>
        <w:t xml:space="preserve"> 10, cited</w:t>
      </w:r>
      <w:r w:rsidRPr="006423C9">
        <w:rPr>
          <w:rFonts w:cs="Open Sans"/>
        </w:rPr>
        <w:t xml:space="preserve"> </w:t>
      </w:r>
      <w:r>
        <w:t xml:space="preserve">Tiffany Jones, Bonnie Hart, Morgan Carpenter, Gavi Ansara, William Leonard, and Jayne Lucke, </w:t>
      </w:r>
      <w:r w:rsidRPr="005954DC">
        <w:rPr>
          <w:i/>
          <w:iCs/>
        </w:rPr>
        <w:t>Intersex: Stories and Statistics from Australia</w:t>
      </w:r>
      <w:r>
        <w:t>. Cambridge, UK: Open Book Publishers, 2016 &lt;</w:t>
      </w:r>
      <w:r w:rsidRPr="00126CD8">
        <w:t xml:space="preserve"> https://research-management.mq.edu.au/ws/portalfiles/portal/83835078/72593734.pdf</w:t>
      </w:r>
      <w:r>
        <w:t xml:space="preserve">&gt;, </w:t>
      </w:r>
      <w:r>
        <w:rPr>
          <w:rFonts w:cs="Open Sans"/>
        </w:rPr>
        <w:t xml:space="preserve">which reported that some individuals who had experiences of depression and suicidal thoughts had never been recommended to seek mental health services </w:t>
      </w:r>
    </w:p>
  </w:endnote>
  <w:endnote w:id="425">
    <w:p w:rsidRPr="003F6D7D" w:rsidR="00810FD7" w:rsidP="00810FD7" w:rsidRDefault="00810FD7" w14:paraId="06E04655" w14:textId="77777777">
      <w:pPr>
        <w:pStyle w:val="EndnoteText"/>
        <w:rPr>
          <w:lang w:val="en-US"/>
        </w:rPr>
      </w:pPr>
      <w:r>
        <w:rPr>
          <w:rStyle w:val="EndnoteReference"/>
        </w:rPr>
        <w:endnoteRef/>
      </w:r>
      <w:r>
        <w:t xml:space="preserve"> </w:t>
      </w:r>
      <w:r>
        <w:rPr>
          <w:lang w:val="en-US"/>
        </w:rPr>
        <w:t xml:space="preserve">Brisbane medical roundtable. </w:t>
      </w:r>
    </w:p>
  </w:endnote>
  <w:endnote w:id="426">
    <w:p w:rsidR="00810FD7" w:rsidP="00810FD7" w:rsidRDefault="00810FD7" w14:paraId="64F6DD87" w14:textId="77777777">
      <w:pPr>
        <w:pStyle w:val="EndnoteText"/>
      </w:pPr>
      <w:r>
        <w:rPr>
          <w:rStyle w:val="EndnoteReference"/>
        </w:rPr>
        <w:endnoteRef/>
      </w:r>
      <w:r>
        <w:t xml:space="preserve"> </w:t>
      </w:r>
      <w:r w:rsidRPr="003F711E">
        <w:t>Western Australian Multidisciplinary DSD Team</w:t>
      </w:r>
      <w:r>
        <w:t>,</w:t>
      </w:r>
      <w:r w:rsidRPr="003F711E">
        <w:t xml:space="preserve"> </w:t>
      </w:r>
      <w:r>
        <w:t>Submission 23,</w:t>
      </w:r>
      <w:r w:rsidRPr="00BA7ADF">
        <w:rPr>
          <w:i/>
          <w:iCs/>
        </w:rPr>
        <w:t xml:space="preserve"> </w:t>
      </w:r>
      <w:r>
        <w:rPr>
          <w:i/>
          <w:iCs/>
        </w:rPr>
        <w:t>Intersex Inquiry,</w:t>
      </w:r>
      <w:r>
        <w:t xml:space="preserve"> 5; </w:t>
      </w:r>
      <w:r w:rsidRPr="004A1D81">
        <w:t>Endocrine Society of Australia</w:t>
      </w:r>
      <w:r>
        <w:t>, Submission 39,</w:t>
      </w:r>
      <w:r w:rsidRPr="00BA7ADF">
        <w:rPr>
          <w:i/>
          <w:iCs/>
        </w:rPr>
        <w:t xml:space="preserve"> </w:t>
      </w:r>
      <w:r>
        <w:rPr>
          <w:i/>
          <w:iCs/>
        </w:rPr>
        <w:t>Intersex Inquiry,</w:t>
      </w:r>
      <w:r>
        <w:t xml:space="preserve"> 4; A Gender Agenda, Submission 52,</w:t>
      </w:r>
      <w:r w:rsidRPr="00BA7ADF">
        <w:rPr>
          <w:i/>
          <w:iCs/>
        </w:rPr>
        <w:t xml:space="preserve"> </w:t>
      </w:r>
      <w:r>
        <w:rPr>
          <w:i/>
          <w:iCs/>
        </w:rPr>
        <w:t>Intersex Inquiry,</w:t>
      </w:r>
      <w:r>
        <w:t xml:space="preserve"> 5.</w:t>
      </w:r>
    </w:p>
  </w:endnote>
  <w:endnote w:id="427">
    <w:p w:rsidR="00810FD7" w:rsidP="00810FD7" w:rsidRDefault="00810FD7" w14:paraId="6D9D7C27" w14:textId="77777777">
      <w:pPr>
        <w:pStyle w:val="EndnoteText"/>
      </w:pPr>
      <w:r>
        <w:rPr>
          <w:rStyle w:val="EndnoteReference"/>
        </w:rPr>
        <w:endnoteRef/>
      </w:r>
      <w:r>
        <w:t xml:space="preserve"> Submission 39, </w:t>
      </w:r>
      <w:r>
        <w:rPr>
          <w:i/>
          <w:iCs/>
        </w:rPr>
        <w:t>Intersex Inquiry,</w:t>
      </w:r>
      <w:r>
        <w:t xml:space="preserve"> 4. </w:t>
      </w:r>
    </w:p>
  </w:endnote>
  <w:endnote w:id="428">
    <w:p w:rsidR="00810FD7" w:rsidP="00810FD7" w:rsidRDefault="00810FD7" w14:paraId="4DB0C486" w14:textId="77777777">
      <w:pPr>
        <w:pStyle w:val="EndnoteText"/>
      </w:pPr>
      <w:r>
        <w:rPr>
          <w:rStyle w:val="EndnoteReference"/>
        </w:rPr>
        <w:endnoteRef/>
      </w:r>
      <w:r>
        <w:t xml:space="preserve"> Submission 45,</w:t>
      </w:r>
      <w:r w:rsidRPr="00BA7ADF">
        <w:rPr>
          <w:i/>
          <w:iCs/>
        </w:rPr>
        <w:t xml:space="preserve"> </w:t>
      </w:r>
      <w:r>
        <w:rPr>
          <w:i/>
          <w:iCs/>
        </w:rPr>
        <w:t>Intersex Inquiry,</w:t>
      </w:r>
      <w:r>
        <w:t xml:space="preserve"> 10, citing </w:t>
      </w:r>
      <w:r w:rsidRPr="00646942">
        <w:t>Jones et al 2016.</w:t>
      </w:r>
      <w:r>
        <w:t xml:space="preserve"> See also A Gender Agenda, Submission 52,</w:t>
      </w:r>
      <w:r w:rsidRPr="00BA7ADF">
        <w:rPr>
          <w:i/>
          <w:iCs/>
        </w:rPr>
        <w:t xml:space="preserve"> </w:t>
      </w:r>
      <w:r>
        <w:rPr>
          <w:i/>
          <w:iCs/>
        </w:rPr>
        <w:t>Intersex Inquiry,</w:t>
      </w:r>
      <w:r>
        <w:t xml:space="preserve"> 10; Submission 25, </w:t>
      </w:r>
      <w:r>
        <w:rPr>
          <w:i/>
          <w:iCs/>
        </w:rPr>
        <w:t>Intersex Inquiry,</w:t>
      </w:r>
      <w:r>
        <w:t xml:space="preserve"> 5; Submission 21,</w:t>
      </w:r>
      <w:r w:rsidRPr="00BA7ADF">
        <w:rPr>
          <w:i/>
          <w:iCs/>
        </w:rPr>
        <w:t xml:space="preserve"> </w:t>
      </w:r>
      <w:r>
        <w:rPr>
          <w:i/>
          <w:iCs/>
        </w:rPr>
        <w:t>Intersex Inquiry</w:t>
      </w:r>
      <w:r>
        <w:t xml:space="preserve">. </w:t>
      </w:r>
    </w:p>
  </w:endnote>
  <w:endnote w:id="429">
    <w:p w:rsidRPr="00C42B0A" w:rsidR="00810FD7" w:rsidP="00810FD7" w:rsidRDefault="00810FD7" w14:paraId="1170394D" w14:textId="77777777">
      <w:pPr>
        <w:pStyle w:val="EndnoteText"/>
        <w:rPr>
          <w:lang w:val="en-US"/>
        </w:rPr>
      </w:pPr>
      <w:r>
        <w:rPr>
          <w:rStyle w:val="EndnoteReference"/>
        </w:rPr>
        <w:endnoteRef/>
      </w:r>
      <w:r>
        <w:t xml:space="preserve"> Australasian Paediatric Endocrine Group, </w:t>
      </w:r>
      <w:r>
        <w:rPr>
          <w:lang w:val="en-US"/>
        </w:rPr>
        <w:t>Submission 20,</w:t>
      </w:r>
      <w:r w:rsidRPr="00BA7ADF">
        <w:rPr>
          <w:i/>
          <w:iCs/>
        </w:rPr>
        <w:t xml:space="preserve"> </w:t>
      </w:r>
      <w:r>
        <w:rPr>
          <w:i/>
          <w:iCs/>
        </w:rPr>
        <w:t>Intersex Inquiry,</w:t>
      </w:r>
      <w:r>
        <w:rPr>
          <w:lang w:val="en-US"/>
        </w:rPr>
        <w:t xml:space="preserve"> 9.</w:t>
      </w:r>
    </w:p>
  </w:endnote>
  <w:endnote w:id="430">
    <w:p w:rsidRPr="00C80423" w:rsidR="00810FD7" w:rsidP="00810FD7" w:rsidRDefault="00810FD7" w14:paraId="1952F2AD" w14:textId="77777777">
      <w:pPr>
        <w:pStyle w:val="EndnoteText"/>
        <w:rPr>
          <w:lang w:val="en-US"/>
        </w:rPr>
      </w:pPr>
      <w:r>
        <w:rPr>
          <w:rStyle w:val="EndnoteReference"/>
        </w:rPr>
        <w:endnoteRef/>
      </w:r>
      <w:r>
        <w:t xml:space="preserve"> </w:t>
      </w:r>
      <w:r>
        <w:rPr>
          <w:lang w:val="en-US"/>
        </w:rPr>
        <w:t>Submission 68,</w:t>
      </w:r>
      <w:r w:rsidRPr="00BA7ADF">
        <w:rPr>
          <w:i/>
          <w:iCs/>
        </w:rPr>
        <w:t xml:space="preserve"> </w:t>
      </w:r>
      <w:r>
        <w:rPr>
          <w:i/>
          <w:iCs/>
        </w:rPr>
        <w:t>Intersex Inquiry,</w:t>
      </w:r>
      <w:r>
        <w:rPr>
          <w:lang w:val="en-US"/>
        </w:rPr>
        <w:t xml:space="preserve"> 5.</w:t>
      </w:r>
    </w:p>
  </w:endnote>
  <w:endnote w:id="431">
    <w:p w:rsidRPr="00362F4B" w:rsidR="00810FD7" w:rsidP="00810FD7" w:rsidRDefault="00810FD7" w14:paraId="1E349710" w14:textId="77777777">
      <w:pPr>
        <w:pStyle w:val="EndnoteText"/>
      </w:pPr>
      <w:r>
        <w:rPr>
          <w:rStyle w:val="EndnoteReference"/>
        </w:rPr>
        <w:endnoteRef/>
      </w:r>
      <w:r>
        <w:t xml:space="preserve"> </w:t>
      </w:r>
      <w:r>
        <w:rPr>
          <w:lang w:val="en-US"/>
        </w:rPr>
        <w:t xml:space="preserve">Submission </w:t>
      </w:r>
      <w:r>
        <w:t>68,</w:t>
      </w:r>
      <w:r w:rsidRPr="00BA7ADF">
        <w:rPr>
          <w:i/>
          <w:iCs/>
        </w:rPr>
        <w:t xml:space="preserve"> </w:t>
      </w:r>
      <w:r>
        <w:rPr>
          <w:i/>
          <w:iCs/>
        </w:rPr>
        <w:t>Intersex Inquiry,</w:t>
      </w:r>
      <w:r>
        <w:t xml:space="preserve"> 6. </w:t>
      </w:r>
    </w:p>
  </w:endnote>
  <w:endnote w:id="432">
    <w:p w:rsidRPr="00C80423" w:rsidR="00810FD7" w:rsidP="00810FD7" w:rsidRDefault="00810FD7" w14:paraId="62940DD6" w14:textId="77777777">
      <w:pPr>
        <w:pStyle w:val="EndnoteText"/>
        <w:rPr>
          <w:lang w:val="en-US"/>
        </w:rPr>
      </w:pPr>
      <w:r>
        <w:rPr>
          <w:rStyle w:val="EndnoteReference"/>
        </w:rPr>
        <w:endnoteRef/>
      </w:r>
      <w:r>
        <w:t xml:space="preserve"> LH Gillam, JK Hewitt, GL Warne, ‘Ethical principles for the management of infants with disorders of sex development’</w:t>
      </w:r>
      <w:r w:rsidDel="00ED13E0">
        <w:t xml:space="preserve">. </w:t>
      </w:r>
      <w:r>
        <w:t xml:space="preserve">(2010) 74(6) </w:t>
      </w:r>
      <w:r w:rsidRPr="007105C4">
        <w:rPr>
          <w:i/>
          <w:iCs/>
        </w:rPr>
        <w:t>Hormone Research in Paediatrics</w:t>
      </w:r>
      <w:r>
        <w:t xml:space="preserve"> 412–418.</w:t>
      </w:r>
    </w:p>
  </w:endnote>
  <w:endnote w:id="433">
    <w:p w:rsidRPr="00E96A21" w:rsidR="00810FD7" w:rsidP="00810FD7" w:rsidRDefault="00810FD7" w14:paraId="64E3C074" w14:textId="77777777">
      <w:pPr>
        <w:pStyle w:val="EndnoteText"/>
        <w:rPr>
          <w:lang w:val="en-US"/>
        </w:rPr>
      </w:pPr>
      <w:r>
        <w:rPr>
          <w:rStyle w:val="EndnoteReference"/>
        </w:rPr>
        <w:endnoteRef/>
      </w:r>
      <w:r>
        <w:t xml:space="preserve"> </w:t>
      </w:r>
      <w:r>
        <w:rPr>
          <w:lang w:val="en-US"/>
        </w:rPr>
        <w:t xml:space="preserve">Melbourne medical roundtable 1. </w:t>
      </w:r>
    </w:p>
  </w:endnote>
  <w:endnote w:id="434">
    <w:p w:rsidRPr="00E1664A" w:rsidR="00810FD7" w:rsidP="00810FD7" w:rsidRDefault="00810FD7" w14:paraId="105B09B2" w14:textId="77777777">
      <w:pPr>
        <w:pStyle w:val="EndnoteText"/>
        <w:rPr>
          <w:lang w:val="en-US"/>
        </w:rPr>
      </w:pPr>
      <w:r>
        <w:rPr>
          <w:rStyle w:val="EndnoteReference"/>
        </w:rPr>
        <w:endnoteRef/>
      </w:r>
      <w:r>
        <w:t xml:space="preserve"> Intersex Human Rights Australia, </w:t>
      </w:r>
      <w:r>
        <w:rPr>
          <w:lang w:val="en-US"/>
        </w:rPr>
        <w:t>Submission 41,</w:t>
      </w:r>
      <w:r w:rsidRPr="00BA7ADF">
        <w:rPr>
          <w:i/>
          <w:iCs/>
        </w:rPr>
        <w:t xml:space="preserve"> </w:t>
      </w:r>
      <w:r>
        <w:rPr>
          <w:i/>
          <w:iCs/>
        </w:rPr>
        <w:t>Intersex Inquiry,</w:t>
      </w:r>
      <w:r>
        <w:rPr>
          <w:lang w:val="en-US"/>
        </w:rPr>
        <w:t xml:space="preserve"> 69.</w:t>
      </w:r>
    </w:p>
  </w:endnote>
  <w:endnote w:id="435">
    <w:p w:rsidRPr="00E80937" w:rsidR="00810FD7" w:rsidP="00810FD7" w:rsidRDefault="00810FD7" w14:paraId="0F8FA631" w14:textId="77777777">
      <w:pPr>
        <w:pStyle w:val="EndnoteText"/>
      </w:pPr>
      <w:r w:rsidRPr="00E80937">
        <w:rPr>
          <w:rStyle w:val="EndnoteReference"/>
        </w:rPr>
        <w:endnoteRef/>
      </w:r>
      <w:r w:rsidRPr="00E80937">
        <w:t xml:space="preserve"> </w:t>
      </w:r>
      <w:r w:rsidRPr="009065DA">
        <w:t>Western Australian Multidisciplinary DSD Team</w:t>
      </w:r>
      <w:r>
        <w:t>,</w:t>
      </w:r>
      <w:r w:rsidRPr="009065DA">
        <w:t xml:space="preserve"> </w:t>
      </w:r>
      <w:r>
        <w:t xml:space="preserve">Submission </w:t>
      </w:r>
      <w:r w:rsidRPr="00E80937">
        <w:t>23</w:t>
      </w:r>
      <w:r>
        <w:t>,</w:t>
      </w:r>
      <w:r w:rsidRPr="00BA7ADF">
        <w:rPr>
          <w:i/>
          <w:iCs/>
        </w:rPr>
        <w:t xml:space="preserve"> </w:t>
      </w:r>
      <w:r>
        <w:rPr>
          <w:i/>
          <w:iCs/>
        </w:rPr>
        <w:t>Intersex Inquiry,</w:t>
      </w:r>
      <w:r>
        <w:t xml:space="preserve"> 3;</w:t>
      </w:r>
      <w:r w:rsidRPr="00E80937">
        <w:t xml:space="preserve"> </w:t>
      </w:r>
      <w:r w:rsidRPr="009461A2">
        <w:t>NHMRC funded research program</w:t>
      </w:r>
      <w:r>
        <w:t>,</w:t>
      </w:r>
      <w:r w:rsidRPr="009461A2">
        <w:t xml:space="preserve"> </w:t>
      </w:r>
      <w:r>
        <w:t>Submission 30,</w:t>
      </w:r>
      <w:r w:rsidRPr="00BA7ADF">
        <w:rPr>
          <w:i/>
          <w:iCs/>
        </w:rPr>
        <w:t xml:space="preserve"> </w:t>
      </w:r>
      <w:r>
        <w:rPr>
          <w:i/>
          <w:iCs/>
        </w:rPr>
        <w:t>Intersex Inquiry,</w:t>
      </w:r>
      <w:r>
        <w:t xml:space="preserve"> 2; s</w:t>
      </w:r>
      <w:r w:rsidRPr="00E80937">
        <w:t xml:space="preserve">ee 2016 Consensus Statement, which refers to </w:t>
      </w:r>
      <w:r>
        <w:t>multidisciplinary</w:t>
      </w:r>
      <w:r w:rsidRPr="00E80937">
        <w:t>, interdisciplinary and trans-disciplinary teams as models</w:t>
      </w:r>
      <w:r>
        <w:t xml:space="preserve">. </w:t>
      </w:r>
    </w:p>
  </w:endnote>
  <w:endnote w:id="436">
    <w:p w:rsidRPr="00BE51F4" w:rsidR="00810FD7" w:rsidP="00810FD7" w:rsidRDefault="00810FD7" w14:paraId="14E765F1" w14:textId="77777777">
      <w:pPr>
        <w:pStyle w:val="EndnoteText"/>
        <w:rPr>
          <w:lang w:val="en-US"/>
        </w:rPr>
      </w:pPr>
      <w:r>
        <w:rPr>
          <w:rStyle w:val="EndnoteReference"/>
        </w:rPr>
        <w:endnoteRef/>
      </w:r>
      <w:r>
        <w:t xml:space="preserve"> IA Hughes et al, ‘Consensus statement on management of intersex disorders’ (2006) 2 </w:t>
      </w:r>
      <w:r w:rsidRPr="284A4336">
        <w:rPr>
          <w:i/>
          <w:iCs/>
        </w:rPr>
        <w:t>Journal of Pediatric Urology</w:t>
      </w:r>
      <w:r>
        <w:rPr>
          <w:lang w:val="en-US"/>
        </w:rPr>
        <w:t xml:space="preserve"> </w:t>
      </w:r>
      <w:r w:rsidRPr="007F5645" w:rsidDel="00BC3D37">
        <w:t>148</w:t>
      </w:r>
      <w:r>
        <w:t>.</w:t>
      </w:r>
    </w:p>
  </w:endnote>
  <w:endnote w:id="437">
    <w:p w:rsidRPr="00C53D05" w:rsidR="00810FD7" w:rsidP="00810FD7" w:rsidRDefault="00810FD7" w14:paraId="0C3E949D" w14:textId="77777777">
      <w:pPr>
        <w:pStyle w:val="EndnoteText"/>
        <w:rPr>
          <w:lang w:val="en-US"/>
        </w:rPr>
      </w:pPr>
      <w:r>
        <w:rPr>
          <w:rStyle w:val="EndnoteReference"/>
        </w:rPr>
        <w:endnoteRef/>
      </w:r>
      <w:r>
        <w:t xml:space="preserve"> PA Lee et al, ‘Global Disorders of Sex Development Update since 2006: Perceptions, Approach and Care’ (2016) </w:t>
      </w:r>
      <w:r>
        <w:rPr>
          <w:i/>
          <w:iCs/>
        </w:rPr>
        <w:t xml:space="preserve">Hormone Research in Paediatrics </w:t>
      </w:r>
      <w:r>
        <w:t xml:space="preserve">158. </w:t>
      </w:r>
    </w:p>
  </w:endnote>
  <w:endnote w:id="438">
    <w:p w:rsidRPr="008F1A25" w:rsidR="00810FD7" w:rsidP="00810FD7" w:rsidRDefault="00810FD7" w14:paraId="57D7F824" w14:textId="77777777">
      <w:pPr>
        <w:pStyle w:val="EndnoteText"/>
        <w:rPr>
          <w:lang w:val="en-US"/>
        </w:rPr>
      </w:pPr>
      <w:r>
        <w:rPr>
          <w:rStyle w:val="EndnoteReference"/>
        </w:rPr>
        <w:endnoteRef/>
      </w:r>
      <w:r>
        <w:t xml:space="preserve"> IA Hughes et al, ‘Consensus statement on management of intersex disorders’ (2006) 2 </w:t>
      </w:r>
      <w:r w:rsidRPr="284A4336">
        <w:rPr>
          <w:i/>
          <w:iCs/>
        </w:rPr>
        <w:t>Journal of Pediatric Urology</w:t>
      </w:r>
      <w:r>
        <w:rPr>
          <w:lang w:val="en-US"/>
        </w:rPr>
        <w:t xml:space="preserve"> 148, 151.</w:t>
      </w:r>
    </w:p>
  </w:endnote>
  <w:endnote w:id="439">
    <w:p w:rsidRPr="008F1A25" w:rsidR="00810FD7" w:rsidP="00810FD7" w:rsidRDefault="00810FD7" w14:paraId="13576442" w14:textId="77777777">
      <w:pPr>
        <w:pStyle w:val="EndnoteText"/>
        <w:rPr>
          <w:lang w:val="en-US"/>
        </w:rPr>
      </w:pPr>
      <w:r>
        <w:rPr>
          <w:rStyle w:val="EndnoteReference"/>
        </w:rPr>
        <w:endnoteRef/>
      </w:r>
      <w:r>
        <w:t xml:space="preserve"> IA Hughes et al, ‘Consensus statement on management of intersex disorders’ (2006) 2 </w:t>
      </w:r>
      <w:r w:rsidRPr="284A4336">
        <w:rPr>
          <w:i/>
          <w:iCs/>
        </w:rPr>
        <w:t>Journal of Pediatric Urology</w:t>
      </w:r>
      <w:r>
        <w:rPr>
          <w:lang w:val="en-US"/>
        </w:rPr>
        <w:t xml:space="preserve"> 148, 151.</w:t>
      </w:r>
    </w:p>
  </w:endnote>
  <w:endnote w:id="440">
    <w:p w:rsidR="00810FD7" w:rsidP="00810FD7" w:rsidRDefault="00810FD7" w14:paraId="1AADF007" w14:textId="77777777">
      <w:pPr>
        <w:pStyle w:val="EndnoteText"/>
      </w:pPr>
      <w:r>
        <w:rPr>
          <w:rStyle w:val="EndnoteReference"/>
        </w:rPr>
        <w:endnoteRef/>
      </w:r>
      <w:r>
        <w:t xml:space="preserve"> Submission 55, </w:t>
      </w:r>
      <w:r>
        <w:rPr>
          <w:i/>
          <w:iCs/>
        </w:rPr>
        <w:t>Intersex Inquiry,</w:t>
      </w:r>
      <w:r>
        <w:t xml:space="preserve"> 10, 12; Australasian Paediatric Endocrine Group, Submission 20, </w:t>
      </w:r>
      <w:r>
        <w:rPr>
          <w:i/>
          <w:iCs/>
        </w:rPr>
        <w:t>Intersex Inquiry,</w:t>
      </w:r>
      <w:r>
        <w:t xml:space="preserve"> 6; </w:t>
      </w:r>
      <w:r w:rsidRPr="00954658">
        <w:t>Western Australian Multidisciplinary DSD Team</w:t>
      </w:r>
      <w:r>
        <w:t xml:space="preserve">, Submission 23, </w:t>
      </w:r>
      <w:r>
        <w:rPr>
          <w:i/>
          <w:iCs/>
        </w:rPr>
        <w:t>Intersex Inquiry,</w:t>
      </w:r>
      <w:r>
        <w:t xml:space="preserve"> 5; </w:t>
      </w:r>
      <w:r w:rsidRPr="00A6716D">
        <w:t>Endocrine Society of Australia</w:t>
      </w:r>
      <w:r>
        <w:t>, Submission 39,</w:t>
      </w:r>
      <w:r w:rsidRPr="00F16FED">
        <w:rPr>
          <w:i/>
          <w:iCs/>
        </w:rPr>
        <w:t xml:space="preserve"> </w:t>
      </w:r>
      <w:r>
        <w:rPr>
          <w:i/>
          <w:iCs/>
        </w:rPr>
        <w:t>Intersex Inquiry,</w:t>
      </w:r>
      <w:r>
        <w:t xml:space="preserve"> 4.</w:t>
      </w:r>
    </w:p>
  </w:endnote>
  <w:endnote w:id="441">
    <w:p w:rsidRPr="00976CD3" w:rsidR="00810FD7" w:rsidP="00810FD7" w:rsidRDefault="00810FD7" w14:paraId="1DDDEAED" w14:textId="77777777">
      <w:pPr>
        <w:pStyle w:val="EndnoteText"/>
        <w:rPr>
          <w:rFonts w:cs="Open Sans"/>
          <w:lang w:val="en-US"/>
        </w:rPr>
      </w:pPr>
      <w:r w:rsidRPr="00A4210D">
        <w:rPr>
          <w:rStyle w:val="EndnoteReference"/>
          <w:rFonts w:cs="Open Sans"/>
        </w:rPr>
        <w:endnoteRef/>
      </w:r>
      <w:r w:rsidRPr="00A4210D">
        <w:rPr>
          <w:rFonts w:cs="Open Sans"/>
        </w:rPr>
        <w:t xml:space="preserve"> </w:t>
      </w:r>
      <w:r w:rsidRPr="00976CD3">
        <w:rPr>
          <w:rFonts w:cs="Open Sans"/>
        </w:rPr>
        <w:t xml:space="preserve">Brisbane medical roundtable, Sydney medical roundtable. </w:t>
      </w:r>
    </w:p>
  </w:endnote>
  <w:endnote w:id="442">
    <w:p w:rsidR="00810FD7" w:rsidP="00810FD7" w:rsidRDefault="00810FD7" w14:paraId="658A4A48" w14:textId="77777777">
      <w:pPr>
        <w:pStyle w:val="EndnoteText"/>
      </w:pPr>
      <w:r>
        <w:rPr>
          <w:rStyle w:val="EndnoteReference"/>
        </w:rPr>
        <w:endnoteRef/>
      </w:r>
      <w:r>
        <w:t xml:space="preserve"> Submission 26,</w:t>
      </w:r>
      <w:r w:rsidRPr="00F16FED">
        <w:rPr>
          <w:i/>
          <w:iCs/>
        </w:rPr>
        <w:t xml:space="preserve"> </w:t>
      </w:r>
      <w:r>
        <w:rPr>
          <w:i/>
          <w:iCs/>
        </w:rPr>
        <w:t>Intersex Inquiry,</w:t>
      </w:r>
      <w:r>
        <w:t xml:space="preserve"> 1. </w:t>
      </w:r>
    </w:p>
  </w:endnote>
  <w:endnote w:id="443">
    <w:p w:rsidRPr="001A50DB" w:rsidR="00810FD7" w:rsidP="00810FD7" w:rsidRDefault="00810FD7" w14:paraId="0550913D" w14:textId="77777777">
      <w:pPr>
        <w:pStyle w:val="EndnoteText"/>
        <w:rPr>
          <w:rFonts w:ascii="Arial" w:hAnsi="Arial" w:cs="Arial"/>
        </w:rPr>
      </w:pPr>
      <w:r w:rsidRPr="001A50DB">
        <w:rPr>
          <w:rStyle w:val="EndnoteReference"/>
          <w:rFonts w:ascii="Arial" w:hAnsi="Arial" w:cs="Arial"/>
        </w:rPr>
        <w:endnoteRef/>
      </w:r>
      <w:r w:rsidRPr="001A50DB">
        <w:rPr>
          <w:rFonts w:ascii="Arial" w:hAnsi="Arial" w:cs="Arial"/>
        </w:rPr>
        <w:t xml:space="preserve"> </w:t>
      </w:r>
      <w:r w:rsidRPr="006E2AA8">
        <w:t>Submission 50</w:t>
      </w:r>
      <w:r>
        <w:t>,</w:t>
      </w:r>
      <w:r w:rsidRPr="00F16FED">
        <w:rPr>
          <w:i/>
          <w:iCs/>
        </w:rPr>
        <w:t xml:space="preserve"> </w:t>
      </w:r>
      <w:r>
        <w:rPr>
          <w:i/>
          <w:iCs/>
        </w:rPr>
        <w:t>Intersex Inquiry,</w:t>
      </w:r>
      <w:r>
        <w:t xml:space="preserve"> </w:t>
      </w:r>
      <w:r w:rsidRPr="006E2AA8">
        <w:t>3</w:t>
      </w:r>
      <w:r>
        <w:t xml:space="preserve">. </w:t>
      </w:r>
    </w:p>
  </w:endnote>
  <w:endnote w:id="444">
    <w:p w:rsidRPr="00976CD3" w:rsidR="00810FD7" w:rsidP="00810FD7" w:rsidRDefault="00810FD7" w14:paraId="7EE085E8" w14:textId="77777777">
      <w:pPr>
        <w:pStyle w:val="EndnoteText"/>
        <w:rPr>
          <w:rFonts w:cs="Open Sans"/>
        </w:rPr>
      </w:pPr>
      <w:r w:rsidRPr="001A50DB">
        <w:rPr>
          <w:rStyle w:val="EndnoteReference"/>
          <w:rFonts w:ascii="Arial" w:hAnsi="Arial" w:cs="Arial"/>
        </w:rPr>
        <w:endnoteRef/>
      </w:r>
      <w:r w:rsidRPr="001A50DB">
        <w:rPr>
          <w:rFonts w:ascii="Arial" w:hAnsi="Arial" w:cs="Arial"/>
        </w:rPr>
        <w:t xml:space="preserve"> </w:t>
      </w:r>
      <w:r>
        <w:rPr>
          <w:rFonts w:cs="Open Sans"/>
        </w:rPr>
        <w:t xml:space="preserve">Submission </w:t>
      </w:r>
      <w:r w:rsidRPr="00976CD3">
        <w:rPr>
          <w:rFonts w:cs="Open Sans"/>
        </w:rPr>
        <w:t>20</w:t>
      </w:r>
      <w:r>
        <w:rPr>
          <w:rFonts w:cs="Open Sans"/>
        </w:rPr>
        <w:t>,</w:t>
      </w:r>
      <w:r w:rsidRPr="00F16FED">
        <w:rPr>
          <w:i/>
          <w:iCs/>
        </w:rPr>
        <w:t xml:space="preserve"> </w:t>
      </w:r>
      <w:r>
        <w:rPr>
          <w:i/>
          <w:iCs/>
        </w:rPr>
        <w:t>Intersex Inquiry,</w:t>
      </w:r>
      <w:r>
        <w:rPr>
          <w:rFonts w:cs="Open Sans"/>
        </w:rPr>
        <w:t xml:space="preserve"> </w:t>
      </w:r>
      <w:r w:rsidRPr="00976CD3">
        <w:rPr>
          <w:rFonts w:cs="Open Sans"/>
        </w:rPr>
        <w:t>7-8</w:t>
      </w:r>
      <w:r>
        <w:rPr>
          <w:rFonts w:cs="Open Sans"/>
        </w:rPr>
        <w:t xml:space="preserve">. </w:t>
      </w:r>
    </w:p>
  </w:endnote>
  <w:endnote w:id="445">
    <w:p w:rsidRPr="00A42DB1" w:rsidR="00810FD7" w:rsidP="00810FD7" w:rsidRDefault="00810FD7" w14:paraId="067E10B1" w14:textId="77777777">
      <w:pPr>
        <w:pStyle w:val="EndnoteText"/>
        <w:rPr>
          <w:lang w:val="en-US"/>
        </w:rPr>
      </w:pPr>
      <w:r>
        <w:rPr>
          <w:rStyle w:val="EndnoteReference"/>
        </w:rPr>
        <w:endnoteRef/>
      </w:r>
      <w:r>
        <w:t xml:space="preserve"> Submission 68, </w:t>
      </w:r>
      <w:r>
        <w:rPr>
          <w:i/>
          <w:iCs/>
        </w:rPr>
        <w:t>Intersex Inquiry,</w:t>
      </w:r>
      <w:r>
        <w:t xml:space="preserve"> 2. </w:t>
      </w:r>
    </w:p>
  </w:endnote>
  <w:endnote w:id="446">
    <w:p w:rsidRPr="00A4210D" w:rsidR="00810FD7" w:rsidP="00810FD7" w:rsidRDefault="00810FD7" w14:paraId="2D531012" w14:textId="77777777">
      <w:pPr>
        <w:pStyle w:val="EndnoteText"/>
        <w:rPr>
          <w:rFonts w:cs="Open Sans"/>
          <w:lang w:val="en-US"/>
        </w:rPr>
      </w:pPr>
      <w:r w:rsidRPr="00A4210D">
        <w:rPr>
          <w:rStyle w:val="EndnoteReference"/>
          <w:rFonts w:cs="Open Sans"/>
        </w:rPr>
        <w:endnoteRef/>
      </w:r>
      <w:r w:rsidRPr="00A4210D">
        <w:rPr>
          <w:rFonts w:cs="Open Sans"/>
        </w:rPr>
        <w:t xml:space="preserve"> </w:t>
      </w:r>
      <w:r w:rsidRPr="00976CD3">
        <w:rPr>
          <w:rFonts w:cs="Open Sans"/>
        </w:rPr>
        <w:t xml:space="preserve">Submission </w:t>
      </w:r>
      <w:r w:rsidRPr="00976CD3">
        <w:rPr>
          <w:rFonts w:cs="Open Sans"/>
          <w:lang w:val="en-US"/>
        </w:rPr>
        <w:t>50</w:t>
      </w:r>
      <w:r>
        <w:rPr>
          <w:rFonts w:cs="Open Sans"/>
          <w:lang w:val="en-US"/>
        </w:rPr>
        <w:t xml:space="preserve">, </w:t>
      </w:r>
      <w:r>
        <w:rPr>
          <w:i/>
          <w:iCs/>
        </w:rPr>
        <w:t>Intersex Inquiry,</w:t>
      </w:r>
      <w:r>
        <w:t xml:space="preserve"> </w:t>
      </w:r>
      <w:r w:rsidRPr="00A4210D">
        <w:rPr>
          <w:rFonts w:cs="Open Sans"/>
          <w:lang w:val="en-US"/>
        </w:rPr>
        <w:t>3</w:t>
      </w:r>
      <w:r>
        <w:rPr>
          <w:rFonts w:cs="Open Sans"/>
          <w:lang w:val="en-US"/>
        </w:rPr>
        <w:t>.</w:t>
      </w:r>
    </w:p>
  </w:endnote>
  <w:endnote w:id="447">
    <w:p w:rsidRPr="00C96838" w:rsidR="00810FD7" w:rsidP="00810FD7" w:rsidRDefault="00810FD7" w14:paraId="669C5E19" w14:textId="77777777">
      <w:pPr>
        <w:pStyle w:val="EndnoteText"/>
        <w:rPr>
          <w:rFonts w:cs="Open Sans"/>
        </w:rPr>
      </w:pPr>
      <w:r w:rsidRPr="00A4210D">
        <w:rPr>
          <w:rStyle w:val="EndnoteReference"/>
          <w:rFonts w:cs="Open Sans"/>
        </w:rPr>
        <w:endnoteRef/>
      </w:r>
      <w:r w:rsidRPr="00A4210D">
        <w:rPr>
          <w:rFonts w:cs="Open Sans"/>
        </w:rPr>
        <w:t xml:space="preserve"> </w:t>
      </w:r>
      <w:r w:rsidRPr="00976CD3">
        <w:rPr>
          <w:rFonts w:cs="Open Sans"/>
        </w:rPr>
        <w:t>Submission 36</w:t>
      </w:r>
      <w:r>
        <w:rPr>
          <w:rFonts w:cs="Open Sans"/>
        </w:rPr>
        <w:t>,</w:t>
      </w:r>
      <w:r w:rsidRPr="007A551C">
        <w:rPr>
          <w:i/>
          <w:iCs/>
        </w:rPr>
        <w:t xml:space="preserve"> </w:t>
      </w:r>
      <w:r>
        <w:rPr>
          <w:i/>
          <w:iCs/>
        </w:rPr>
        <w:t>Intersex Inquiry</w:t>
      </w:r>
      <w:r>
        <w:rPr>
          <w:rFonts w:cs="Open Sans"/>
        </w:rPr>
        <w:t>.</w:t>
      </w:r>
    </w:p>
  </w:endnote>
  <w:endnote w:id="448">
    <w:p w:rsidRPr="00A4210D" w:rsidR="00810FD7" w:rsidP="00810FD7" w:rsidRDefault="00810FD7" w14:paraId="17D2E3F0" w14:textId="77777777">
      <w:pPr>
        <w:pStyle w:val="EndnoteText"/>
        <w:rPr>
          <w:rFonts w:cs="Open Sans"/>
        </w:rPr>
      </w:pPr>
      <w:r w:rsidRPr="00871613">
        <w:rPr>
          <w:rStyle w:val="EndnoteReference"/>
          <w:rFonts w:cs="Open Sans"/>
        </w:rPr>
        <w:endnoteRef/>
      </w:r>
      <w:r w:rsidRPr="00976CD3">
        <w:rPr>
          <w:rFonts w:cs="Open Sans"/>
        </w:rPr>
        <w:t xml:space="preserve"> </w:t>
      </w:r>
      <w:r w:rsidRPr="00A4210D">
        <w:rPr>
          <w:rFonts w:cs="Open Sans"/>
        </w:rPr>
        <w:t>Subm</w:t>
      </w:r>
      <w:r w:rsidRPr="00976CD3">
        <w:rPr>
          <w:rFonts w:cs="Open Sans"/>
        </w:rPr>
        <w:t xml:space="preserve">ission </w:t>
      </w:r>
      <w:r w:rsidRPr="00976CD3">
        <w:rPr>
          <w:rFonts w:eastAsia="Times New Roman" w:cs="Open Sans"/>
        </w:rPr>
        <w:t>55</w:t>
      </w:r>
      <w:r>
        <w:rPr>
          <w:rFonts w:eastAsia="Times New Roman" w:cs="Open Sans"/>
        </w:rPr>
        <w:t xml:space="preserve">, </w:t>
      </w:r>
      <w:r>
        <w:rPr>
          <w:i/>
          <w:iCs/>
        </w:rPr>
        <w:t>Intersex Inquiry,</w:t>
      </w:r>
      <w:r>
        <w:t xml:space="preserve"> </w:t>
      </w:r>
      <w:r w:rsidRPr="00976CD3">
        <w:rPr>
          <w:rFonts w:eastAsia="Times New Roman" w:cs="Open Sans"/>
        </w:rPr>
        <w:t>13</w:t>
      </w:r>
      <w:r>
        <w:rPr>
          <w:rFonts w:eastAsia="Times New Roman" w:cs="Open Sans"/>
        </w:rPr>
        <w:t xml:space="preserve">; </w:t>
      </w:r>
      <w:r>
        <w:rPr>
          <w:rFonts w:cs="Open Sans"/>
        </w:rPr>
        <w:t>Submission</w:t>
      </w:r>
      <w:r w:rsidRPr="00976CD3">
        <w:rPr>
          <w:rFonts w:eastAsia="Times New Roman" w:cs="Open Sans"/>
        </w:rPr>
        <w:t xml:space="preserve"> 21</w:t>
      </w:r>
      <w:r>
        <w:rPr>
          <w:rFonts w:eastAsia="Times New Roman" w:cs="Open Sans"/>
        </w:rPr>
        <w:t>,</w:t>
      </w:r>
      <w:r w:rsidRPr="00356222">
        <w:rPr>
          <w:i/>
          <w:iCs/>
        </w:rPr>
        <w:t xml:space="preserve"> </w:t>
      </w:r>
      <w:r>
        <w:rPr>
          <w:i/>
          <w:iCs/>
        </w:rPr>
        <w:t>Intersex Inquiry</w:t>
      </w:r>
      <w:r w:rsidRPr="00976CD3">
        <w:rPr>
          <w:rFonts w:eastAsia="Times New Roman" w:cs="Open Sans"/>
        </w:rPr>
        <w:t xml:space="preserve">. </w:t>
      </w:r>
    </w:p>
  </w:endnote>
  <w:endnote w:id="449">
    <w:p w:rsidRPr="002B6DA4" w:rsidR="00810FD7" w:rsidP="00810FD7" w:rsidRDefault="00810FD7" w14:paraId="107F3586" w14:textId="77777777">
      <w:pPr>
        <w:pStyle w:val="EndnoteText"/>
        <w:rPr>
          <w:rFonts w:cs="Open Sans"/>
        </w:rPr>
      </w:pPr>
      <w:r w:rsidRPr="00871613">
        <w:rPr>
          <w:rStyle w:val="EndnoteReference"/>
          <w:rFonts w:cs="Open Sans"/>
        </w:rPr>
        <w:endnoteRef/>
      </w:r>
      <w:r w:rsidRPr="00F44E46">
        <w:rPr>
          <w:rFonts w:cs="Open Sans"/>
        </w:rPr>
        <w:t xml:space="preserve"> </w:t>
      </w:r>
      <w:r w:rsidRPr="00335234">
        <w:rPr>
          <w:rFonts w:cs="Open Sans"/>
        </w:rPr>
        <w:t>NHMRC funded research program</w:t>
      </w:r>
      <w:r>
        <w:rPr>
          <w:rFonts w:cs="Open Sans"/>
        </w:rPr>
        <w:t>,</w:t>
      </w:r>
      <w:r w:rsidRPr="00335234">
        <w:rPr>
          <w:rFonts w:cs="Open Sans"/>
        </w:rPr>
        <w:t xml:space="preserve"> </w:t>
      </w:r>
      <w:r>
        <w:rPr>
          <w:rFonts w:cs="Open Sans"/>
        </w:rPr>
        <w:t xml:space="preserve">Submission </w:t>
      </w:r>
      <w:r w:rsidRPr="00F44E46">
        <w:rPr>
          <w:rFonts w:cs="Open Sans"/>
        </w:rPr>
        <w:t>30</w:t>
      </w:r>
      <w:r>
        <w:rPr>
          <w:rFonts w:cs="Open Sans"/>
        </w:rPr>
        <w:t>,</w:t>
      </w:r>
      <w:r w:rsidRPr="0098296D">
        <w:rPr>
          <w:i/>
          <w:iCs/>
        </w:rPr>
        <w:t xml:space="preserve"> </w:t>
      </w:r>
      <w:r>
        <w:rPr>
          <w:i/>
          <w:iCs/>
        </w:rPr>
        <w:t>Intersex Inquiry,</w:t>
      </w:r>
      <w:r>
        <w:t xml:space="preserve"> </w:t>
      </w:r>
      <w:r>
        <w:rPr>
          <w:rFonts w:cs="Open Sans"/>
        </w:rPr>
        <w:t>4;</w:t>
      </w:r>
      <w:r w:rsidRPr="00F44E46">
        <w:rPr>
          <w:rFonts w:cs="Open Sans"/>
        </w:rPr>
        <w:t xml:space="preserve"> </w:t>
      </w:r>
      <w:r>
        <w:rPr>
          <w:rFonts w:cs="Open Sans"/>
        </w:rPr>
        <w:t xml:space="preserve">Submission </w:t>
      </w:r>
      <w:r w:rsidRPr="00F44E46">
        <w:rPr>
          <w:rFonts w:cs="Open Sans"/>
        </w:rPr>
        <w:t>65</w:t>
      </w:r>
      <w:r>
        <w:rPr>
          <w:rFonts w:cs="Open Sans"/>
        </w:rPr>
        <w:t xml:space="preserve">, </w:t>
      </w:r>
      <w:r w:rsidRPr="002B6DA4">
        <w:rPr>
          <w:rFonts w:cs="Open Sans"/>
        </w:rPr>
        <w:t>2</w:t>
      </w:r>
      <w:r w:rsidRPr="0098296D">
        <w:rPr>
          <w:i/>
          <w:iCs/>
        </w:rPr>
        <w:t xml:space="preserve"> </w:t>
      </w:r>
      <w:r>
        <w:rPr>
          <w:i/>
          <w:iCs/>
        </w:rPr>
        <w:t>Intersex Inquiry</w:t>
      </w:r>
      <w:r>
        <w:rPr>
          <w:rFonts w:cs="Open Sans"/>
        </w:rPr>
        <w:t>;</w:t>
      </w:r>
      <w:r w:rsidRPr="002B6DA4">
        <w:rPr>
          <w:rFonts w:cs="Open Sans"/>
        </w:rPr>
        <w:t xml:space="preserve"> </w:t>
      </w:r>
      <w:r>
        <w:rPr>
          <w:rFonts w:cs="Open Sans"/>
        </w:rPr>
        <w:t xml:space="preserve">Submission </w:t>
      </w:r>
      <w:r w:rsidRPr="002B6DA4">
        <w:rPr>
          <w:rFonts w:cs="Open Sans"/>
        </w:rPr>
        <w:t>68</w:t>
      </w:r>
      <w:r>
        <w:rPr>
          <w:rFonts w:cs="Open Sans"/>
        </w:rPr>
        <w:t xml:space="preserve">, </w:t>
      </w:r>
      <w:r>
        <w:rPr>
          <w:i/>
          <w:iCs/>
        </w:rPr>
        <w:t>Intersex Inquiry,</w:t>
      </w:r>
      <w:r>
        <w:t xml:space="preserve"> </w:t>
      </w:r>
      <w:r>
        <w:rPr>
          <w:rFonts w:cs="Open Sans"/>
        </w:rPr>
        <w:t>3.</w:t>
      </w:r>
    </w:p>
  </w:endnote>
  <w:endnote w:id="450">
    <w:p w:rsidRPr="00FB0E22" w:rsidR="00810FD7" w:rsidP="00810FD7" w:rsidRDefault="00810FD7" w14:paraId="7B350628" w14:textId="77777777">
      <w:pPr>
        <w:pStyle w:val="EndnoteText"/>
        <w:rPr>
          <w:lang w:val="en-US"/>
        </w:rPr>
      </w:pPr>
      <w:r>
        <w:rPr>
          <w:rStyle w:val="EndnoteReference"/>
        </w:rPr>
        <w:endnoteRef/>
      </w:r>
      <w:r>
        <w:t xml:space="preserve"> </w:t>
      </w:r>
      <w:r>
        <w:rPr>
          <w:lang w:val="en-US"/>
        </w:rPr>
        <w:t xml:space="preserve">See Chapter 9 – Data and health record access. </w:t>
      </w:r>
    </w:p>
  </w:endnote>
  <w:endnote w:id="451">
    <w:p w:rsidR="00810FD7" w:rsidP="00810FD7" w:rsidRDefault="00810FD7" w14:paraId="3C3A1A60" w14:textId="77777777">
      <w:pPr>
        <w:pStyle w:val="EndnoteText"/>
      </w:pPr>
      <w:r>
        <w:rPr>
          <w:rStyle w:val="EndnoteReference"/>
        </w:rPr>
        <w:endnoteRef/>
      </w:r>
      <w:r>
        <w:t xml:space="preserve"> Submission 68,</w:t>
      </w:r>
      <w:r w:rsidRPr="0098296D">
        <w:rPr>
          <w:i/>
        </w:rPr>
        <w:t xml:space="preserve"> </w:t>
      </w:r>
      <w:r>
        <w:rPr>
          <w:i/>
          <w:iCs/>
        </w:rPr>
        <w:t>Intersex Inquiry,</w:t>
      </w:r>
      <w:r>
        <w:t xml:space="preserve"> 4. </w:t>
      </w:r>
    </w:p>
  </w:endnote>
  <w:endnote w:id="452">
    <w:p w:rsidRPr="007F5645" w:rsidR="00810FD7" w:rsidP="00810FD7" w:rsidRDefault="00810FD7" w14:paraId="1C12B9CE" w14:textId="77777777">
      <w:pPr>
        <w:pStyle w:val="EndnoteText"/>
        <w:rPr>
          <w:i/>
          <w:iCs/>
        </w:rPr>
      </w:pPr>
      <w:r>
        <w:rPr>
          <w:rStyle w:val="EndnoteReference"/>
        </w:rPr>
        <w:endnoteRef/>
      </w:r>
      <w:r>
        <w:t xml:space="preserve"> </w:t>
      </w:r>
      <w:r w:rsidDel="00BC3D37">
        <w:t xml:space="preserve">IA Hughes et al, ‘Consensus statement on management of intersex disorders’ </w:t>
      </w:r>
      <w:r>
        <w:t>(</w:t>
      </w:r>
      <w:r w:rsidDel="00BC3D37">
        <w:t>2006</w:t>
      </w:r>
      <w:r>
        <w:t>)</w:t>
      </w:r>
      <w:r w:rsidDel="00BC3D37">
        <w:t xml:space="preserve"> 2 </w:t>
      </w:r>
      <w:r w:rsidRPr="284A4336" w:rsidDel="00BC3D37">
        <w:rPr>
          <w:i/>
          <w:iCs/>
        </w:rPr>
        <w:t xml:space="preserve">Journal of Pediatric Urology </w:t>
      </w:r>
      <w:r w:rsidRPr="007F5645" w:rsidDel="00BC3D37">
        <w:t>148</w:t>
      </w:r>
      <w:r w:rsidDel="00BC3D37">
        <w:t>.</w:t>
      </w:r>
      <w:r w:rsidRPr="284A4336">
        <w:rPr>
          <w:i/>
          <w:iCs/>
        </w:rPr>
        <w:t xml:space="preserve"> </w:t>
      </w:r>
    </w:p>
  </w:endnote>
  <w:endnote w:id="453">
    <w:p w:rsidRPr="00CC5D41" w:rsidR="00810FD7" w:rsidP="00810FD7" w:rsidRDefault="00810FD7" w14:paraId="156EE104" w14:textId="77777777">
      <w:pPr>
        <w:pStyle w:val="EndnoteText"/>
        <w:rPr>
          <w:lang w:val="en-US"/>
        </w:rPr>
      </w:pPr>
      <w:r>
        <w:rPr>
          <w:rStyle w:val="EndnoteReference"/>
        </w:rPr>
        <w:endnoteRef/>
      </w:r>
      <w:r>
        <w:t xml:space="preserve"> </w:t>
      </w:r>
      <w:r w:rsidRPr="00CB4F30">
        <w:rPr>
          <w:rFonts w:cs="Open Sans"/>
        </w:rPr>
        <w:t xml:space="preserve">Peter A Lee et al, ‘Global Disorders of Sex Development Update since 2006: Perceptions, Approach and Care’ (2016) 85 </w:t>
      </w:r>
      <w:r w:rsidRPr="00CB4F30">
        <w:rPr>
          <w:rFonts w:cs="Open Sans"/>
          <w:i/>
        </w:rPr>
        <w:t>Hormone Research in Paediatrics</w:t>
      </w:r>
      <w:r w:rsidRPr="00CB4F30">
        <w:rPr>
          <w:rFonts w:cs="Open Sans"/>
        </w:rPr>
        <w:t xml:space="preserve"> 158</w:t>
      </w:r>
      <w:r>
        <w:rPr>
          <w:rFonts w:cs="Open Sans"/>
        </w:rPr>
        <w:t>.</w:t>
      </w:r>
    </w:p>
  </w:endnote>
  <w:endnote w:id="454">
    <w:p w:rsidRPr="00CC5D41" w:rsidR="00810FD7" w:rsidP="00810FD7" w:rsidRDefault="00810FD7" w14:paraId="59BB0D60" w14:textId="77777777">
      <w:pPr>
        <w:pStyle w:val="EndnoteText"/>
        <w:rPr>
          <w:lang w:val="en-US"/>
        </w:rPr>
      </w:pPr>
      <w:r>
        <w:rPr>
          <w:rStyle w:val="EndnoteReference"/>
        </w:rPr>
        <w:endnoteRef/>
      </w:r>
      <w:r>
        <w:t xml:space="preserve"> </w:t>
      </w:r>
      <w:r w:rsidRPr="0047276F">
        <w:rPr>
          <w:rFonts w:cs="Open Sans"/>
        </w:rPr>
        <w:t>Victorian Government (Department of Health), ‘Decision-making principles</w:t>
      </w:r>
      <w:r w:rsidRPr="004D2BDE">
        <w:rPr>
          <w:rFonts w:ascii="Arial" w:hAnsi="Arial" w:cs="Arial"/>
        </w:rPr>
        <w:t xml:space="preserve"> </w:t>
      </w:r>
      <w:r w:rsidRPr="00576FAA">
        <w:rPr>
          <w:rFonts w:cs="Open Sans"/>
        </w:rPr>
        <w:t>for the care of infants, children and adolescents with intersex conditions’ (February 2013)</w:t>
      </w:r>
      <w:r>
        <w:rPr>
          <w:rFonts w:cs="Open Sans"/>
        </w:rPr>
        <w:t>,</w:t>
      </w:r>
      <w:r w:rsidRPr="00576FAA">
        <w:rPr>
          <w:rFonts w:cs="Open Sans"/>
        </w:rPr>
        <w:t xml:space="preserve"> </w:t>
      </w:r>
      <w:r>
        <w:rPr>
          <w:rFonts w:cs="Open Sans"/>
        </w:rPr>
        <w:t>&lt;</w:t>
      </w:r>
      <w:hyperlink w:history="1" r:id="rId43">
        <w:r w:rsidRPr="00310050">
          <w:rPr>
            <w:rStyle w:val="Hyperlink"/>
            <w:rFonts w:cs="Open Sans"/>
          </w:rPr>
          <w:t>https://www2.health.vic.gov.au/about/populations/lgbti-health/rainbow-equality/working-with-specific-groups/infants-children-adolescents-with-intersex-conditions</w:t>
        </w:r>
      </w:hyperlink>
      <w:r>
        <w:rPr>
          <w:rStyle w:val="Hyperlink"/>
          <w:rFonts w:cs="Open Sans"/>
        </w:rPr>
        <w:t>&gt;.</w:t>
      </w:r>
    </w:p>
  </w:endnote>
  <w:endnote w:id="455">
    <w:p w:rsidR="00810FD7" w:rsidP="00810FD7" w:rsidRDefault="00810FD7" w14:paraId="77FCFB2E" w14:textId="77777777">
      <w:pPr>
        <w:pStyle w:val="EndnoteText"/>
      </w:pPr>
      <w:r>
        <w:rPr>
          <w:rStyle w:val="EndnoteReference"/>
        </w:rPr>
        <w:endnoteRef/>
      </w:r>
      <w:r>
        <w:t xml:space="preserve"> </w:t>
      </w:r>
      <w:r w:rsidDel="00BC3D37">
        <w:t xml:space="preserve">IA Hughes et al, ‘Consensus statement on management of intersex disorders’ </w:t>
      </w:r>
      <w:r>
        <w:t>(</w:t>
      </w:r>
      <w:r w:rsidDel="00BC3D37">
        <w:t>2006</w:t>
      </w:r>
      <w:r>
        <w:t>)</w:t>
      </w:r>
      <w:r w:rsidDel="00BC3D37">
        <w:t xml:space="preserve"> 2 </w:t>
      </w:r>
      <w:r w:rsidRPr="284A4336" w:rsidDel="00BC3D37">
        <w:rPr>
          <w:i/>
          <w:iCs/>
        </w:rPr>
        <w:t xml:space="preserve">Journal of Pediatric Urology </w:t>
      </w:r>
      <w:r w:rsidRPr="007F5645" w:rsidDel="00BC3D37">
        <w:t>148</w:t>
      </w:r>
      <w:r w:rsidDel="00BC3D37">
        <w:t>.</w:t>
      </w:r>
    </w:p>
  </w:endnote>
  <w:endnote w:id="456">
    <w:p w:rsidR="00810FD7" w:rsidP="00810FD7" w:rsidRDefault="00810FD7" w14:paraId="3F3D15B6" w14:textId="77777777">
      <w:pPr>
        <w:pStyle w:val="EndnoteText"/>
      </w:pPr>
      <w:r>
        <w:rPr>
          <w:rStyle w:val="EndnoteReference"/>
        </w:rPr>
        <w:endnoteRef/>
      </w:r>
      <w:r>
        <w:t xml:space="preserve"> </w:t>
      </w:r>
      <w:r w:rsidRPr="00CB4F30">
        <w:rPr>
          <w:rFonts w:cs="Open Sans"/>
        </w:rPr>
        <w:t xml:space="preserve">Peter A Lee et al, ‘Global Disorders of Sex Development Update since 2006: Perceptions, Approach and Care’ (2016) 85 </w:t>
      </w:r>
      <w:r w:rsidRPr="00CB4F30">
        <w:rPr>
          <w:rFonts w:cs="Open Sans"/>
          <w:i/>
        </w:rPr>
        <w:t>Hormone Research in Paediatrics</w:t>
      </w:r>
      <w:r w:rsidRPr="00CB4F30">
        <w:rPr>
          <w:rFonts w:cs="Open Sans"/>
        </w:rPr>
        <w:t xml:space="preserve"> 158</w:t>
      </w:r>
      <w:r>
        <w:rPr>
          <w:rFonts w:cs="Open Sans"/>
        </w:rPr>
        <w:t>.</w:t>
      </w:r>
    </w:p>
  </w:endnote>
  <w:endnote w:id="457">
    <w:p w:rsidRPr="00092857" w:rsidR="00810FD7" w:rsidP="00810FD7" w:rsidRDefault="00810FD7" w14:paraId="2576C6A7" w14:textId="77777777">
      <w:pPr>
        <w:pStyle w:val="EndnoteText"/>
        <w:rPr>
          <w:lang w:val="en-US"/>
        </w:rPr>
      </w:pPr>
      <w:r>
        <w:rPr>
          <w:rStyle w:val="EndnoteReference"/>
        </w:rPr>
        <w:endnoteRef/>
      </w:r>
      <w:r>
        <w:t xml:space="preserve"> Submission 65, </w:t>
      </w:r>
      <w:r>
        <w:rPr>
          <w:i/>
          <w:iCs/>
        </w:rPr>
        <w:t>Intersex Inquiry,</w:t>
      </w:r>
      <w:r>
        <w:t xml:space="preserve"> 2–3; </w:t>
      </w:r>
      <w:r w:rsidRPr="00EA6CF9">
        <w:t xml:space="preserve">Endocrine Society of Australia </w:t>
      </w:r>
      <w:r>
        <w:t xml:space="preserve">Submission 39, </w:t>
      </w:r>
      <w:r>
        <w:rPr>
          <w:i/>
          <w:iCs/>
        </w:rPr>
        <w:t>Intersex Inquiry,</w:t>
      </w:r>
      <w:r>
        <w:t xml:space="preserve"> 3; Submission 68,</w:t>
      </w:r>
      <w:r w:rsidRPr="00FF757C">
        <w:rPr>
          <w:i/>
        </w:rPr>
        <w:t xml:space="preserve"> </w:t>
      </w:r>
      <w:r>
        <w:rPr>
          <w:i/>
          <w:iCs/>
        </w:rPr>
        <w:t>Intersex Inquiry,</w:t>
      </w:r>
      <w:r>
        <w:t xml:space="preserve"> 2. </w:t>
      </w:r>
    </w:p>
  </w:endnote>
  <w:endnote w:id="458">
    <w:p w:rsidRPr="00B443DD" w:rsidR="00810FD7" w:rsidP="00810FD7" w:rsidRDefault="00810FD7" w14:paraId="58AFBED9" w14:textId="77777777">
      <w:pPr>
        <w:pStyle w:val="EndnoteText"/>
        <w:rPr>
          <w:lang w:val="en-US"/>
        </w:rPr>
      </w:pPr>
      <w:r>
        <w:rPr>
          <w:rStyle w:val="EndnoteReference"/>
        </w:rPr>
        <w:endnoteRef/>
      </w:r>
      <w:r>
        <w:t xml:space="preserve"> Submission 65,</w:t>
      </w:r>
      <w:r w:rsidRPr="00FF757C">
        <w:rPr>
          <w:i/>
        </w:rPr>
        <w:t xml:space="preserve"> </w:t>
      </w:r>
      <w:r>
        <w:rPr>
          <w:i/>
          <w:iCs/>
        </w:rPr>
        <w:t>Intersex Inquiry,</w:t>
      </w:r>
      <w:r>
        <w:t xml:space="preserve"> 2–3; </w:t>
      </w:r>
      <w:r w:rsidRPr="00EA6CF9">
        <w:t xml:space="preserve">Endocrine Society of Australia </w:t>
      </w:r>
      <w:r>
        <w:t xml:space="preserve">Submission 39, </w:t>
      </w:r>
      <w:r>
        <w:rPr>
          <w:i/>
          <w:iCs/>
        </w:rPr>
        <w:t>Intersex Inquiry,</w:t>
      </w:r>
      <w:r>
        <w:t xml:space="preserve"> 3; Submission 68, </w:t>
      </w:r>
      <w:r>
        <w:rPr>
          <w:i/>
          <w:iCs/>
        </w:rPr>
        <w:t>Intersex Inquiry,</w:t>
      </w:r>
      <w:r>
        <w:t xml:space="preserve"> 2. </w:t>
      </w:r>
    </w:p>
  </w:endnote>
  <w:endnote w:id="459">
    <w:p w:rsidRPr="00092857" w:rsidR="00810FD7" w:rsidP="00810FD7" w:rsidRDefault="00810FD7" w14:paraId="69395DED" w14:textId="77777777">
      <w:pPr>
        <w:pStyle w:val="EndnoteText"/>
        <w:rPr>
          <w:lang w:val="en-US"/>
        </w:rPr>
      </w:pPr>
      <w:r>
        <w:rPr>
          <w:rStyle w:val="EndnoteReference"/>
        </w:rPr>
        <w:endnoteRef/>
      </w:r>
      <w:r>
        <w:t xml:space="preserve"> IA Hughes et al, ‘Consensus statement on management of intersex disorders’ (2006) 2 </w:t>
      </w:r>
      <w:r>
        <w:rPr>
          <w:i/>
          <w:iCs/>
        </w:rPr>
        <w:t>Journal of Pediatric Urology</w:t>
      </w:r>
      <w:r>
        <w:rPr>
          <w:lang w:val="en-US"/>
        </w:rPr>
        <w:t xml:space="preserve"> 148, 159. It </w:t>
      </w:r>
      <w:r w:rsidRPr="284A4336">
        <w:rPr>
          <w:rFonts w:cs="Open Sans"/>
          <w:lang w:val="en-US"/>
        </w:rPr>
        <w:t>provides a passing reference to limitations in the United States to the rights of parents to consent to interventions on their children, in the context of a discussion on medical negligence.</w:t>
      </w:r>
    </w:p>
  </w:endnote>
  <w:endnote w:id="460">
    <w:p w:rsidRPr="00092857" w:rsidR="00810FD7" w:rsidP="00810FD7" w:rsidRDefault="00810FD7" w14:paraId="58D537CB" w14:textId="77777777">
      <w:pPr>
        <w:pStyle w:val="EndnoteText"/>
        <w:rPr>
          <w:lang w:val="en-US"/>
        </w:rPr>
      </w:pPr>
      <w:r>
        <w:rPr>
          <w:rStyle w:val="EndnoteReference"/>
        </w:rPr>
        <w:endnoteRef/>
      </w:r>
      <w:r>
        <w:t xml:space="preserve"> </w:t>
      </w:r>
      <w:r w:rsidRPr="00CB4F30">
        <w:rPr>
          <w:rFonts w:cs="Open Sans"/>
        </w:rPr>
        <w:t xml:space="preserve">Peter A Lee et al, ‘Global Disorders of Sex Development Update since 2006: Perceptions, Approach and Care’ (2016) 85 </w:t>
      </w:r>
      <w:r w:rsidRPr="00CB4F30">
        <w:rPr>
          <w:rFonts w:cs="Open Sans"/>
          <w:i/>
        </w:rPr>
        <w:t>Hormone Research in Paediatrics</w:t>
      </w:r>
      <w:r w:rsidRPr="00CB4F30">
        <w:rPr>
          <w:rFonts w:cs="Open Sans"/>
        </w:rPr>
        <w:t xml:space="preserve"> 158</w:t>
      </w:r>
      <w:r>
        <w:rPr>
          <w:rFonts w:cs="Open Sans"/>
        </w:rPr>
        <w:t xml:space="preserve">, </w:t>
      </w:r>
      <w:r>
        <w:rPr>
          <w:lang w:val="en-US"/>
        </w:rPr>
        <w:t>176.</w:t>
      </w:r>
    </w:p>
  </w:endnote>
  <w:endnote w:id="461">
    <w:p w:rsidRPr="00092857" w:rsidR="00810FD7" w:rsidP="00810FD7" w:rsidRDefault="00810FD7" w14:paraId="06CA59C4" w14:textId="77777777">
      <w:pPr>
        <w:pStyle w:val="EndnoteText"/>
        <w:rPr>
          <w:lang w:val="en-US"/>
        </w:rPr>
      </w:pPr>
      <w:r>
        <w:rPr>
          <w:rStyle w:val="EndnoteReference"/>
        </w:rPr>
        <w:endnoteRef/>
      </w:r>
      <w:r>
        <w:t xml:space="preserve"> Submission 39,</w:t>
      </w:r>
      <w:r w:rsidRPr="005F7721">
        <w:rPr>
          <w:i/>
        </w:rPr>
        <w:t xml:space="preserve"> </w:t>
      </w:r>
      <w:r>
        <w:rPr>
          <w:i/>
          <w:iCs/>
        </w:rPr>
        <w:t>Intersex Inquiry,</w:t>
      </w:r>
      <w:r>
        <w:t xml:space="preserve"> 3.</w:t>
      </w:r>
    </w:p>
  </w:endnote>
  <w:endnote w:id="462">
    <w:p w:rsidRPr="00785BA6" w:rsidR="00810FD7" w:rsidP="00810FD7" w:rsidRDefault="00810FD7" w14:paraId="1BE260B7" w14:textId="77777777">
      <w:pPr>
        <w:pStyle w:val="EndnoteText"/>
        <w:rPr>
          <w:lang w:val="en-US"/>
        </w:rPr>
      </w:pPr>
      <w:r>
        <w:rPr>
          <w:rStyle w:val="EndnoteReference"/>
        </w:rPr>
        <w:endnoteRef/>
      </w:r>
      <w:r>
        <w:t xml:space="preserve"> </w:t>
      </w:r>
      <w:r w:rsidRPr="00CB4F30">
        <w:rPr>
          <w:rFonts w:cs="Open Sans"/>
        </w:rPr>
        <w:t xml:space="preserve">Peter A. Lee et al, ‘Global Disorders of Sex Development Update since 2006: Perceptions, Approach and Care’ (2016) 85 </w:t>
      </w:r>
      <w:r w:rsidRPr="00CB4F30">
        <w:rPr>
          <w:rFonts w:cs="Open Sans"/>
          <w:i/>
        </w:rPr>
        <w:t>Hormone Research in Paediatrics</w:t>
      </w:r>
      <w:r w:rsidRPr="00CB4F30">
        <w:rPr>
          <w:rFonts w:cs="Open Sans"/>
        </w:rPr>
        <w:t xml:space="preserve"> 158, </w:t>
      </w:r>
      <w:r>
        <w:t>176.</w:t>
      </w:r>
    </w:p>
  </w:endnote>
  <w:endnote w:id="463">
    <w:p w:rsidRPr="00785BA6" w:rsidR="00810FD7" w:rsidP="00810FD7" w:rsidRDefault="00810FD7" w14:paraId="1260F2AA" w14:textId="77777777">
      <w:pPr>
        <w:pStyle w:val="EndnoteText"/>
        <w:rPr>
          <w:lang w:val="en-US"/>
        </w:rPr>
      </w:pPr>
      <w:r>
        <w:rPr>
          <w:rStyle w:val="EndnoteReference"/>
        </w:rPr>
        <w:endnoteRef/>
      </w:r>
      <w:r>
        <w:t xml:space="preserve"> </w:t>
      </w:r>
      <w:r w:rsidRPr="0047276F">
        <w:rPr>
          <w:rFonts w:cs="Open Sans"/>
        </w:rPr>
        <w:t>Victorian Government (Department of Health), ‘Decision-making principles</w:t>
      </w:r>
      <w:r w:rsidRPr="004D2BDE">
        <w:rPr>
          <w:rFonts w:ascii="Arial" w:hAnsi="Arial" w:cs="Arial"/>
        </w:rPr>
        <w:t xml:space="preserve"> </w:t>
      </w:r>
      <w:r w:rsidRPr="00576FAA">
        <w:rPr>
          <w:rFonts w:cs="Open Sans"/>
        </w:rPr>
        <w:t xml:space="preserve">for the care of infants, children and adolescents with intersex conditions’ (February 2013) </w:t>
      </w:r>
      <w:r>
        <w:rPr>
          <w:rFonts w:cs="Open Sans"/>
        </w:rPr>
        <w:t>&lt;</w:t>
      </w:r>
      <w:hyperlink w:history="1" r:id="rId44">
        <w:r w:rsidRPr="00310050">
          <w:rPr>
            <w:rStyle w:val="Hyperlink"/>
            <w:rFonts w:cs="Open Sans"/>
          </w:rPr>
          <w:t>https://www2.health.vic.gov.au/about/populations/lgbti-health/rainbow-equality/working-with-specific-groups/infants-children-adolescents-with-intersex-conditions</w:t>
        </w:r>
      </w:hyperlink>
      <w:r>
        <w:rPr>
          <w:rStyle w:val="Hyperlink"/>
          <w:rFonts w:cs="Open Sans"/>
        </w:rPr>
        <w:t>&gt;</w:t>
      </w:r>
    </w:p>
  </w:endnote>
  <w:endnote w:id="464">
    <w:p w:rsidRPr="00881F81" w:rsidR="00810FD7" w:rsidP="00810FD7" w:rsidRDefault="00810FD7" w14:paraId="2C4A0F25" w14:textId="77777777">
      <w:pPr>
        <w:pStyle w:val="EndnoteText"/>
        <w:rPr>
          <w:lang w:val="en-US"/>
        </w:rPr>
      </w:pPr>
      <w:r>
        <w:rPr>
          <w:rStyle w:val="EndnoteReference"/>
        </w:rPr>
        <w:endnoteRef/>
      </w:r>
      <w:r>
        <w:t xml:space="preserve"> Submission 65,</w:t>
      </w:r>
      <w:r w:rsidRPr="005F7721">
        <w:rPr>
          <w:i/>
        </w:rPr>
        <w:t xml:space="preserve"> </w:t>
      </w:r>
      <w:r>
        <w:rPr>
          <w:i/>
          <w:iCs/>
        </w:rPr>
        <w:t>Intersex Inquiry,</w:t>
      </w:r>
      <w:r>
        <w:t xml:space="preserve"> 2–3; </w:t>
      </w:r>
      <w:r w:rsidRPr="00EA6CF9">
        <w:t xml:space="preserve">Endocrine Society of Australia </w:t>
      </w:r>
      <w:r>
        <w:t>Submission 39,</w:t>
      </w:r>
      <w:r w:rsidRPr="005F7721">
        <w:rPr>
          <w:i/>
        </w:rPr>
        <w:t xml:space="preserve"> </w:t>
      </w:r>
      <w:r>
        <w:rPr>
          <w:i/>
          <w:iCs/>
        </w:rPr>
        <w:t>Intersex Inquiry,</w:t>
      </w:r>
      <w:r>
        <w:t xml:space="preserve"> 3; Submission 68, </w:t>
      </w:r>
      <w:r>
        <w:rPr>
          <w:i/>
          <w:iCs/>
        </w:rPr>
        <w:t>Intersex Inquiry,</w:t>
      </w:r>
      <w:r>
        <w:t xml:space="preserve"> 2. </w:t>
      </w:r>
    </w:p>
  </w:endnote>
  <w:endnote w:id="465">
    <w:p w:rsidRPr="00881F81" w:rsidR="00810FD7" w:rsidP="00810FD7" w:rsidRDefault="00810FD7" w14:paraId="3033B870" w14:textId="77777777">
      <w:pPr>
        <w:pStyle w:val="EndnoteText"/>
        <w:rPr>
          <w:lang w:val="en-US"/>
        </w:rPr>
      </w:pPr>
      <w:r>
        <w:rPr>
          <w:rStyle w:val="EndnoteReference"/>
        </w:rPr>
        <w:endnoteRef/>
      </w:r>
      <w:r>
        <w:t xml:space="preserve"> </w:t>
      </w:r>
      <w:r w:rsidRPr="0047276F">
        <w:rPr>
          <w:rFonts w:cs="Open Sans"/>
        </w:rPr>
        <w:t>Victorian Government (Department of Health), ‘Decision-making principles</w:t>
      </w:r>
      <w:r w:rsidRPr="004D2BDE">
        <w:rPr>
          <w:rFonts w:ascii="Arial" w:hAnsi="Arial" w:cs="Arial"/>
        </w:rPr>
        <w:t xml:space="preserve"> </w:t>
      </w:r>
      <w:r w:rsidRPr="00576FAA">
        <w:rPr>
          <w:rFonts w:cs="Open Sans"/>
        </w:rPr>
        <w:t>for the care of infants, children and adolescents with intersex conditions’ (February 2013)</w:t>
      </w:r>
      <w:r>
        <w:t xml:space="preserve"> 4, </w:t>
      </w:r>
      <w:r>
        <w:rPr>
          <w:rFonts w:cs="Open Sans"/>
        </w:rPr>
        <w:t>&lt;</w:t>
      </w:r>
      <w:hyperlink w:history="1" r:id="rId45">
        <w:r w:rsidRPr="00310050">
          <w:rPr>
            <w:rStyle w:val="Hyperlink"/>
            <w:rFonts w:cs="Open Sans"/>
          </w:rPr>
          <w:t>https://www2.health.vic.gov.au/about/populations/lgbti-health/rainbow-equality/working-with-specific-groups/infants-children-adolescents-with-intersex-conditions</w:t>
        </w:r>
      </w:hyperlink>
      <w:r>
        <w:rPr>
          <w:rStyle w:val="Hyperlink"/>
          <w:rFonts w:cs="Open Sans"/>
        </w:rPr>
        <w:t xml:space="preserve">&gt;. </w:t>
      </w:r>
    </w:p>
  </w:endnote>
  <w:endnote w:id="466">
    <w:p w:rsidRPr="00A9150D" w:rsidR="00810FD7" w:rsidP="00810FD7" w:rsidRDefault="00810FD7" w14:paraId="4B376ACB" w14:textId="77777777">
      <w:pPr>
        <w:pStyle w:val="EndnoteText"/>
        <w:rPr>
          <w:lang w:val="en-US"/>
        </w:rPr>
      </w:pPr>
      <w:r>
        <w:rPr>
          <w:rStyle w:val="EndnoteReference"/>
        </w:rPr>
        <w:endnoteRef/>
      </w:r>
      <w:r>
        <w:t xml:space="preserve"> </w:t>
      </w:r>
      <w:r w:rsidRPr="00626D78">
        <w:t>Victorian Government (Department of Health), ‘Decision-making principles for the care of infants, children and adolescents with intersex conditions’ (February 2013)</w:t>
      </w:r>
      <w:r>
        <w:t> </w:t>
      </w:r>
      <w:r w:rsidRPr="00626D78">
        <w:t>4</w:t>
      </w:r>
      <w:r>
        <w:t xml:space="preserve">, </w:t>
      </w:r>
      <w:r w:rsidRPr="00626D78">
        <w:t>&lt;https://www2.health.vic.gov.au/about/populations/lgbti-health/rainbow-equality/working-with-specific-groups/infants-children-adolescents-with-intersex-conditions&gt;</w:t>
      </w:r>
      <w:r>
        <w:t>.</w:t>
      </w:r>
    </w:p>
  </w:endnote>
  <w:endnote w:id="467">
    <w:p w:rsidRPr="00113BF2" w:rsidR="00810FD7" w:rsidP="00810FD7" w:rsidRDefault="00810FD7" w14:paraId="2808B9E0" w14:textId="77777777">
      <w:pPr>
        <w:pStyle w:val="EndnoteText"/>
        <w:rPr>
          <w:lang w:val="en-US"/>
        </w:rPr>
      </w:pPr>
      <w:r>
        <w:rPr>
          <w:rStyle w:val="EndnoteReference"/>
        </w:rPr>
        <w:endnoteRef/>
      </w:r>
      <w:r>
        <w:t xml:space="preserve"> </w:t>
      </w:r>
      <w:r w:rsidRPr="0047276F">
        <w:rPr>
          <w:rFonts w:cs="Open Sans"/>
        </w:rPr>
        <w:t>Victorian Government (Department of Health), ‘Decision-making principles</w:t>
      </w:r>
      <w:r w:rsidRPr="004D2BDE">
        <w:rPr>
          <w:rFonts w:ascii="Arial" w:hAnsi="Arial" w:cs="Arial"/>
        </w:rPr>
        <w:t xml:space="preserve"> </w:t>
      </w:r>
      <w:r w:rsidRPr="00576FAA">
        <w:rPr>
          <w:rFonts w:cs="Open Sans"/>
        </w:rPr>
        <w:t xml:space="preserve">for the care of infants, children and adolescents with intersex conditions’ (February 2013) </w:t>
      </w:r>
      <w:r>
        <w:t xml:space="preserve">19, </w:t>
      </w:r>
      <w:r>
        <w:rPr>
          <w:rFonts w:cs="Open Sans"/>
        </w:rPr>
        <w:t>&lt;</w:t>
      </w:r>
      <w:hyperlink w:history="1" r:id="rId46">
        <w:r w:rsidRPr="00310050">
          <w:rPr>
            <w:rStyle w:val="Hyperlink"/>
            <w:rFonts w:cs="Open Sans"/>
          </w:rPr>
          <w:t>https://www2.health.vic.gov.au/about/populations/lgbti-health/rainbow-equality/working-with-specific-groups/infants-children-adolescents-with-intersex-conditions</w:t>
        </w:r>
      </w:hyperlink>
      <w:r>
        <w:rPr>
          <w:rStyle w:val="Hyperlink"/>
          <w:rFonts w:cs="Open Sans"/>
        </w:rPr>
        <w:t>&gt;.</w:t>
      </w:r>
    </w:p>
  </w:endnote>
  <w:endnote w:id="468">
    <w:p w:rsidRPr="000A374D" w:rsidR="00810FD7" w:rsidP="00810FD7" w:rsidRDefault="00810FD7" w14:paraId="71CF8ED4" w14:textId="77777777">
      <w:pPr>
        <w:pStyle w:val="EndnoteText"/>
        <w:rPr>
          <w:lang w:val="en-US"/>
        </w:rPr>
      </w:pPr>
      <w:r>
        <w:rPr>
          <w:rStyle w:val="EndnoteReference"/>
        </w:rPr>
        <w:endnoteRef/>
      </w:r>
      <w:r>
        <w:t xml:space="preserve"> Intersex Human Rights Australia, </w:t>
      </w:r>
      <w:r>
        <w:rPr>
          <w:lang w:val="en-US"/>
        </w:rPr>
        <w:t>Submission 40,</w:t>
      </w:r>
      <w:r w:rsidRPr="00A37CD9">
        <w:rPr>
          <w:i/>
        </w:rPr>
        <w:t xml:space="preserve"> </w:t>
      </w:r>
      <w:r>
        <w:rPr>
          <w:i/>
          <w:iCs/>
        </w:rPr>
        <w:t>Intersex Inquiry,</w:t>
      </w:r>
      <w:r>
        <w:rPr>
          <w:lang w:val="en-US"/>
        </w:rPr>
        <w:t xml:space="preserve"> 72. </w:t>
      </w:r>
    </w:p>
  </w:endnote>
  <w:endnote w:id="469">
    <w:p w:rsidRPr="00F57281" w:rsidR="00810FD7" w:rsidP="00810FD7" w:rsidRDefault="00810FD7" w14:paraId="42A74DA8" w14:textId="77777777">
      <w:pPr>
        <w:pStyle w:val="EndnoteText"/>
        <w:rPr>
          <w:lang w:val="en-US"/>
        </w:rPr>
      </w:pPr>
      <w:r>
        <w:rPr>
          <w:rStyle w:val="EndnoteReference"/>
        </w:rPr>
        <w:endnoteRef/>
      </w:r>
      <w:r>
        <w:t xml:space="preserve"> Submission </w:t>
      </w:r>
      <w:r>
        <w:rPr>
          <w:rFonts w:cs="Open Sans"/>
        </w:rPr>
        <w:t>68,</w:t>
      </w:r>
      <w:r w:rsidRPr="00A37CD9">
        <w:rPr>
          <w:i/>
        </w:rPr>
        <w:t xml:space="preserve"> </w:t>
      </w:r>
      <w:r>
        <w:rPr>
          <w:i/>
          <w:iCs/>
        </w:rPr>
        <w:t>Intersex Inquiry,</w:t>
      </w:r>
      <w:r>
        <w:t xml:space="preserve"> </w:t>
      </w:r>
      <w:r>
        <w:rPr>
          <w:rFonts w:cs="Open Sans"/>
        </w:rPr>
        <w:t xml:space="preserve">2. </w:t>
      </w:r>
    </w:p>
  </w:endnote>
  <w:endnote w:id="470">
    <w:p w:rsidRPr="00E27475" w:rsidR="00810FD7" w:rsidP="00810FD7" w:rsidRDefault="00810FD7" w14:paraId="275AFC93" w14:textId="77777777">
      <w:pPr>
        <w:pStyle w:val="EndnoteText"/>
        <w:rPr>
          <w:lang w:val="en-US"/>
        </w:rPr>
      </w:pPr>
      <w:r>
        <w:rPr>
          <w:rStyle w:val="EndnoteReference"/>
        </w:rPr>
        <w:endnoteRef/>
      </w:r>
      <w:r>
        <w:t xml:space="preserve"> </w:t>
      </w:r>
      <w:r>
        <w:rPr>
          <w:lang w:val="en-US"/>
        </w:rPr>
        <w:t xml:space="preserve">See </w:t>
      </w:r>
      <w:r w:rsidRPr="00EC6119">
        <w:rPr>
          <w:lang w:val="en-US"/>
        </w:rPr>
        <w:t xml:space="preserve">Chapter 7 </w:t>
      </w:r>
      <w:r w:rsidRPr="00EC6119">
        <w:rPr>
          <w:rFonts w:cs="Open Sans"/>
          <w:lang w:val="en-US"/>
        </w:rPr>
        <w:t>–</w:t>
      </w:r>
      <w:r w:rsidRPr="00EC6119">
        <w:rPr>
          <w:lang w:val="en-US"/>
        </w:rPr>
        <w:t xml:space="preserve"> Oversight of Medical Interventions,</w:t>
      </w:r>
      <w:r>
        <w:rPr>
          <w:lang w:val="en-US"/>
        </w:rPr>
        <w:t xml:space="preserve"> Recommendation 8.</w:t>
      </w:r>
    </w:p>
  </w:endnote>
  <w:endnote w:id="471">
    <w:p w:rsidRPr="000A374D" w:rsidR="00810FD7" w:rsidP="00810FD7" w:rsidRDefault="00810FD7" w14:paraId="6898655F" w14:textId="77777777">
      <w:pPr>
        <w:pStyle w:val="EndnoteText"/>
        <w:rPr>
          <w:lang w:val="en-US"/>
        </w:rPr>
      </w:pPr>
      <w:r>
        <w:rPr>
          <w:rStyle w:val="EndnoteReference"/>
        </w:rPr>
        <w:endnoteRef/>
      </w:r>
      <w:r>
        <w:t xml:space="preserve"> Submission </w:t>
      </w:r>
      <w:r>
        <w:rPr>
          <w:rFonts w:cs="Open Sans"/>
        </w:rPr>
        <w:t xml:space="preserve">68, </w:t>
      </w:r>
      <w:r>
        <w:rPr>
          <w:i/>
          <w:iCs/>
        </w:rPr>
        <w:t>Intersex Inquiry,</w:t>
      </w:r>
      <w:r>
        <w:t xml:space="preserve"> </w:t>
      </w:r>
      <w:r>
        <w:rPr>
          <w:rFonts w:cs="Open Sans"/>
        </w:rPr>
        <w:t>2.</w:t>
      </w:r>
    </w:p>
  </w:endnote>
  <w:endnote w:id="472">
    <w:p w:rsidR="00810FD7" w:rsidP="00810FD7" w:rsidRDefault="00810FD7" w14:paraId="3975E2C6" w14:textId="77777777">
      <w:pPr>
        <w:pStyle w:val="EndnoteText"/>
      </w:pPr>
      <w:r>
        <w:rPr>
          <w:rStyle w:val="EndnoteReference"/>
        </w:rPr>
        <w:endnoteRef/>
      </w:r>
      <w:r>
        <w:t xml:space="preserve"> </w:t>
      </w:r>
      <w:r>
        <w:rPr>
          <w:rFonts w:cs="Open Sans"/>
        </w:rPr>
        <w:t>Australasian Paediatric Endocrine Group</w:t>
      </w:r>
      <w:r w:rsidRPr="284A4336">
        <w:rPr>
          <w:rFonts w:cs="Open Sans"/>
        </w:rPr>
        <w:t>, Submission 20,</w:t>
      </w:r>
      <w:r w:rsidRPr="00A37CD9">
        <w:rPr>
          <w:i/>
        </w:rPr>
        <w:t xml:space="preserve"> </w:t>
      </w:r>
      <w:r>
        <w:rPr>
          <w:i/>
          <w:iCs/>
        </w:rPr>
        <w:t>Intersex Inquiry,</w:t>
      </w:r>
      <w:r w:rsidRPr="284A4336">
        <w:rPr>
          <w:rFonts w:cs="Open Sans"/>
        </w:rPr>
        <w:t xml:space="preserve"> 8. </w:t>
      </w:r>
    </w:p>
  </w:endnote>
  <w:endnote w:id="473">
    <w:p w:rsidR="00810FD7" w:rsidP="00810FD7" w:rsidRDefault="00810FD7" w14:paraId="7A89AA08" w14:textId="77777777">
      <w:pPr>
        <w:pStyle w:val="EndnoteText"/>
      </w:pPr>
      <w:r>
        <w:rPr>
          <w:rStyle w:val="EndnoteReference"/>
        </w:rPr>
        <w:endnoteRef/>
      </w:r>
      <w:r>
        <w:t xml:space="preserve"> </w:t>
      </w:r>
      <w:r>
        <w:rPr>
          <w:rFonts w:cs="Open Sans"/>
        </w:rPr>
        <w:t>Australasian Paediatric Endocrine Group</w:t>
      </w:r>
      <w:r w:rsidRPr="284A4336">
        <w:rPr>
          <w:rFonts w:cs="Open Sans"/>
        </w:rPr>
        <w:t>, Submission 20,</w:t>
      </w:r>
      <w:r w:rsidRPr="00A37CD9">
        <w:rPr>
          <w:i/>
        </w:rPr>
        <w:t xml:space="preserve"> </w:t>
      </w:r>
      <w:r>
        <w:rPr>
          <w:i/>
          <w:iCs/>
        </w:rPr>
        <w:t>Intersex Inquiry,</w:t>
      </w:r>
      <w:r w:rsidRPr="284A4336">
        <w:rPr>
          <w:rFonts w:cs="Open Sans"/>
        </w:rPr>
        <w:t xml:space="preserve"> 8. </w:t>
      </w:r>
    </w:p>
  </w:endnote>
  <w:endnote w:id="474">
    <w:p w:rsidRPr="00FA7E2D" w:rsidR="00810FD7" w:rsidP="00810FD7" w:rsidRDefault="00810FD7" w14:paraId="0E4CE886" w14:textId="77777777">
      <w:pPr>
        <w:pStyle w:val="EndnoteText"/>
        <w:rPr>
          <w:lang w:val="en-US"/>
        </w:rPr>
      </w:pPr>
      <w:r>
        <w:rPr>
          <w:rStyle w:val="EndnoteReference"/>
        </w:rPr>
        <w:endnoteRef/>
      </w:r>
      <w:r>
        <w:t xml:space="preserve"> </w:t>
      </w:r>
      <w:r>
        <w:rPr>
          <w:lang w:val="en-US"/>
        </w:rPr>
        <w:t xml:space="preserve">Intersex Human Rights Australia, Submission 40, </w:t>
      </w:r>
      <w:r>
        <w:rPr>
          <w:i/>
          <w:iCs/>
        </w:rPr>
        <w:t>Intersex Inquiry,</w:t>
      </w:r>
      <w:r>
        <w:t xml:space="preserve"> </w:t>
      </w:r>
      <w:r>
        <w:rPr>
          <w:lang w:val="en-US"/>
        </w:rPr>
        <w:t xml:space="preserve">13, 79. </w:t>
      </w:r>
    </w:p>
  </w:endnote>
  <w:endnote w:id="475">
    <w:p w:rsidRPr="003027AF" w:rsidR="00810FD7" w:rsidP="00810FD7" w:rsidRDefault="00810FD7" w14:paraId="37811AA5" w14:textId="77777777">
      <w:pPr>
        <w:pStyle w:val="EndnoteText"/>
        <w:rPr>
          <w:lang w:val="en-US"/>
        </w:rPr>
      </w:pPr>
      <w:r>
        <w:rPr>
          <w:rStyle w:val="EndnoteReference"/>
        </w:rPr>
        <w:endnoteRef/>
      </w:r>
      <w:r>
        <w:t xml:space="preserve"> Submission 56, </w:t>
      </w:r>
      <w:r>
        <w:rPr>
          <w:i/>
          <w:iCs/>
        </w:rPr>
        <w:t>Intersex Inquiry,</w:t>
      </w:r>
      <w:r>
        <w:t xml:space="preserve"> 8. </w:t>
      </w:r>
    </w:p>
  </w:endnote>
  <w:endnote w:id="476">
    <w:p w:rsidRPr="008526E8" w:rsidR="00810FD7" w:rsidP="00810FD7" w:rsidRDefault="00810FD7" w14:paraId="6EE80E18" w14:textId="77777777">
      <w:pPr>
        <w:pStyle w:val="EndnoteText"/>
        <w:rPr>
          <w:lang w:val="en-US"/>
        </w:rPr>
      </w:pPr>
      <w:r>
        <w:rPr>
          <w:rStyle w:val="EndnoteReference"/>
        </w:rPr>
        <w:endnoteRef/>
      </w:r>
      <w:r>
        <w:t xml:space="preserve"> Submission 20, </w:t>
      </w:r>
      <w:r>
        <w:rPr>
          <w:i/>
          <w:iCs/>
        </w:rPr>
        <w:t>Intersex Inquiry,</w:t>
      </w:r>
      <w:r>
        <w:t xml:space="preserve"> 8. </w:t>
      </w:r>
    </w:p>
  </w:endnote>
  <w:endnote w:id="477">
    <w:p w:rsidR="00810FD7" w:rsidP="00810FD7" w:rsidRDefault="00810FD7" w14:paraId="5771ACF9" w14:textId="77777777">
      <w:pPr>
        <w:pStyle w:val="EndnoteText"/>
      </w:pPr>
      <w:r>
        <w:rPr>
          <w:rStyle w:val="EndnoteReference"/>
        </w:rPr>
        <w:endnoteRef/>
      </w:r>
      <w:r>
        <w:t xml:space="preserve"> Intersex Human Rights Australia, Submission 40,</w:t>
      </w:r>
      <w:r w:rsidRPr="00B6091B">
        <w:rPr>
          <w:i/>
        </w:rPr>
        <w:t xml:space="preserve"> </w:t>
      </w:r>
      <w:r>
        <w:rPr>
          <w:i/>
          <w:iCs/>
        </w:rPr>
        <w:t>Intersex Inquiry,</w:t>
      </w:r>
      <w:r>
        <w:t xml:space="preserve"> 80; Submission 36,</w:t>
      </w:r>
      <w:r w:rsidRPr="00B6091B">
        <w:rPr>
          <w:i/>
        </w:rPr>
        <w:t xml:space="preserve"> </w:t>
      </w:r>
      <w:r>
        <w:rPr>
          <w:i/>
          <w:iCs/>
        </w:rPr>
        <w:t>Intersex Inquiry,</w:t>
      </w:r>
      <w:r>
        <w:t xml:space="preserve"> 20; Submission 56, </w:t>
      </w:r>
      <w:r>
        <w:rPr>
          <w:i/>
          <w:iCs/>
        </w:rPr>
        <w:t>Intersex Inquiry,</w:t>
      </w:r>
      <w:r>
        <w:t xml:space="preserve"> 8; Submission 41, </w:t>
      </w:r>
      <w:r>
        <w:rPr>
          <w:i/>
          <w:iCs/>
        </w:rPr>
        <w:t>Intersex Inquiry,</w:t>
      </w:r>
      <w:r>
        <w:t xml:space="preserve"> 8. </w:t>
      </w:r>
    </w:p>
  </w:endnote>
  <w:endnote w:id="478">
    <w:p w:rsidRPr="00D52D18" w:rsidR="00810FD7" w:rsidP="00810FD7" w:rsidRDefault="00810FD7" w14:paraId="3F05A8D8" w14:textId="77777777">
      <w:pPr>
        <w:pStyle w:val="EndnoteText"/>
        <w:rPr>
          <w:lang w:val="en-US"/>
        </w:rPr>
      </w:pPr>
      <w:r>
        <w:rPr>
          <w:rStyle w:val="EndnoteReference"/>
        </w:rPr>
        <w:endnoteRef/>
      </w:r>
      <w:r>
        <w:t xml:space="preserve"> See Chapter 3 – Lived experience. </w:t>
      </w:r>
    </w:p>
  </w:endnote>
  <w:endnote w:id="479">
    <w:p w:rsidR="00810FD7" w:rsidP="00810FD7" w:rsidRDefault="00810FD7" w14:paraId="572B3EE2" w14:textId="77777777">
      <w:pPr>
        <w:pStyle w:val="EndnoteText"/>
      </w:pPr>
      <w:r>
        <w:rPr>
          <w:rStyle w:val="EndnoteReference"/>
        </w:rPr>
        <w:endnoteRef/>
      </w:r>
      <w:r>
        <w:t xml:space="preserve"> Submission 55, </w:t>
      </w:r>
      <w:r>
        <w:rPr>
          <w:i/>
          <w:iCs/>
        </w:rPr>
        <w:t>Intersex Inquiry,</w:t>
      </w:r>
      <w:r>
        <w:t xml:space="preserve"> 10; Submission 65,</w:t>
      </w:r>
      <w:r w:rsidRPr="00B6091B">
        <w:rPr>
          <w:i/>
        </w:rPr>
        <w:t xml:space="preserve"> </w:t>
      </w:r>
      <w:r>
        <w:rPr>
          <w:i/>
          <w:iCs/>
        </w:rPr>
        <w:t>Intersex Inquiry,</w:t>
      </w:r>
      <w:r>
        <w:t xml:space="preserve"> 3–4. This latter submission suggested that this problem could be countered by ensuring that guidelines were ‘readily adaptable’.</w:t>
      </w:r>
    </w:p>
  </w:endnote>
  <w:endnote w:id="480">
    <w:p w:rsidR="00810FD7" w:rsidP="00810FD7" w:rsidRDefault="00810FD7" w14:paraId="31184AD4" w14:textId="77777777">
      <w:pPr>
        <w:pStyle w:val="EndnoteText"/>
      </w:pPr>
      <w:r>
        <w:rPr>
          <w:rStyle w:val="EndnoteReference"/>
        </w:rPr>
        <w:endnoteRef/>
      </w:r>
      <w:r>
        <w:t xml:space="preserve"> Australasian Paediatric Endocrine Group, Submission 20,</w:t>
      </w:r>
      <w:r w:rsidRPr="006C3B27">
        <w:rPr>
          <w:i/>
        </w:rPr>
        <w:t xml:space="preserve"> </w:t>
      </w:r>
      <w:r>
        <w:rPr>
          <w:i/>
          <w:iCs/>
        </w:rPr>
        <w:t>Intersex Inquiry,</w:t>
      </w:r>
      <w:r>
        <w:t xml:space="preserve"> 8; Submission 23, </w:t>
      </w:r>
      <w:r>
        <w:rPr>
          <w:i/>
          <w:iCs/>
        </w:rPr>
        <w:t>Intersex Inquiry,</w:t>
      </w:r>
      <w:r>
        <w:t xml:space="preserve"> 4.</w:t>
      </w:r>
    </w:p>
  </w:endnote>
  <w:endnote w:id="481">
    <w:p w:rsidR="00810FD7" w:rsidP="00810FD7" w:rsidRDefault="00810FD7" w14:paraId="0BFB81FB" w14:textId="77777777">
      <w:pPr>
        <w:pStyle w:val="EndnoteText"/>
      </w:pPr>
      <w:r>
        <w:rPr>
          <w:rStyle w:val="EndnoteReference"/>
        </w:rPr>
        <w:endnoteRef/>
      </w:r>
      <w:r>
        <w:t xml:space="preserve"> Submission 41,</w:t>
      </w:r>
      <w:r w:rsidRPr="007C6CAF">
        <w:rPr>
          <w:i/>
        </w:rPr>
        <w:t xml:space="preserve"> </w:t>
      </w:r>
      <w:r>
        <w:rPr>
          <w:i/>
          <w:iCs/>
        </w:rPr>
        <w:t>Intersex Inquiry,</w:t>
      </w:r>
      <w:r>
        <w:t xml:space="preserve"> 8; Submission 54,</w:t>
      </w:r>
      <w:r w:rsidRPr="00D16107">
        <w:rPr>
          <w:i/>
        </w:rPr>
        <w:t xml:space="preserve"> </w:t>
      </w:r>
      <w:r>
        <w:rPr>
          <w:i/>
          <w:iCs/>
        </w:rPr>
        <w:t>Intersex Inquiry,</w:t>
      </w:r>
      <w:r>
        <w:t xml:space="preserve"> 7; Submission 50,</w:t>
      </w:r>
      <w:r w:rsidRPr="00D16107">
        <w:rPr>
          <w:i/>
        </w:rPr>
        <w:t xml:space="preserve"> </w:t>
      </w:r>
      <w:r>
        <w:rPr>
          <w:i/>
          <w:iCs/>
        </w:rPr>
        <w:t>Intersex Inquiry,</w:t>
      </w:r>
      <w:r>
        <w:t xml:space="preserve"> 2.</w:t>
      </w:r>
    </w:p>
  </w:endnote>
  <w:endnote w:id="482">
    <w:p w:rsidRPr="00E95D0C" w:rsidR="00810FD7" w:rsidP="00810FD7" w:rsidRDefault="00810FD7" w14:paraId="4AB6414A" w14:textId="77777777">
      <w:pPr>
        <w:pStyle w:val="EndnoteText"/>
        <w:rPr>
          <w:rFonts w:cs="Open Sans"/>
        </w:rPr>
      </w:pPr>
      <w:r w:rsidRPr="00E95D0C">
        <w:rPr>
          <w:rStyle w:val="EndnoteReference"/>
          <w:rFonts w:cs="Open Sans"/>
        </w:rPr>
        <w:endnoteRef/>
      </w:r>
      <w:r w:rsidRPr="00E95D0C">
        <w:rPr>
          <w:rFonts w:cs="Open Sans"/>
        </w:rPr>
        <w:t xml:space="preserve"> </w:t>
      </w:r>
      <w:r>
        <w:rPr>
          <w:rFonts w:cs="Open Sans"/>
        </w:rPr>
        <w:t>Submission 3</w:t>
      </w:r>
      <w:r w:rsidRPr="00E95D0C">
        <w:rPr>
          <w:rFonts w:cs="Open Sans"/>
        </w:rPr>
        <w:t>6</w:t>
      </w:r>
      <w:r>
        <w:rPr>
          <w:rFonts w:cs="Open Sans"/>
        </w:rPr>
        <w:t xml:space="preserve">, </w:t>
      </w:r>
      <w:r>
        <w:rPr>
          <w:i/>
          <w:iCs/>
        </w:rPr>
        <w:t>Intersex Inquiry,</w:t>
      </w:r>
      <w:r>
        <w:t xml:space="preserve"> </w:t>
      </w:r>
      <w:r>
        <w:rPr>
          <w:rFonts w:cs="Open Sans"/>
        </w:rPr>
        <w:t>31, also citing the</w:t>
      </w:r>
      <w:r w:rsidRPr="00E95D0C">
        <w:rPr>
          <w:rFonts w:cs="Open Sans"/>
        </w:rPr>
        <w:t xml:space="preserve"> </w:t>
      </w:r>
      <w:r>
        <w:rPr>
          <w:rFonts w:cs="Open Sans"/>
        </w:rPr>
        <w:t xml:space="preserve">recommendation in the </w:t>
      </w:r>
      <w:r w:rsidRPr="00E95D0C">
        <w:rPr>
          <w:rFonts w:cs="Open Sans"/>
        </w:rPr>
        <w:t xml:space="preserve">Darlington Statement, </w:t>
      </w:r>
      <w:r>
        <w:rPr>
          <w:rFonts w:cs="Open Sans"/>
        </w:rPr>
        <w:t>[</w:t>
      </w:r>
      <w:r w:rsidRPr="00E95D0C">
        <w:rPr>
          <w:rFonts w:cs="Open Sans"/>
        </w:rPr>
        <w:t>2</w:t>
      </w:r>
      <w:r>
        <w:rPr>
          <w:rFonts w:cs="Open Sans"/>
        </w:rPr>
        <w:t>1].</w:t>
      </w:r>
    </w:p>
  </w:endnote>
  <w:endnote w:id="483">
    <w:p w:rsidRPr="00E95D0C" w:rsidR="00810FD7" w:rsidP="00810FD7" w:rsidRDefault="00810FD7" w14:paraId="4CF39C2F" w14:textId="77777777">
      <w:pPr>
        <w:pStyle w:val="EndnoteText"/>
        <w:rPr>
          <w:rFonts w:cs="Open Sans"/>
        </w:rPr>
      </w:pPr>
      <w:r w:rsidRPr="00E95D0C">
        <w:rPr>
          <w:rStyle w:val="EndnoteReference"/>
          <w:rFonts w:cs="Open Sans"/>
        </w:rPr>
        <w:endnoteRef/>
      </w:r>
      <w:r w:rsidRPr="00E95D0C">
        <w:rPr>
          <w:rFonts w:cs="Open Sans"/>
        </w:rPr>
        <w:t xml:space="preserve"> </w:t>
      </w:r>
      <w:r>
        <w:t xml:space="preserve">Submission 54, </w:t>
      </w:r>
      <w:r>
        <w:rPr>
          <w:i/>
          <w:iCs/>
        </w:rPr>
        <w:t>Intersex Inquiry,</w:t>
      </w:r>
      <w:r>
        <w:t xml:space="preserve"> 7.</w:t>
      </w:r>
    </w:p>
  </w:endnote>
  <w:endnote w:id="484">
    <w:p w:rsidR="00810FD7" w:rsidP="00810FD7" w:rsidRDefault="00810FD7" w14:paraId="38BB8AEB" w14:textId="77777777">
      <w:pPr>
        <w:pStyle w:val="EndnoteText"/>
      </w:pPr>
      <w:r>
        <w:rPr>
          <w:rStyle w:val="EndnoteReference"/>
        </w:rPr>
        <w:endnoteRef/>
      </w:r>
      <w:r>
        <w:t xml:space="preserve"> Intersex Human Rights Australia, Submission 40, </w:t>
      </w:r>
      <w:r>
        <w:rPr>
          <w:i/>
          <w:iCs/>
        </w:rPr>
        <w:t>Intersex Inquiry,</w:t>
      </w:r>
      <w:r>
        <w:t xml:space="preserve"> 81. </w:t>
      </w:r>
    </w:p>
  </w:endnote>
  <w:endnote w:id="485">
    <w:p w:rsidR="00810FD7" w:rsidP="00810FD7" w:rsidRDefault="00810FD7" w14:paraId="0DCD3D07" w14:textId="77777777">
      <w:pPr>
        <w:pStyle w:val="EndnoteText"/>
      </w:pPr>
      <w:r>
        <w:rPr>
          <w:rStyle w:val="EndnoteReference"/>
        </w:rPr>
        <w:endnoteRef/>
      </w:r>
      <w:r>
        <w:t xml:space="preserve"> Submission 45, </w:t>
      </w:r>
      <w:r>
        <w:rPr>
          <w:i/>
          <w:iCs/>
        </w:rPr>
        <w:t>Intersex Inquiry,</w:t>
      </w:r>
      <w:r>
        <w:t xml:space="preserve"> 8; Submission 54, </w:t>
      </w:r>
      <w:r>
        <w:rPr>
          <w:i/>
          <w:iCs/>
        </w:rPr>
        <w:t>Intersex Inquiry,</w:t>
      </w:r>
      <w:r>
        <w:t xml:space="preserve"> 4.</w:t>
      </w:r>
    </w:p>
  </w:endnote>
  <w:endnote w:id="486">
    <w:p w:rsidR="00810FD7" w:rsidP="00810FD7" w:rsidRDefault="00810FD7" w14:paraId="15AAFF5A" w14:textId="77777777">
      <w:pPr>
        <w:pStyle w:val="EndnoteText"/>
      </w:pPr>
      <w:r>
        <w:rPr>
          <w:rStyle w:val="EndnoteReference"/>
        </w:rPr>
        <w:endnoteRef/>
      </w:r>
      <w:r>
        <w:t xml:space="preserve"> Submission 56,</w:t>
      </w:r>
      <w:r w:rsidRPr="002448BA">
        <w:rPr>
          <w:i/>
        </w:rPr>
        <w:t xml:space="preserve"> </w:t>
      </w:r>
      <w:r>
        <w:rPr>
          <w:i/>
          <w:iCs/>
        </w:rPr>
        <w:t>Intersex Inquiry,</w:t>
      </w:r>
      <w:r>
        <w:t xml:space="preserve">  8. </w:t>
      </w:r>
    </w:p>
  </w:endnote>
  <w:endnote w:id="487">
    <w:p w:rsidR="00810FD7" w:rsidP="00810FD7" w:rsidRDefault="00810FD7" w14:paraId="5C12CFF3" w14:textId="77777777">
      <w:pPr>
        <w:pStyle w:val="EndnoteText"/>
      </w:pPr>
      <w:r>
        <w:rPr>
          <w:rStyle w:val="EndnoteReference"/>
        </w:rPr>
        <w:endnoteRef/>
      </w:r>
      <w:r>
        <w:t xml:space="preserve"> The Human Rights Law </w:t>
      </w:r>
      <w:r w:rsidRPr="00C322A4">
        <w:t xml:space="preserve">Centre, Submission 71, </w:t>
      </w:r>
      <w:r w:rsidRPr="00C322A4">
        <w:rPr>
          <w:i/>
          <w:iCs/>
        </w:rPr>
        <w:t>Intersex Inquiry,</w:t>
      </w:r>
      <w:r w:rsidRPr="00C322A4">
        <w:t xml:space="preserve"> 19, citing the recommendations of the Senate Committee.</w:t>
      </w:r>
      <w:r>
        <w:t xml:space="preserve"> </w:t>
      </w:r>
    </w:p>
  </w:endnote>
  <w:endnote w:id="488">
    <w:p w:rsidRPr="00E95D0C" w:rsidR="00810FD7" w:rsidP="00810FD7" w:rsidRDefault="00810FD7" w14:paraId="58C07637" w14:textId="77777777">
      <w:pPr>
        <w:pStyle w:val="EndnoteText"/>
        <w:rPr>
          <w:rFonts w:cs="Open Sans"/>
        </w:rPr>
      </w:pPr>
      <w:r w:rsidRPr="00E95D0C">
        <w:rPr>
          <w:rStyle w:val="EndnoteReference"/>
          <w:rFonts w:cs="Open Sans"/>
        </w:rPr>
        <w:endnoteRef/>
      </w:r>
      <w:r w:rsidRPr="00E95D0C">
        <w:rPr>
          <w:rFonts w:cs="Open Sans"/>
        </w:rPr>
        <w:t xml:space="preserve"> </w:t>
      </w:r>
      <w:r>
        <w:rPr>
          <w:rFonts w:cs="Open Sans"/>
        </w:rPr>
        <w:t xml:space="preserve">Submission </w:t>
      </w:r>
      <w:r w:rsidRPr="00E95D0C">
        <w:rPr>
          <w:rFonts w:cs="Open Sans"/>
        </w:rPr>
        <w:t>55</w:t>
      </w:r>
      <w:r>
        <w:rPr>
          <w:rFonts w:cs="Open Sans"/>
        </w:rPr>
        <w:t xml:space="preserve">, </w:t>
      </w:r>
      <w:r>
        <w:rPr>
          <w:i/>
          <w:iCs/>
        </w:rPr>
        <w:t>Intersex Inquiry,</w:t>
      </w:r>
      <w:r>
        <w:t xml:space="preserve"> </w:t>
      </w:r>
      <w:r w:rsidRPr="00E95D0C">
        <w:rPr>
          <w:rFonts w:cs="Open Sans"/>
        </w:rPr>
        <w:t>11</w:t>
      </w:r>
      <w:r>
        <w:rPr>
          <w:rFonts w:cs="Open Sans"/>
        </w:rPr>
        <w:t>; Submission</w:t>
      </w:r>
      <w:r w:rsidRPr="00E95D0C">
        <w:rPr>
          <w:rFonts w:cs="Open Sans"/>
        </w:rPr>
        <w:t xml:space="preserve"> 25</w:t>
      </w:r>
      <w:r>
        <w:rPr>
          <w:rFonts w:cs="Open Sans"/>
        </w:rPr>
        <w:t xml:space="preserve">, </w:t>
      </w:r>
      <w:r>
        <w:rPr>
          <w:i/>
          <w:iCs/>
        </w:rPr>
        <w:t>Intersex Inquiry,</w:t>
      </w:r>
      <w:r>
        <w:t xml:space="preserve"> </w:t>
      </w:r>
      <w:r w:rsidRPr="00E95D0C">
        <w:rPr>
          <w:rFonts w:cs="Open Sans"/>
        </w:rPr>
        <w:t>5</w:t>
      </w:r>
      <w:r>
        <w:rPr>
          <w:rFonts w:cs="Open Sans"/>
        </w:rPr>
        <w:t>–6;</w:t>
      </w:r>
      <w:r w:rsidRPr="00E95D0C">
        <w:rPr>
          <w:rFonts w:cs="Open Sans"/>
        </w:rPr>
        <w:t xml:space="preserve"> </w:t>
      </w:r>
      <w:r>
        <w:rPr>
          <w:rFonts w:cs="Open Sans"/>
        </w:rPr>
        <w:t xml:space="preserve">Submission </w:t>
      </w:r>
      <w:r w:rsidRPr="284A4336">
        <w:rPr>
          <w:rFonts w:cs="Open Sans"/>
        </w:rPr>
        <w:t>35</w:t>
      </w:r>
      <w:r>
        <w:rPr>
          <w:rFonts w:cs="Open Sans"/>
        </w:rPr>
        <w:t xml:space="preserve">, </w:t>
      </w:r>
      <w:r>
        <w:rPr>
          <w:i/>
          <w:iCs/>
        </w:rPr>
        <w:t>Intersex Inquiry,</w:t>
      </w:r>
      <w:r>
        <w:t xml:space="preserve"> </w:t>
      </w:r>
      <w:r>
        <w:rPr>
          <w:rFonts w:cs="Open Sans"/>
        </w:rPr>
        <w:t>4</w:t>
      </w:r>
      <w:r w:rsidRPr="284A4336">
        <w:rPr>
          <w:rFonts w:cs="Open Sans"/>
        </w:rPr>
        <w:t xml:space="preserve">. Note </w:t>
      </w:r>
      <w:r>
        <w:rPr>
          <w:rFonts w:cs="Open Sans"/>
        </w:rPr>
        <w:t xml:space="preserve">some </w:t>
      </w:r>
      <w:r w:rsidRPr="284A4336">
        <w:rPr>
          <w:rFonts w:cs="Open Sans"/>
        </w:rPr>
        <w:t xml:space="preserve">clinician </w:t>
      </w:r>
      <w:r>
        <w:rPr>
          <w:rFonts w:cs="Open Sans"/>
        </w:rPr>
        <w:t>stakeholders</w:t>
      </w:r>
      <w:r w:rsidRPr="284A4336">
        <w:rPr>
          <w:rFonts w:cs="Open Sans"/>
        </w:rPr>
        <w:t xml:space="preserve"> also stressed the importance of safeguarding privacy</w:t>
      </w:r>
      <w:r>
        <w:rPr>
          <w:rFonts w:cs="Open Sans"/>
        </w:rPr>
        <w:t xml:space="preserve"> – submission </w:t>
      </w:r>
      <w:r w:rsidRPr="284A4336">
        <w:rPr>
          <w:rFonts w:cs="Open Sans"/>
        </w:rPr>
        <w:t>50</w:t>
      </w:r>
      <w:r>
        <w:rPr>
          <w:rFonts w:cs="Open Sans"/>
        </w:rPr>
        <w:t>,</w:t>
      </w:r>
      <w:r w:rsidRPr="002448BA">
        <w:rPr>
          <w:i/>
        </w:rPr>
        <w:t xml:space="preserve"> </w:t>
      </w:r>
      <w:r>
        <w:rPr>
          <w:i/>
          <w:iCs/>
        </w:rPr>
        <w:t>Intersex Inquiry,</w:t>
      </w:r>
      <w:r>
        <w:rPr>
          <w:rFonts w:cs="Open Sans"/>
        </w:rPr>
        <w:t xml:space="preserve"> </w:t>
      </w:r>
      <w:r w:rsidRPr="284A4336">
        <w:rPr>
          <w:rFonts w:cs="Open Sans"/>
        </w:rPr>
        <w:t>4</w:t>
      </w:r>
      <w:r>
        <w:rPr>
          <w:rFonts w:cs="Open Sans"/>
        </w:rPr>
        <w:t>–</w:t>
      </w:r>
      <w:r w:rsidRPr="284A4336">
        <w:rPr>
          <w:rFonts w:cs="Open Sans"/>
        </w:rPr>
        <w:t xml:space="preserve">5; some </w:t>
      </w:r>
      <w:r>
        <w:rPr>
          <w:rFonts w:cs="Open Sans"/>
        </w:rPr>
        <w:t>stakeholders</w:t>
      </w:r>
      <w:r w:rsidRPr="284A4336">
        <w:rPr>
          <w:rFonts w:cs="Open Sans"/>
        </w:rPr>
        <w:t xml:space="preserve"> indicated that this was not an issue unique to people born with variations in sex characteristics</w:t>
      </w:r>
      <w:r>
        <w:rPr>
          <w:rFonts w:cs="Open Sans"/>
        </w:rPr>
        <w:t xml:space="preserve"> - Submission </w:t>
      </w:r>
      <w:r w:rsidRPr="284A4336">
        <w:rPr>
          <w:rFonts w:cs="Open Sans"/>
        </w:rPr>
        <w:t>20</w:t>
      </w:r>
      <w:r>
        <w:rPr>
          <w:rFonts w:cs="Open Sans"/>
        </w:rPr>
        <w:t xml:space="preserve">, </w:t>
      </w:r>
      <w:r>
        <w:rPr>
          <w:i/>
          <w:iCs/>
        </w:rPr>
        <w:t>Intersex Inquiry,</w:t>
      </w:r>
      <w:r>
        <w:t xml:space="preserve"> </w:t>
      </w:r>
      <w:r w:rsidRPr="284A4336">
        <w:rPr>
          <w:rFonts w:cs="Open Sans"/>
        </w:rPr>
        <w:t>9</w:t>
      </w:r>
      <w:r>
        <w:rPr>
          <w:rFonts w:cs="Open Sans"/>
        </w:rPr>
        <w:t xml:space="preserve">. </w:t>
      </w:r>
    </w:p>
  </w:endnote>
  <w:endnote w:id="489">
    <w:p w:rsidR="00810FD7" w:rsidP="00810FD7" w:rsidRDefault="00810FD7" w14:paraId="6A840D1F" w14:textId="77777777">
      <w:pPr>
        <w:pStyle w:val="EndnoteText"/>
      </w:pPr>
      <w:r>
        <w:rPr>
          <w:rStyle w:val="EndnoteReference"/>
        </w:rPr>
        <w:endnoteRef/>
      </w:r>
      <w:r>
        <w:t xml:space="preserve"> Submission 72, </w:t>
      </w:r>
      <w:r>
        <w:rPr>
          <w:i/>
          <w:iCs/>
        </w:rPr>
        <w:t>Intersex Inquiry,</w:t>
      </w:r>
      <w:r>
        <w:t xml:space="preserve"> 13.</w:t>
      </w:r>
    </w:p>
  </w:endnote>
  <w:endnote w:id="490">
    <w:p w:rsidRPr="00E95D0C" w:rsidR="00810FD7" w:rsidP="00810FD7" w:rsidRDefault="00810FD7" w14:paraId="66F842BD" w14:textId="77777777">
      <w:pPr>
        <w:pStyle w:val="EndnoteText"/>
        <w:rPr>
          <w:rFonts w:cs="Open Sans"/>
        </w:rPr>
      </w:pPr>
      <w:r w:rsidRPr="00E95D0C">
        <w:rPr>
          <w:rStyle w:val="EndnoteReference"/>
          <w:rFonts w:cs="Open Sans"/>
        </w:rPr>
        <w:endnoteRef/>
      </w:r>
      <w:r w:rsidRPr="00E95D0C">
        <w:rPr>
          <w:rFonts w:cs="Open Sans"/>
        </w:rPr>
        <w:t xml:space="preserve"> </w:t>
      </w:r>
      <w:r>
        <w:rPr>
          <w:rFonts w:cs="Open Sans"/>
        </w:rPr>
        <w:t xml:space="preserve">Submission </w:t>
      </w:r>
      <w:r w:rsidRPr="00E95D0C">
        <w:rPr>
          <w:rFonts w:cs="Open Sans"/>
        </w:rPr>
        <w:t>54</w:t>
      </w:r>
      <w:r>
        <w:rPr>
          <w:rFonts w:cs="Open Sans"/>
        </w:rPr>
        <w:t>,</w:t>
      </w:r>
      <w:r w:rsidRPr="002448BA">
        <w:rPr>
          <w:i/>
        </w:rPr>
        <w:t xml:space="preserve"> </w:t>
      </w:r>
      <w:r>
        <w:rPr>
          <w:i/>
          <w:iCs/>
        </w:rPr>
        <w:t>Intersex Inquiry,</w:t>
      </w:r>
      <w:r>
        <w:rPr>
          <w:rFonts w:cs="Open Sans"/>
        </w:rPr>
        <w:t xml:space="preserve"> </w:t>
      </w:r>
      <w:r w:rsidRPr="00E95D0C">
        <w:rPr>
          <w:rFonts w:cs="Open Sans"/>
        </w:rPr>
        <w:t xml:space="preserve">9; </w:t>
      </w:r>
      <w:r w:rsidRPr="00F2338D">
        <w:rPr>
          <w:rFonts w:cs="Open Sans"/>
        </w:rPr>
        <w:t>Endocrine Society of Australia</w:t>
      </w:r>
      <w:r>
        <w:rPr>
          <w:rFonts w:cs="Open Sans"/>
        </w:rPr>
        <w:t>,</w:t>
      </w:r>
      <w:r w:rsidRPr="00F2338D">
        <w:rPr>
          <w:rFonts w:cs="Open Sans"/>
        </w:rPr>
        <w:t xml:space="preserve"> </w:t>
      </w:r>
      <w:r>
        <w:rPr>
          <w:rFonts w:cs="Open Sans"/>
        </w:rPr>
        <w:t xml:space="preserve">Submission </w:t>
      </w:r>
      <w:r w:rsidRPr="00E95D0C">
        <w:rPr>
          <w:rFonts w:cs="Open Sans"/>
        </w:rPr>
        <w:t>3</w:t>
      </w:r>
      <w:r>
        <w:rPr>
          <w:rFonts w:cs="Open Sans"/>
        </w:rPr>
        <w:t>9,</w:t>
      </w:r>
      <w:r w:rsidRPr="002448BA">
        <w:rPr>
          <w:i/>
        </w:rPr>
        <w:t xml:space="preserve"> </w:t>
      </w:r>
      <w:r>
        <w:rPr>
          <w:i/>
          <w:iCs/>
        </w:rPr>
        <w:t>Intersex Inquiry,</w:t>
      </w:r>
      <w:r>
        <w:rPr>
          <w:rFonts w:cs="Open Sans"/>
        </w:rPr>
        <w:t xml:space="preserve"> </w:t>
      </w:r>
      <w:r w:rsidRPr="00E95D0C">
        <w:rPr>
          <w:rFonts w:cs="Open Sans"/>
        </w:rPr>
        <w:t>3</w:t>
      </w:r>
      <w:r>
        <w:rPr>
          <w:rFonts w:cs="Open Sans"/>
        </w:rPr>
        <w:t xml:space="preserve">; A Gender Agenda, Submission </w:t>
      </w:r>
      <w:r w:rsidRPr="00E95D0C">
        <w:rPr>
          <w:rFonts w:cs="Open Sans"/>
        </w:rPr>
        <w:t>52</w:t>
      </w:r>
      <w:r>
        <w:rPr>
          <w:rFonts w:cs="Open Sans"/>
        </w:rPr>
        <w:t>,</w:t>
      </w:r>
      <w:r w:rsidRPr="002448BA">
        <w:rPr>
          <w:i/>
        </w:rPr>
        <w:t xml:space="preserve"> </w:t>
      </w:r>
      <w:r>
        <w:rPr>
          <w:i/>
          <w:iCs/>
        </w:rPr>
        <w:t>Intersex Inquiry,</w:t>
      </w:r>
      <w:r>
        <w:rPr>
          <w:rFonts w:cs="Open Sans"/>
        </w:rPr>
        <w:t xml:space="preserve"> </w:t>
      </w:r>
      <w:r w:rsidRPr="00E95D0C">
        <w:rPr>
          <w:rFonts w:cs="Open Sans"/>
        </w:rPr>
        <w:t>8</w:t>
      </w:r>
      <w:r>
        <w:rPr>
          <w:rFonts w:cs="Open Sans"/>
        </w:rPr>
        <w:t xml:space="preserve">. </w:t>
      </w:r>
    </w:p>
  </w:endnote>
  <w:endnote w:id="491">
    <w:p w:rsidRPr="00E95D0C" w:rsidR="00810FD7" w:rsidP="00810FD7" w:rsidRDefault="00810FD7" w14:paraId="5D253CC0" w14:textId="77777777">
      <w:pPr>
        <w:pStyle w:val="EndnoteText"/>
        <w:rPr>
          <w:rFonts w:cs="Open Sans"/>
        </w:rPr>
      </w:pPr>
      <w:r w:rsidRPr="00E95D0C">
        <w:rPr>
          <w:rStyle w:val="EndnoteReference"/>
          <w:rFonts w:cs="Open Sans"/>
        </w:rPr>
        <w:endnoteRef/>
      </w:r>
      <w:r w:rsidRPr="00E95D0C">
        <w:rPr>
          <w:rFonts w:cs="Open Sans"/>
        </w:rPr>
        <w:t xml:space="preserve"> </w:t>
      </w:r>
      <w:r w:rsidRPr="00F2338D">
        <w:rPr>
          <w:rFonts w:cs="Open Sans"/>
        </w:rPr>
        <w:t>Endocrine Society of Australia</w:t>
      </w:r>
      <w:r>
        <w:rPr>
          <w:rFonts w:cs="Open Sans"/>
        </w:rPr>
        <w:t xml:space="preserve">, Submission </w:t>
      </w:r>
      <w:r w:rsidRPr="00E95D0C">
        <w:rPr>
          <w:rFonts w:cs="Open Sans"/>
        </w:rPr>
        <w:t>39</w:t>
      </w:r>
      <w:r>
        <w:rPr>
          <w:rFonts w:cs="Open Sans"/>
        </w:rPr>
        <w:t xml:space="preserve">, </w:t>
      </w:r>
      <w:r>
        <w:rPr>
          <w:i/>
          <w:iCs/>
        </w:rPr>
        <w:t>Intersex Inquiry,</w:t>
      </w:r>
      <w:r>
        <w:t xml:space="preserve"> </w:t>
      </w:r>
      <w:r w:rsidRPr="00E95D0C">
        <w:rPr>
          <w:rFonts w:cs="Open Sans"/>
        </w:rPr>
        <w:t>3</w:t>
      </w:r>
      <w:r>
        <w:rPr>
          <w:rFonts w:cs="Open Sans"/>
        </w:rPr>
        <w:t>.</w:t>
      </w:r>
    </w:p>
  </w:endnote>
  <w:endnote w:id="492">
    <w:p w:rsidR="00810FD7" w:rsidP="00810FD7" w:rsidRDefault="00810FD7" w14:paraId="789887C2" w14:textId="77777777">
      <w:pPr>
        <w:pStyle w:val="EndnoteText"/>
      </w:pPr>
      <w:r>
        <w:rPr>
          <w:rStyle w:val="EndnoteReference"/>
        </w:rPr>
        <w:endnoteRef/>
      </w:r>
      <w:r>
        <w:t xml:space="preserve"> </w:t>
      </w:r>
      <w:r>
        <w:rPr>
          <w:rFonts w:cs="Open Sans"/>
        </w:rPr>
        <w:t xml:space="preserve">Submission </w:t>
      </w:r>
      <w:r>
        <w:t>36,</w:t>
      </w:r>
      <w:r w:rsidRPr="002448BA">
        <w:rPr>
          <w:i/>
        </w:rPr>
        <w:t xml:space="preserve"> </w:t>
      </w:r>
      <w:r>
        <w:rPr>
          <w:i/>
          <w:iCs/>
        </w:rPr>
        <w:t>Intersex Inquiry,</w:t>
      </w:r>
      <w:r>
        <w:t xml:space="preserve"> 22.</w:t>
      </w:r>
    </w:p>
  </w:endnote>
  <w:endnote w:id="493">
    <w:p w:rsidR="00810FD7" w:rsidP="00810FD7" w:rsidRDefault="00810FD7" w14:paraId="0E9D20E7" w14:textId="77777777">
      <w:pPr>
        <w:pStyle w:val="EndnoteText"/>
      </w:pPr>
      <w:r>
        <w:rPr>
          <w:rStyle w:val="EndnoteReference"/>
        </w:rPr>
        <w:endnoteRef/>
      </w:r>
      <w:r>
        <w:t xml:space="preserve"> </w:t>
      </w:r>
      <w:r>
        <w:rPr>
          <w:rFonts w:cs="Open Sans"/>
        </w:rPr>
        <w:t xml:space="preserve">Submission 36, </w:t>
      </w:r>
      <w:r>
        <w:rPr>
          <w:i/>
          <w:iCs/>
        </w:rPr>
        <w:t>Intersex Inquiry,</w:t>
      </w:r>
      <w:r>
        <w:t xml:space="preserve"> 22.</w:t>
      </w:r>
    </w:p>
  </w:endnote>
  <w:endnote w:id="494">
    <w:p w:rsidR="00810FD7" w:rsidP="00810FD7" w:rsidRDefault="00810FD7" w14:paraId="3D040879" w14:textId="77777777">
      <w:pPr>
        <w:pStyle w:val="EndnoteText"/>
      </w:pPr>
      <w:r>
        <w:rPr>
          <w:rStyle w:val="EndnoteReference"/>
        </w:rPr>
        <w:endnoteRef/>
      </w:r>
      <w:r>
        <w:t xml:space="preserve"> Darlington Statement, paragraph 24. </w:t>
      </w:r>
    </w:p>
  </w:endnote>
  <w:endnote w:id="495">
    <w:p w:rsidR="00810FD7" w:rsidP="00810FD7" w:rsidRDefault="00810FD7" w14:paraId="5EC5D988" w14:textId="77777777">
      <w:pPr>
        <w:pStyle w:val="EndnoteText"/>
      </w:pPr>
      <w:r>
        <w:rPr>
          <w:rStyle w:val="EndnoteReference"/>
        </w:rPr>
        <w:endnoteRef/>
      </w:r>
      <w:r>
        <w:t xml:space="preserve"> For example, there were indications that some clinicians would consider deferring treatment, and using puberty blockers, until an individual possessed </w:t>
      </w:r>
      <w:r w:rsidRPr="00B149E5">
        <w:rPr>
          <w:i/>
        </w:rPr>
        <w:t>Gillick</w:t>
      </w:r>
      <w:r>
        <w:t xml:space="preserve"> competence: Australasian Paediatric Endocrine Group, Submission 20,</w:t>
      </w:r>
      <w:r w:rsidRPr="002448BA">
        <w:rPr>
          <w:i/>
        </w:rPr>
        <w:t xml:space="preserve"> </w:t>
      </w:r>
      <w:r>
        <w:rPr>
          <w:i/>
          <w:iCs/>
        </w:rPr>
        <w:t>Intersex Inquiry,</w:t>
      </w:r>
      <w:r>
        <w:t xml:space="preserve"> 6.</w:t>
      </w:r>
    </w:p>
  </w:endnote>
  <w:endnote w:id="496">
    <w:p w:rsidRPr="00DB7923" w:rsidR="00810FD7" w:rsidP="00810FD7" w:rsidRDefault="00810FD7" w14:paraId="67370C7F" w14:textId="291E358F">
      <w:pPr>
        <w:pStyle w:val="EndnoteText"/>
        <w:rPr>
          <w:lang w:val="en-US"/>
        </w:rPr>
      </w:pPr>
      <w:r>
        <w:rPr>
          <w:rStyle w:val="EndnoteReference"/>
        </w:rPr>
        <w:endnoteRef/>
      </w:r>
      <w:r>
        <w:t xml:space="preserve"> </w:t>
      </w:r>
      <w:r>
        <w:rPr>
          <w:lang w:val="en-US"/>
        </w:rPr>
        <w:t xml:space="preserve">Recommendation </w:t>
      </w:r>
      <w:r w:rsidR="00871B37">
        <w:rPr>
          <w:lang w:val="en-US"/>
        </w:rPr>
        <w:t>8</w:t>
      </w:r>
      <w:r>
        <w:rPr>
          <w:lang w:val="en-US"/>
        </w:rPr>
        <w:t xml:space="preserve">. </w:t>
      </w:r>
    </w:p>
  </w:endnote>
  <w:endnote w:id="497">
    <w:p w:rsidRPr="00C26470" w:rsidR="00810FD7" w:rsidP="00810FD7" w:rsidRDefault="00810FD7" w14:paraId="45E75906" w14:textId="77777777">
      <w:pPr>
        <w:pStyle w:val="EndnoteText"/>
        <w:rPr>
          <w:color w:val="4472C4" w:themeColor="accent5"/>
          <w:lang w:val="en-US"/>
        </w:rPr>
      </w:pPr>
      <w:r w:rsidRPr="00B371A3">
        <w:rPr>
          <w:rStyle w:val="EndnoteReference"/>
        </w:rPr>
        <w:endnoteRef/>
      </w:r>
      <w:r w:rsidRPr="00B371A3">
        <w:t xml:space="preserve"> </w:t>
      </w:r>
      <w:r w:rsidRPr="00B371A3">
        <w:fldChar w:fldCharType="begin"/>
      </w:r>
      <w:r w:rsidRPr="00B371A3">
        <w:instrText xml:space="preserve"> ADDIN ZOTERO_ITEM CSL_CITATION {"citationID":"6uHMZhsu","properties":{"formattedCitation":"Senate Standing Committee on Community Affairs, Parliament of Australia, {\\i{}Involuntary or Coerced Sterilisation of Intersex People in Australia}, (Second Report, 25 October 2013).","plainCitation":"Senate Standing Committee on Community Affairs, Parliament of Australia, Involuntary or Coerced Sterilisation of Intersex People in Australia, (Second Report, 25 October 2013).","dontUpdate":true,"noteIndex":8},"citationItems":[{"id":876,"uris":["http://zotero.org/groups/1703699/items/KQKHM9IB"],"uri":["http://zotero.org/groups/1703699/items/KQKHM9IB"],"itemData":{"id":876,"type":"bill","title":"Senate Standing Committee on Community Affairs, Parliament of Australia, &lt;i&gt;Involuntary or coerced sterilisation of intersex people in Australia&lt;/i&gt;, (Second Report, 25 October 2013)"}}],"schema":"https://github.com/citation-style-language/schema/raw/master/csl-citation.json"} </w:instrText>
      </w:r>
      <w:r w:rsidRPr="00B371A3">
        <w:fldChar w:fldCharType="separate"/>
      </w:r>
      <w:r w:rsidRPr="00B371A3">
        <w:rPr>
          <w:rFonts w:cs="Open Sans"/>
          <w:szCs w:val="24"/>
        </w:rPr>
        <w:t xml:space="preserve">Senate Standing Committee on Community Affairs, Parliament of Australia, </w:t>
      </w:r>
      <w:r w:rsidRPr="00B371A3">
        <w:rPr>
          <w:rFonts w:cs="Open Sans"/>
          <w:i/>
          <w:iCs/>
          <w:szCs w:val="24"/>
        </w:rPr>
        <w:t>Involuntary or Coerced Sterilisation of Intersex People in Australia</w:t>
      </w:r>
      <w:r w:rsidRPr="00B371A3">
        <w:rPr>
          <w:rFonts w:cs="Open Sans"/>
          <w:szCs w:val="24"/>
        </w:rPr>
        <w:t>, (Second Report, 25 October 2013), xiv.</w:t>
      </w:r>
      <w:r w:rsidRPr="00B371A3">
        <w:fldChar w:fldCharType="end"/>
      </w:r>
    </w:p>
  </w:endnote>
  <w:endnote w:id="498">
    <w:p w:rsidRPr="00AE1B51" w:rsidR="00810FD7" w:rsidP="00810FD7" w:rsidRDefault="00810FD7" w14:paraId="574F22CE" w14:textId="77777777">
      <w:pPr>
        <w:pStyle w:val="EndnoteText"/>
        <w:rPr>
          <w:lang w:val="en-US"/>
        </w:rPr>
      </w:pPr>
      <w:r>
        <w:rPr>
          <w:rStyle w:val="EndnoteReference"/>
        </w:rPr>
        <w:endnoteRef/>
      </w:r>
      <w:r>
        <w:t xml:space="preserve"> </w:t>
      </w:r>
      <w:r>
        <w:rPr>
          <w:lang w:val="en-US"/>
        </w:rPr>
        <w:t xml:space="preserve">See </w:t>
      </w:r>
      <w:r w:rsidRPr="00F179D5">
        <w:rPr>
          <w:lang w:val="en-US"/>
        </w:rPr>
        <w:t xml:space="preserve">Chapter 9 – </w:t>
      </w:r>
      <w:r w:rsidRPr="00A4039E">
        <w:rPr>
          <w:rFonts w:cs="Open Sans"/>
          <w:bCs/>
        </w:rPr>
        <w:t xml:space="preserve">Support, </w:t>
      </w:r>
      <w:r w:rsidRPr="00A4039E">
        <w:rPr>
          <w:rFonts w:cs="Open Sans"/>
        </w:rPr>
        <w:t xml:space="preserve">health records </w:t>
      </w:r>
      <w:r w:rsidRPr="00A4039E">
        <w:rPr>
          <w:rFonts w:cs="Open Sans"/>
          <w:bCs/>
        </w:rPr>
        <w:t>and data collection</w:t>
      </w:r>
      <w:r>
        <w:rPr>
          <w:lang w:val="en-US"/>
        </w:rPr>
        <w:t>.</w:t>
      </w:r>
    </w:p>
  </w:endnote>
  <w:endnote w:id="499">
    <w:p w:rsidRPr="00CD7D9E" w:rsidR="00810FD7" w:rsidP="00810FD7" w:rsidRDefault="00810FD7" w14:paraId="4FC7DAAE" w14:textId="77777777">
      <w:pPr>
        <w:pStyle w:val="EndnoteText"/>
      </w:pPr>
      <w:r w:rsidRPr="00CD7D9E">
        <w:rPr>
          <w:rStyle w:val="EndnoteReference"/>
        </w:rPr>
        <w:endnoteRef/>
      </w:r>
      <w:r w:rsidRPr="00CD7D9E">
        <w:t xml:space="preserve"> &lt;https://www.racgp.org.au/clinical-resources/clinical-guidelines/key-racgp-guidelines/view-all-racgp-guidelines/female-genital-cosmetic-surgery&gt;</w:t>
      </w:r>
      <w:r>
        <w:t>.</w:t>
      </w:r>
    </w:p>
  </w:endnote>
  <w:endnote w:id="500">
    <w:p w:rsidRPr="00084CF1" w:rsidR="00810FD7" w:rsidP="00810FD7" w:rsidRDefault="00810FD7" w14:paraId="411D3202" w14:textId="77777777">
      <w:pPr>
        <w:pStyle w:val="EndnoteText"/>
        <w:rPr>
          <w:color w:val="4472C4" w:themeColor="accent5"/>
        </w:rPr>
      </w:pPr>
      <w:r w:rsidRPr="00CD7D9E">
        <w:rPr>
          <w:rStyle w:val="EndnoteReference"/>
        </w:rPr>
        <w:endnoteRef/>
      </w:r>
      <w:r w:rsidRPr="00CD7D9E">
        <w:t xml:space="preserve"> See eg, Cancer Council Australia Surveillance Colonoscopy Guidelines </w:t>
      </w:r>
      <w:r w:rsidRPr="00584675">
        <w:t>Working Party. Clinical practice guidelines for surveillance colonoscopy. Sydney: Cancer Council Australia</w:t>
      </w:r>
      <w:r>
        <w:t xml:space="preserve">, </w:t>
      </w:r>
      <w:r w:rsidRPr="00CD7D9E">
        <w:t>&lt;https://wiki.cancer.org.au/australia/Guidelines:Colorectal_cancer/Colonoscopy_surveillance&gt;</w:t>
      </w:r>
      <w:r>
        <w:t>.</w:t>
      </w:r>
    </w:p>
  </w:endnote>
  <w:endnote w:id="501">
    <w:p w:rsidRPr="00584675" w:rsidR="00810FD7" w:rsidP="00810FD7" w:rsidRDefault="00810FD7" w14:paraId="181446AE" w14:textId="77777777">
      <w:pPr>
        <w:pStyle w:val="EndnoteText"/>
      </w:pPr>
      <w:r w:rsidRPr="00584675">
        <w:rPr>
          <w:rStyle w:val="EndnoteReference"/>
        </w:rPr>
        <w:endnoteRef/>
      </w:r>
      <w:r w:rsidRPr="00584675">
        <w:t xml:space="preserve"> &lt;https://www.clinicalguidelines.gov.au/portal&gt;.</w:t>
      </w:r>
    </w:p>
  </w:endnote>
  <w:endnote w:id="502">
    <w:p w:rsidRPr="00584675" w:rsidR="00810FD7" w:rsidP="00810FD7" w:rsidRDefault="00810FD7" w14:paraId="5CE82D6B" w14:textId="77777777">
      <w:pPr>
        <w:pStyle w:val="EndnoteText"/>
      </w:pPr>
      <w:r w:rsidRPr="00584675">
        <w:rPr>
          <w:rStyle w:val="EndnoteReference"/>
        </w:rPr>
        <w:endnoteRef/>
      </w:r>
      <w:r w:rsidRPr="00584675">
        <w:t xml:space="preserve"> &lt;https://www.clinicalguidelines.gov.au/portal&gt;.</w:t>
      </w:r>
    </w:p>
  </w:endnote>
  <w:endnote w:id="503">
    <w:p w:rsidRPr="00584675" w:rsidR="00810FD7" w:rsidP="00810FD7" w:rsidRDefault="00810FD7" w14:paraId="52234227" w14:textId="77777777">
      <w:pPr>
        <w:pStyle w:val="EndnoteText"/>
      </w:pPr>
      <w:r w:rsidRPr="00584675">
        <w:rPr>
          <w:rStyle w:val="EndnoteReference"/>
        </w:rPr>
        <w:endnoteRef/>
      </w:r>
      <w:r w:rsidRPr="00584675">
        <w:t xml:space="preserve"> </w:t>
      </w:r>
      <w:r w:rsidRPr="00584675">
        <w:rPr>
          <w:i/>
          <w:iCs/>
        </w:rPr>
        <w:t>Civil Liability Act 2002</w:t>
      </w:r>
      <w:r w:rsidRPr="00584675">
        <w:t xml:space="preserve"> (NSW) s 5O.</w:t>
      </w:r>
    </w:p>
  </w:endnote>
  <w:endnote w:id="504">
    <w:p w:rsidRPr="00A60F5D" w:rsidR="00810FD7" w:rsidP="00810FD7" w:rsidRDefault="00810FD7" w14:paraId="2DADBBAB" w14:textId="77777777">
      <w:pPr>
        <w:pStyle w:val="EndnoteText"/>
        <w:rPr>
          <w:color w:val="4472C4" w:themeColor="accent5"/>
        </w:rPr>
      </w:pPr>
      <w:r w:rsidRPr="00584675">
        <w:rPr>
          <w:rStyle w:val="EndnoteReference"/>
        </w:rPr>
        <w:endnoteRef/>
      </w:r>
      <w:r w:rsidRPr="00584675">
        <w:t xml:space="preserve"> </w:t>
      </w:r>
      <w:r>
        <w:t>&lt;</w:t>
      </w:r>
      <w:hyperlink w:history="1" r:id="rId47">
        <w:r w:rsidRPr="001A1C4C">
          <w:rPr>
            <w:rStyle w:val="Hyperlink"/>
          </w:rPr>
          <w:t>https://www.safetyandquality.gov.au/standards/nsqhs-standards</w:t>
        </w:r>
      </w:hyperlink>
      <w:r>
        <w:t>&gt;</w:t>
      </w:r>
      <w:r>
        <w:rPr>
          <w:color w:val="4472C4" w:themeColor="accent5"/>
        </w:rPr>
        <w:t>.</w:t>
      </w:r>
    </w:p>
  </w:endnote>
  <w:endnote w:id="505">
    <w:p w:rsidRPr="00A60F5D" w:rsidR="00810FD7" w:rsidP="00810FD7" w:rsidRDefault="00810FD7" w14:paraId="7D055F5E" w14:textId="77777777">
      <w:pPr>
        <w:pStyle w:val="EndnoteText"/>
        <w:rPr>
          <w:color w:val="4472C4" w:themeColor="accent5"/>
          <w:lang w:val="en-US"/>
        </w:rPr>
      </w:pPr>
      <w:r w:rsidRPr="00584675">
        <w:rPr>
          <w:rStyle w:val="EndnoteReference"/>
        </w:rPr>
        <w:endnoteRef/>
      </w:r>
      <w:r w:rsidRPr="00584675">
        <w:t xml:space="preserve"> </w:t>
      </w:r>
      <w:r w:rsidRPr="00584675">
        <w:rPr>
          <w:rFonts w:cs="Open Sans"/>
          <w:shd w:val="clear" w:color="auto" w:fill="FFFFFF"/>
        </w:rPr>
        <w:t xml:space="preserve">Australian Commission on Safety and Quality in Health Care, </w:t>
      </w:r>
      <w:r w:rsidRPr="009A419B">
        <w:rPr>
          <w:rFonts w:cs="Open Sans"/>
          <w:i/>
          <w:iCs/>
        </w:rPr>
        <w:t>Implementation of the NSQHS Standards</w:t>
      </w:r>
      <w:r w:rsidRPr="00584675">
        <w:rPr>
          <w:rFonts w:cs="Open Sans"/>
        </w:rPr>
        <w:t xml:space="preserve"> &lt;</w:t>
      </w:r>
      <w:hyperlink w:history="1" w:anchor="the-nsqhs-standards" r:id="rId48">
        <w:r w:rsidRPr="00584675">
          <w:rPr>
            <w:rStyle w:val="Hyperlink"/>
            <w:rFonts w:cs="Open Sans"/>
            <w:color w:val="auto"/>
          </w:rPr>
          <w:t>https://www.safetyandquality.gov.au/standards/nsqhs-standards/implementation-nsqhs-standards#the-nsqhs-standards</w:t>
        </w:r>
      </w:hyperlink>
      <w:r>
        <w:rPr>
          <w:rFonts w:cs="Open Sans"/>
        </w:rPr>
        <w:t>&gt;.</w:t>
      </w:r>
    </w:p>
  </w:endnote>
  <w:endnote w:id="506">
    <w:p w:rsidRPr="00584675" w:rsidR="00810FD7" w:rsidP="00810FD7" w:rsidRDefault="00810FD7" w14:paraId="52288798" w14:textId="77777777">
      <w:pPr>
        <w:pStyle w:val="EndnoteText"/>
        <w:rPr>
          <w:lang w:val="en-US"/>
        </w:rPr>
      </w:pPr>
      <w:r w:rsidRPr="00584675">
        <w:rPr>
          <w:rStyle w:val="EndnoteReference"/>
        </w:rPr>
        <w:endnoteRef/>
      </w:r>
      <w:r w:rsidRPr="00584675">
        <w:t xml:space="preserve"> For example, guidelines for best clinical care of people with borderline personality disorder National Health and Medical Research Council, Guidelines, &lt;</w:t>
      </w:r>
      <w:hyperlink w:history="1" r:id="rId49">
        <w:r w:rsidRPr="00506AC7">
          <w:rPr>
            <w:rStyle w:val="Hyperlink"/>
            <w:color w:val="auto"/>
            <w:u w:val="none"/>
          </w:rPr>
          <w:t>https://www.nhmrc.gov.au/guidelines</w:t>
        </w:r>
      </w:hyperlink>
      <w:r w:rsidRPr="00584675">
        <w:t xml:space="preserve">&gt;. </w:t>
      </w:r>
    </w:p>
  </w:endnote>
  <w:endnote w:id="507">
    <w:p w:rsidRPr="00584675" w:rsidR="00810FD7" w:rsidP="00810FD7" w:rsidRDefault="00810FD7" w14:paraId="77E6A22A" w14:textId="77777777">
      <w:pPr>
        <w:pStyle w:val="EndnoteText"/>
        <w:rPr>
          <w:lang w:val="en-US"/>
        </w:rPr>
      </w:pPr>
      <w:r w:rsidRPr="00584675">
        <w:rPr>
          <w:rStyle w:val="EndnoteReference"/>
        </w:rPr>
        <w:endnoteRef/>
      </w:r>
      <w:r w:rsidRPr="00584675">
        <w:t xml:space="preserve"> National Health and Medical Research Council, </w:t>
      </w:r>
      <w:r w:rsidRPr="00407479">
        <w:rPr>
          <w:i/>
          <w:iCs/>
        </w:rPr>
        <w:t>Guidelines,</w:t>
      </w:r>
      <w:r w:rsidRPr="00584675">
        <w:t xml:space="preserve"> </w:t>
      </w:r>
      <w:r>
        <w:t>(Web Page)</w:t>
      </w:r>
      <w:r w:rsidRPr="00584675">
        <w:t xml:space="preserve"> &lt;</w:t>
      </w:r>
      <w:hyperlink w:history="1" r:id="rId50">
        <w:r w:rsidRPr="00506AC7">
          <w:rPr>
            <w:rStyle w:val="Hyperlink"/>
            <w:color w:val="auto"/>
            <w:u w:val="none"/>
          </w:rPr>
          <w:t>https://www.nhmrc.gov.au/guidelines</w:t>
        </w:r>
      </w:hyperlink>
      <w:r w:rsidRPr="00506AC7">
        <w:t>&gt;</w:t>
      </w:r>
      <w:r>
        <w:t>, provided for at</w:t>
      </w:r>
      <w:r w:rsidRPr="00584675">
        <w:t xml:space="preserve"> </w:t>
      </w:r>
      <w:r w:rsidRPr="00EF2EB4">
        <w:rPr>
          <w:i/>
          <w:iCs/>
        </w:rPr>
        <w:t xml:space="preserve">National Health and Medical Research </w:t>
      </w:r>
      <w:r>
        <w:rPr>
          <w:i/>
          <w:iCs/>
        </w:rPr>
        <w:t xml:space="preserve">Council </w:t>
      </w:r>
      <w:r w:rsidRPr="00EF2EB4">
        <w:rPr>
          <w:i/>
          <w:iCs/>
        </w:rPr>
        <w:t>Act 1992</w:t>
      </w:r>
      <w:r>
        <w:t xml:space="preserve"> (Cth)</w:t>
      </w:r>
      <w:r w:rsidRPr="00584675">
        <w:t xml:space="preserve"> s 14A.</w:t>
      </w:r>
    </w:p>
  </w:endnote>
  <w:endnote w:id="508">
    <w:p w:rsidRPr="00A60F5D" w:rsidR="00810FD7" w:rsidP="00810FD7" w:rsidRDefault="00810FD7" w14:paraId="65E81E31" w14:textId="77777777">
      <w:pPr>
        <w:pStyle w:val="EndnoteText"/>
        <w:rPr>
          <w:color w:val="4472C4" w:themeColor="accent5"/>
          <w:lang w:val="en-US"/>
        </w:rPr>
      </w:pPr>
      <w:r w:rsidRPr="00584675">
        <w:rPr>
          <w:rStyle w:val="EndnoteReference"/>
        </w:rPr>
        <w:endnoteRef/>
      </w:r>
      <w:r w:rsidRPr="00584675">
        <w:t xml:space="preserve"> </w:t>
      </w:r>
      <w:r w:rsidRPr="00584675">
        <w:rPr>
          <w:i/>
          <w:iCs/>
          <w:lang w:val="en-US"/>
        </w:rPr>
        <w:t>Guardianship Act 1987</w:t>
      </w:r>
      <w:r w:rsidRPr="00584675">
        <w:rPr>
          <w:lang w:val="en-US"/>
        </w:rPr>
        <w:t xml:space="preserve"> (NSW)</w:t>
      </w:r>
      <w:r w:rsidRPr="00584675">
        <w:t xml:space="preserve"> </w:t>
      </w:r>
      <w:r>
        <w:t>s</w:t>
      </w:r>
      <w:r w:rsidRPr="00584675">
        <w:t>s 33, 45.</w:t>
      </w:r>
    </w:p>
  </w:endnote>
  <w:endnote w:id="509">
    <w:p w:rsidR="00810FD7" w:rsidP="00810FD7" w:rsidRDefault="00810FD7" w14:paraId="14DB1E3D" w14:textId="77777777">
      <w:pPr>
        <w:pStyle w:val="EndnoteText"/>
      </w:pPr>
      <w:r>
        <w:rPr>
          <w:rStyle w:val="EndnoteReference"/>
        </w:rPr>
        <w:endnoteRef/>
      </w:r>
      <w:r>
        <w:t xml:space="preserve"> Submission 41, </w:t>
      </w:r>
      <w:r>
        <w:rPr>
          <w:i/>
          <w:iCs/>
        </w:rPr>
        <w:t>Intersex Inquiry,</w:t>
      </w:r>
      <w:r>
        <w:t xml:space="preserve"> 3, 8;</w:t>
      </w:r>
      <w:r w:rsidRPr="00203F47">
        <w:t xml:space="preserve"> </w:t>
      </w:r>
      <w:r>
        <w:t>Submission 56,</w:t>
      </w:r>
      <w:r w:rsidRPr="002448BA">
        <w:rPr>
          <w:i/>
        </w:rPr>
        <w:t xml:space="preserve"> </w:t>
      </w:r>
      <w:r>
        <w:rPr>
          <w:i/>
          <w:iCs/>
        </w:rPr>
        <w:t>Intersex Inquiry,</w:t>
      </w:r>
      <w:r>
        <w:t xml:space="preserve"> 8; Submission 32,</w:t>
      </w:r>
      <w:r w:rsidRPr="002448BA">
        <w:rPr>
          <w:i/>
        </w:rPr>
        <w:t xml:space="preserve"> </w:t>
      </w:r>
      <w:r>
        <w:rPr>
          <w:i/>
          <w:iCs/>
        </w:rPr>
        <w:t>Intersex Inquiry,</w:t>
      </w:r>
      <w:r>
        <w:t xml:space="preserve"> 8; Submission 36,</w:t>
      </w:r>
      <w:r w:rsidRPr="002448BA">
        <w:rPr>
          <w:i/>
        </w:rPr>
        <w:t xml:space="preserve"> </w:t>
      </w:r>
      <w:r>
        <w:rPr>
          <w:i/>
          <w:iCs/>
        </w:rPr>
        <w:t>Intersex Inquiry,</w:t>
      </w:r>
      <w:r>
        <w:t xml:space="preserve"> 17; A Gender Agenda, Submission 52, </w:t>
      </w:r>
      <w:r>
        <w:rPr>
          <w:i/>
          <w:iCs/>
        </w:rPr>
        <w:t>Intersex Inquiry,</w:t>
      </w:r>
      <w:r>
        <w:t xml:space="preserve"> 5.</w:t>
      </w:r>
    </w:p>
  </w:endnote>
  <w:endnote w:id="510">
    <w:p w:rsidRPr="00670206" w:rsidR="00810FD7" w:rsidP="00810FD7" w:rsidRDefault="00810FD7" w14:paraId="3523B4DF" w14:textId="77777777">
      <w:pPr>
        <w:pStyle w:val="EndnoteText"/>
        <w:rPr>
          <w:lang w:val="en-US"/>
        </w:rPr>
      </w:pPr>
      <w:r>
        <w:rPr>
          <w:rStyle w:val="EndnoteReference"/>
        </w:rPr>
        <w:endnoteRef/>
      </w:r>
      <w:r>
        <w:t xml:space="preserve"> Australasian Paediatric Endocrine Group, Submission 20, </w:t>
      </w:r>
      <w:r>
        <w:rPr>
          <w:i/>
          <w:iCs/>
        </w:rPr>
        <w:t>Intersex Inquiry,</w:t>
      </w:r>
      <w:r>
        <w:t xml:space="preserve"> 8.</w:t>
      </w:r>
    </w:p>
  </w:endnote>
  <w:endnote w:id="511">
    <w:p w:rsidR="00810FD7" w:rsidP="00810FD7" w:rsidRDefault="00810FD7" w14:paraId="35DE9705" w14:textId="77777777">
      <w:pPr>
        <w:pStyle w:val="EndnoteText"/>
      </w:pPr>
      <w:r>
        <w:rPr>
          <w:rStyle w:val="EndnoteReference"/>
        </w:rPr>
        <w:endnoteRef/>
      </w:r>
      <w:r>
        <w:t xml:space="preserve"> Endocrine Society of Australia, Submission 39,</w:t>
      </w:r>
      <w:r w:rsidRPr="002448BA">
        <w:rPr>
          <w:i/>
        </w:rPr>
        <w:t xml:space="preserve"> </w:t>
      </w:r>
      <w:r>
        <w:rPr>
          <w:i/>
          <w:iCs/>
        </w:rPr>
        <w:t>Intersex Inquiry,</w:t>
      </w:r>
      <w:r>
        <w:t xml:space="preserve"> 3. </w:t>
      </w:r>
    </w:p>
  </w:endnote>
  <w:endnote w:id="512">
    <w:p w:rsidR="00810FD7" w:rsidP="00810FD7" w:rsidRDefault="00810FD7" w14:paraId="375463A6" w14:textId="77777777">
      <w:pPr>
        <w:pStyle w:val="EndnoteText"/>
      </w:pPr>
      <w:r>
        <w:rPr>
          <w:rStyle w:val="EndnoteReference"/>
        </w:rPr>
        <w:endnoteRef/>
      </w:r>
      <w:r>
        <w:t xml:space="preserve"> Submission 41,</w:t>
      </w:r>
      <w:r w:rsidRPr="002448BA">
        <w:rPr>
          <w:i/>
        </w:rPr>
        <w:t xml:space="preserve"> </w:t>
      </w:r>
      <w:r>
        <w:rPr>
          <w:i/>
          <w:iCs/>
        </w:rPr>
        <w:t>Intersex Inquiry,</w:t>
      </w:r>
      <w:r>
        <w:t xml:space="preserve"> paragraph 4.10.</w:t>
      </w:r>
    </w:p>
  </w:endnote>
  <w:endnote w:id="513">
    <w:p w:rsidRPr="00A02C3A" w:rsidR="00810FD7" w:rsidP="00810FD7" w:rsidRDefault="00810FD7" w14:paraId="3B7FA010" w14:textId="77777777">
      <w:pPr>
        <w:pStyle w:val="EndnoteText"/>
        <w:rPr>
          <w:lang w:val="en-US"/>
        </w:rPr>
      </w:pPr>
      <w:r>
        <w:rPr>
          <w:rStyle w:val="EndnoteReference"/>
        </w:rPr>
        <w:endnoteRef/>
      </w:r>
      <w:r>
        <w:t xml:space="preserve"> </w:t>
      </w:r>
      <w:r>
        <w:rPr>
          <w:lang w:val="en-US"/>
        </w:rPr>
        <w:t>See Chapter 3 – Lived experience.</w:t>
      </w:r>
    </w:p>
  </w:endnote>
  <w:endnote w:id="514">
    <w:p w:rsidRPr="006D4281" w:rsidR="00810FD7" w:rsidP="00810FD7" w:rsidRDefault="00810FD7" w14:paraId="0F982B18" w14:textId="77777777">
      <w:pPr>
        <w:pStyle w:val="EndnoteText"/>
        <w:rPr>
          <w:rFonts w:cs="Open Sans"/>
        </w:rPr>
      </w:pPr>
      <w:r w:rsidRPr="006D4281">
        <w:rPr>
          <w:rStyle w:val="EndnoteReference"/>
          <w:rFonts w:cs="Open Sans"/>
        </w:rPr>
        <w:endnoteRef/>
      </w:r>
      <w:r w:rsidRPr="006D4281">
        <w:rPr>
          <w:rFonts w:cs="Open Sans"/>
        </w:rPr>
        <w:t xml:space="preserve"> </w:t>
      </w:r>
      <w:r>
        <w:t xml:space="preserve">Submission </w:t>
      </w:r>
      <w:r w:rsidRPr="006D4281">
        <w:rPr>
          <w:rFonts w:cs="Open Sans"/>
        </w:rPr>
        <w:t>50</w:t>
      </w:r>
      <w:r>
        <w:rPr>
          <w:rFonts w:cs="Open Sans"/>
        </w:rPr>
        <w:t>,</w:t>
      </w:r>
      <w:r w:rsidRPr="002448BA">
        <w:rPr>
          <w:i/>
        </w:rPr>
        <w:t xml:space="preserve"> </w:t>
      </w:r>
      <w:r>
        <w:rPr>
          <w:i/>
          <w:iCs/>
        </w:rPr>
        <w:t>Intersex Inquiry,</w:t>
      </w:r>
      <w:r>
        <w:rPr>
          <w:rFonts w:cs="Open Sans"/>
        </w:rPr>
        <w:t xml:space="preserve"> </w:t>
      </w:r>
      <w:r w:rsidRPr="006D4281">
        <w:rPr>
          <w:rFonts w:cs="Open Sans"/>
        </w:rPr>
        <w:t>4</w:t>
      </w:r>
      <w:r>
        <w:rPr>
          <w:rFonts w:cs="Open Sans"/>
        </w:rPr>
        <w:t>–</w:t>
      </w:r>
      <w:r w:rsidRPr="006D4281">
        <w:rPr>
          <w:rFonts w:cs="Open Sans"/>
        </w:rPr>
        <w:t>5.</w:t>
      </w:r>
    </w:p>
  </w:endnote>
  <w:endnote w:id="515">
    <w:p w:rsidRPr="000D39F8" w:rsidR="00810FD7" w:rsidP="00810FD7" w:rsidRDefault="00810FD7" w14:paraId="5BBA00C6" w14:textId="77777777">
      <w:pPr>
        <w:pStyle w:val="EndnoteText"/>
        <w:rPr>
          <w:rFonts w:ascii="Arial" w:hAnsi="Arial" w:cs="Arial"/>
        </w:rPr>
      </w:pPr>
      <w:r w:rsidRPr="006D4281">
        <w:rPr>
          <w:rStyle w:val="EndnoteReference"/>
          <w:rFonts w:cs="Open Sans"/>
        </w:rPr>
        <w:endnoteRef/>
      </w:r>
      <w:r w:rsidRPr="006D4281">
        <w:rPr>
          <w:rFonts w:cs="Open Sans"/>
        </w:rPr>
        <w:t xml:space="preserve"> </w:t>
      </w:r>
      <w:r>
        <w:t xml:space="preserve">Submission </w:t>
      </w:r>
      <w:r w:rsidRPr="006D4281">
        <w:rPr>
          <w:rFonts w:cs="Open Sans"/>
        </w:rPr>
        <w:t>65</w:t>
      </w:r>
      <w:r>
        <w:rPr>
          <w:rFonts w:cs="Open Sans"/>
        </w:rPr>
        <w:t xml:space="preserve">, </w:t>
      </w:r>
      <w:r>
        <w:rPr>
          <w:i/>
          <w:iCs/>
        </w:rPr>
        <w:t>Intersex Inquiry,</w:t>
      </w:r>
      <w:r>
        <w:t xml:space="preserve"> </w:t>
      </w:r>
      <w:r w:rsidRPr="006D4281">
        <w:rPr>
          <w:rFonts w:cs="Open Sans"/>
        </w:rPr>
        <w:t>3</w:t>
      </w:r>
      <w:r>
        <w:rPr>
          <w:rFonts w:cs="Open Sans"/>
        </w:rPr>
        <w:t>–</w:t>
      </w:r>
      <w:r w:rsidRPr="006D4281">
        <w:rPr>
          <w:rFonts w:cs="Open Sans"/>
        </w:rPr>
        <w:t>4</w:t>
      </w:r>
      <w:r>
        <w:rPr>
          <w:rFonts w:cs="Open Sans"/>
        </w:rPr>
        <w:t xml:space="preserve">. </w:t>
      </w:r>
    </w:p>
  </w:endnote>
  <w:endnote w:id="516">
    <w:p w:rsidRPr="005252B4" w:rsidR="00810FD7" w:rsidP="00810FD7" w:rsidRDefault="00810FD7" w14:paraId="09BC8998" w14:textId="77777777">
      <w:pPr>
        <w:pStyle w:val="EndnoteText"/>
        <w:rPr>
          <w:lang w:val="en-US"/>
        </w:rPr>
      </w:pPr>
      <w:r>
        <w:rPr>
          <w:rStyle w:val="EndnoteReference"/>
        </w:rPr>
        <w:endnoteRef/>
      </w:r>
      <w:r>
        <w:t xml:space="preserve"> </w:t>
      </w:r>
      <w:r w:rsidRPr="00C8464B">
        <w:t>Senate Community Affairs References Committee, Parliament of Australia</w:t>
      </w:r>
      <w:r w:rsidRPr="009B4C76">
        <w:rPr>
          <w:i/>
          <w:iCs/>
        </w:rPr>
        <w:t>, Involuntary or coerced sterilisation of intersex people in Australia</w:t>
      </w:r>
      <w:r w:rsidRPr="00C8464B">
        <w:t xml:space="preserve"> (2013)</w:t>
      </w:r>
      <w:r>
        <w:t xml:space="preserve"> Rec 9. </w:t>
      </w:r>
    </w:p>
  </w:endnote>
  <w:endnote w:id="517">
    <w:p w:rsidRPr="005252B4" w:rsidR="00810FD7" w:rsidP="00810FD7" w:rsidRDefault="00810FD7" w14:paraId="20F741A5" w14:textId="77777777">
      <w:pPr>
        <w:pStyle w:val="EndnoteText"/>
        <w:rPr>
          <w:lang w:val="en-US"/>
        </w:rPr>
      </w:pPr>
      <w:r>
        <w:rPr>
          <w:rStyle w:val="EndnoteReference"/>
        </w:rPr>
        <w:endnoteRef/>
      </w:r>
      <w:r>
        <w:t xml:space="preserve"> </w:t>
      </w:r>
      <w:r w:rsidRPr="00C8464B">
        <w:t>Senate Community Affairs References Committee, Parliament of Australia</w:t>
      </w:r>
      <w:r w:rsidRPr="009B4C76">
        <w:rPr>
          <w:i/>
          <w:iCs/>
        </w:rPr>
        <w:t>, Involuntary or coerced sterilisation of intersex people in Australia</w:t>
      </w:r>
      <w:r w:rsidRPr="00C8464B">
        <w:t xml:space="preserve"> (2013)</w:t>
      </w:r>
      <w:r>
        <w:t xml:space="preserve"> 101. </w:t>
      </w:r>
    </w:p>
  </w:endnote>
  <w:endnote w:id="518">
    <w:p w:rsidRPr="0084198E" w:rsidR="00810FD7" w:rsidP="00810FD7" w:rsidRDefault="00810FD7" w14:paraId="489E1DF9" w14:textId="77777777">
      <w:pPr>
        <w:pStyle w:val="EndnoteText"/>
        <w:rPr>
          <w:lang w:val="en-US"/>
        </w:rPr>
      </w:pPr>
      <w:r>
        <w:rPr>
          <w:rStyle w:val="EndnoteReference"/>
        </w:rPr>
        <w:endnoteRef/>
      </w:r>
      <w:r>
        <w:t xml:space="preserve"> </w:t>
      </w:r>
      <w:r>
        <w:rPr>
          <w:lang w:val="en-US"/>
        </w:rPr>
        <w:t>Intersex Human Rights Australia, Submission 40,</w:t>
      </w:r>
      <w:r w:rsidRPr="002448BA">
        <w:rPr>
          <w:i/>
        </w:rPr>
        <w:t xml:space="preserve"> </w:t>
      </w:r>
      <w:r>
        <w:rPr>
          <w:i/>
          <w:iCs/>
        </w:rPr>
        <w:t xml:space="preserve">Intersex Inquiry, </w:t>
      </w:r>
      <w:r>
        <w:rPr>
          <w:lang w:val="en-US"/>
        </w:rPr>
        <w:t xml:space="preserve"> 11; Submission 36, </w:t>
      </w:r>
      <w:r>
        <w:rPr>
          <w:i/>
          <w:iCs/>
        </w:rPr>
        <w:t>Intersex Inquiry,</w:t>
      </w:r>
      <w:r>
        <w:t xml:space="preserve"> </w:t>
      </w:r>
      <w:r>
        <w:rPr>
          <w:lang w:val="en-US"/>
        </w:rPr>
        <w:t>4.</w:t>
      </w:r>
    </w:p>
  </w:endnote>
  <w:endnote w:id="519">
    <w:p w:rsidRPr="00F644EF" w:rsidR="00810FD7" w:rsidP="00810FD7" w:rsidRDefault="00810FD7" w14:paraId="74F0BAC9" w14:textId="77777777">
      <w:pPr>
        <w:pStyle w:val="EndnoteText"/>
        <w:rPr>
          <w:rFonts w:cs="Open Sans"/>
          <w:lang w:val="en-US"/>
        </w:rPr>
      </w:pPr>
      <w:r w:rsidRPr="006D4281">
        <w:rPr>
          <w:rStyle w:val="EndnoteReference"/>
          <w:rFonts w:cs="Open Sans"/>
        </w:rPr>
        <w:endnoteRef/>
      </w:r>
      <w:r w:rsidRPr="006D4281">
        <w:rPr>
          <w:rFonts w:cs="Open Sans"/>
        </w:rPr>
        <w:t xml:space="preserve"> Submission 36,</w:t>
      </w:r>
      <w:r w:rsidRPr="00206EEC">
        <w:rPr>
          <w:i/>
        </w:rPr>
        <w:t xml:space="preserve"> </w:t>
      </w:r>
      <w:r>
        <w:rPr>
          <w:i/>
          <w:iCs/>
        </w:rPr>
        <w:t>Intersex Inquiry,</w:t>
      </w:r>
      <w:r w:rsidRPr="006D4281">
        <w:rPr>
          <w:rFonts w:cs="Open Sans"/>
        </w:rPr>
        <w:t xml:space="preserve"> </w:t>
      </w:r>
      <w:r>
        <w:rPr>
          <w:rFonts w:cs="Open Sans"/>
        </w:rPr>
        <w:t>23;</w:t>
      </w:r>
      <w:r w:rsidRPr="006D4281">
        <w:rPr>
          <w:rFonts w:cs="Open Sans"/>
        </w:rPr>
        <w:t xml:space="preserve"> Submission 54</w:t>
      </w:r>
      <w:r>
        <w:rPr>
          <w:rFonts w:cs="Open Sans"/>
        </w:rPr>
        <w:t>,</w:t>
      </w:r>
      <w:r w:rsidRPr="00206EEC">
        <w:rPr>
          <w:i/>
        </w:rPr>
        <w:t xml:space="preserve"> </w:t>
      </w:r>
      <w:r>
        <w:rPr>
          <w:i/>
          <w:iCs/>
        </w:rPr>
        <w:t>Intersex Inquiry,</w:t>
      </w:r>
      <w:r>
        <w:rPr>
          <w:rFonts w:cs="Open Sans"/>
        </w:rPr>
        <w:t xml:space="preserve"> </w:t>
      </w:r>
      <w:r w:rsidRPr="006D4281">
        <w:rPr>
          <w:rFonts w:cs="Open Sans"/>
        </w:rPr>
        <w:t>7</w:t>
      </w:r>
      <w:r>
        <w:rPr>
          <w:rFonts w:cs="Open Sans"/>
        </w:rPr>
        <w:t>;</w:t>
      </w:r>
      <w:r w:rsidRPr="006D4281">
        <w:rPr>
          <w:rFonts w:cs="Open Sans"/>
        </w:rPr>
        <w:t xml:space="preserve"> Submission 65</w:t>
      </w:r>
      <w:r>
        <w:rPr>
          <w:rFonts w:cs="Open Sans"/>
        </w:rPr>
        <w:t>,</w:t>
      </w:r>
      <w:r w:rsidRPr="00206EEC">
        <w:rPr>
          <w:i/>
        </w:rPr>
        <w:t xml:space="preserve"> </w:t>
      </w:r>
      <w:r>
        <w:rPr>
          <w:i/>
          <w:iCs/>
        </w:rPr>
        <w:t>Intersex Inquiry,</w:t>
      </w:r>
      <w:r>
        <w:rPr>
          <w:rFonts w:cs="Open Sans"/>
        </w:rPr>
        <w:t xml:space="preserve"> </w:t>
      </w:r>
      <w:r w:rsidRPr="006D4281">
        <w:rPr>
          <w:rFonts w:cs="Open Sans"/>
        </w:rPr>
        <w:t>3</w:t>
      </w:r>
      <w:r>
        <w:rPr>
          <w:rFonts w:cs="Open Sans"/>
        </w:rPr>
        <w:t>–</w:t>
      </w:r>
      <w:r w:rsidRPr="006D4281">
        <w:rPr>
          <w:rFonts w:cs="Open Sans"/>
        </w:rPr>
        <w:t>4</w:t>
      </w:r>
      <w:r>
        <w:rPr>
          <w:rFonts w:cs="Open Sans"/>
        </w:rPr>
        <w:t xml:space="preserve">. </w:t>
      </w:r>
    </w:p>
  </w:endnote>
  <w:endnote w:id="520">
    <w:p w:rsidRPr="00327AF9" w:rsidR="00810FD7" w:rsidP="00810FD7" w:rsidRDefault="00810FD7" w14:paraId="523AAF59" w14:textId="77777777">
      <w:pPr>
        <w:pStyle w:val="EndnoteText"/>
        <w:rPr>
          <w:rFonts w:cs="Open Sans"/>
        </w:rPr>
      </w:pPr>
      <w:r w:rsidRPr="000D39F8">
        <w:rPr>
          <w:rStyle w:val="EndnoteReference"/>
          <w:rFonts w:ascii="Arial" w:hAnsi="Arial" w:cs="Arial"/>
        </w:rPr>
        <w:endnoteRef/>
      </w:r>
      <w:r w:rsidRPr="000D39F8">
        <w:rPr>
          <w:rFonts w:ascii="Arial" w:hAnsi="Arial" w:cs="Arial"/>
        </w:rPr>
        <w:t xml:space="preserve"> </w:t>
      </w:r>
      <w:r w:rsidRPr="00327AF9">
        <w:rPr>
          <w:rFonts w:cs="Open Sans"/>
        </w:rPr>
        <w:t>Submission 36,</w:t>
      </w:r>
      <w:r w:rsidRPr="00206EEC">
        <w:rPr>
          <w:i/>
        </w:rPr>
        <w:t xml:space="preserve"> </w:t>
      </w:r>
      <w:r>
        <w:rPr>
          <w:i/>
          <w:iCs/>
        </w:rPr>
        <w:t>Intersex Inquiry,</w:t>
      </w:r>
      <w:r w:rsidRPr="00327AF9">
        <w:rPr>
          <w:rFonts w:cs="Open Sans"/>
        </w:rPr>
        <w:t xml:space="preserve"> 23</w:t>
      </w:r>
      <w:r>
        <w:rPr>
          <w:rFonts w:cs="Open Sans"/>
        </w:rPr>
        <w:t>;</w:t>
      </w:r>
      <w:r w:rsidRPr="00327AF9">
        <w:rPr>
          <w:rFonts w:cs="Open Sans"/>
        </w:rPr>
        <w:t xml:space="preserve"> Submission </w:t>
      </w:r>
      <w:r>
        <w:rPr>
          <w:rFonts w:cs="Open Sans"/>
        </w:rPr>
        <w:t>32,</w:t>
      </w:r>
      <w:r w:rsidRPr="00C43D1E">
        <w:rPr>
          <w:i/>
        </w:rPr>
        <w:t xml:space="preserve"> </w:t>
      </w:r>
      <w:r>
        <w:rPr>
          <w:i/>
          <w:iCs/>
        </w:rPr>
        <w:t>Intersex Inquiry,</w:t>
      </w:r>
      <w:r>
        <w:rPr>
          <w:rFonts w:cs="Open Sans"/>
        </w:rPr>
        <w:t xml:space="preserve"> </w:t>
      </w:r>
      <w:r w:rsidRPr="00327AF9">
        <w:rPr>
          <w:rFonts w:cs="Open Sans"/>
        </w:rPr>
        <w:t xml:space="preserve">9; </w:t>
      </w:r>
      <w:r>
        <w:rPr>
          <w:rFonts w:cs="Open Sans"/>
        </w:rPr>
        <w:t xml:space="preserve">Submission </w:t>
      </w:r>
      <w:r w:rsidRPr="00327AF9">
        <w:rPr>
          <w:rFonts w:cs="Open Sans"/>
        </w:rPr>
        <w:t>54</w:t>
      </w:r>
      <w:r>
        <w:rPr>
          <w:rFonts w:cs="Open Sans"/>
        </w:rPr>
        <w:t>,</w:t>
      </w:r>
      <w:r w:rsidRPr="00C43D1E">
        <w:rPr>
          <w:i/>
        </w:rPr>
        <w:t xml:space="preserve"> </w:t>
      </w:r>
      <w:r>
        <w:rPr>
          <w:i/>
          <w:iCs/>
        </w:rPr>
        <w:t>Intersex Inquiry,</w:t>
      </w:r>
      <w:r>
        <w:rPr>
          <w:rFonts w:cs="Open Sans"/>
        </w:rPr>
        <w:t xml:space="preserve"> </w:t>
      </w:r>
      <w:r w:rsidRPr="00327AF9">
        <w:rPr>
          <w:rFonts w:cs="Open Sans"/>
        </w:rPr>
        <w:t>7</w:t>
      </w:r>
      <w:r>
        <w:rPr>
          <w:rFonts w:cs="Open Sans"/>
        </w:rPr>
        <w:t>;</w:t>
      </w:r>
      <w:r w:rsidRPr="00327AF9">
        <w:rPr>
          <w:rFonts w:cs="Open Sans"/>
        </w:rPr>
        <w:t xml:space="preserve"> </w:t>
      </w:r>
      <w:r>
        <w:rPr>
          <w:rFonts w:cs="Open Sans"/>
        </w:rPr>
        <w:t xml:space="preserve">Submission </w:t>
      </w:r>
      <w:r w:rsidRPr="00327AF9">
        <w:rPr>
          <w:rFonts w:cs="Open Sans"/>
        </w:rPr>
        <w:t>65</w:t>
      </w:r>
      <w:r>
        <w:rPr>
          <w:rFonts w:cs="Open Sans"/>
        </w:rPr>
        <w:t>,</w:t>
      </w:r>
      <w:r w:rsidRPr="00C43D1E">
        <w:rPr>
          <w:i/>
        </w:rPr>
        <w:t xml:space="preserve"> </w:t>
      </w:r>
      <w:r>
        <w:rPr>
          <w:i/>
          <w:iCs/>
        </w:rPr>
        <w:t>Intersex Inquiry,</w:t>
      </w:r>
      <w:r>
        <w:rPr>
          <w:rFonts w:cs="Open Sans"/>
        </w:rPr>
        <w:t xml:space="preserve"> </w:t>
      </w:r>
      <w:r w:rsidRPr="00327AF9">
        <w:rPr>
          <w:rFonts w:cs="Open Sans"/>
        </w:rPr>
        <w:t>3</w:t>
      </w:r>
      <w:r>
        <w:rPr>
          <w:rFonts w:cs="Open Sans"/>
        </w:rPr>
        <w:t>–</w:t>
      </w:r>
      <w:r w:rsidRPr="00327AF9">
        <w:rPr>
          <w:rFonts w:cs="Open Sans"/>
        </w:rPr>
        <w:t>4</w:t>
      </w:r>
      <w:r>
        <w:rPr>
          <w:rFonts w:cs="Open Sans"/>
        </w:rPr>
        <w:t xml:space="preserve">. </w:t>
      </w:r>
    </w:p>
  </w:endnote>
  <w:endnote w:id="521">
    <w:p w:rsidRPr="000D39F8" w:rsidR="00810FD7" w:rsidP="00810FD7" w:rsidRDefault="00810FD7" w14:paraId="3065CCC3" w14:textId="77777777">
      <w:pPr>
        <w:pStyle w:val="EndnoteText"/>
        <w:rPr>
          <w:rFonts w:ascii="Arial" w:hAnsi="Arial" w:cs="Arial"/>
        </w:rPr>
      </w:pPr>
      <w:r w:rsidRPr="00327AF9">
        <w:rPr>
          <w:rStyle w:val="EndnoteReference"/>
          <w:rFonts w:cs="Open Sans"/>
        </w:rPr>
        <w:endnoteRef/>
      </w:r>
      <w:r w:rsidRPr="00327AF9">
        <w:rPr>
          <w:rFonts w:cs="Open Sans"/>
        </w:rPr>
        <w:t xml:space="preserve"> </w:t>
      </w:r>
      <w:r>
        <w:rPr>
          <w:rFonts w:cs="Open Sans"/>
        </w:rPr>
        <w:t>Submission</w:t>
      </w:r>
      <w:r w:rsidRPr="00327AF9">
        <w:rPr>
          <w:rFonts w:cs="Open Sans"/>
        </w:rPr>
        <w:t xml:space="preserve"> 36</w:t>
      </w:r>
      <w:r>
        <w:rPr>
          <w:rFonts w:cs="Open Sans"/>
        </w:rPr>
        <w:t>,</w:t>
      </w:r>
      <w:r w:rsidRPr="00C43D1E">
        <w:rPr>
          <w:i/>
        </w:rPr>
        <w:t xml:space="preserve"> </w:t>
      </w:r>
      <w:r>
        <w:rPr>
          <w:i/>
          <w:iCs/>
        </w:rPr>
        <w:t>Intersex Inquiry,</w:t>
      </w:r>
      <w:r>
        <w:rPr>
          <w:rFonts w:cs="Open Sans"/>
        </w:rPr>
        <w:t xml:space="preserve"> </w:t>
      </w:r>
      <w:r w:rsidRPr="00327AF9">
        <w:rPr>
          <w:rFonts w:cs="Open Sans"/>
        </w:rPr>
        <w:t>22</w:t>
      </w:r>
      <w:r>
        <w:rPr>
          <w:rFonts w:cs="Open Sans"/>
        </w:rPr>
        <w:t>;</w:t>
      </w:r>
      <w:r w:rsidRPr="00327AF9">
        <w:rPr>
          <w:rFonts w:cs="Open Sans"/>
        </w:rPr>
        <w:t xml:space="preserve"> </w:t>
      </w:r>
      <w:r>
        <w:rPr>
          <w:rFonts w:cs="Open Sans"/>
        </w:rPr>
        <w:t xml:space="preserve">Submission </w:t>
      </w:r>
      <w:r w:rsidRPr="00327AF9">
        <w:rPr>
          <w:rFonts w:cs="Open Sans"/>
        </w:rPr>
        <w:t>25</w:t>
      </w:r>
      <w:r>
        <w:rPr>
          <w:rFonts w:cs="Open Sans"/>
        </w:rPr>
        <w:t>,</w:t>
      </w:r>
      <w:r w:rsidRPr="00C43D1E">
        <w:rPr>
          <w:i/>
        </w:rPr>
        <w:t xml:space="preserve"> </w:t>
      </w:r>
      <w:r>
        <w:rPr>
          <w:i/>
          <w:iCs/>
        </w:rPr>
        <w:t>Intersex Inquiry,</w:t>
      </w:r>
      <w:r>
        <w:rPr>
          <w:rFonts w:cs="Open Sans"/>
        </w:rPr>
        <w:t xml:space="preserve"> </w:t>
      </w:r>
      <w:r w:rsidRPr="00327AF9">
        <w:rPr>
          <w:rFonts w:cs="Open Sans"/>
        </w:rPr>
        <w:t>4</w:t>
      </w:r>
      <w:r>
        <w:rPr>
          <w:rFonts w:cs="Open Sans"/>
        </w:rPr>
        <w:t>; Human Rights Law Centre</w:t>
      </w:r>
      <w:r w:rsidRPr="00327AF9">
        <w:rPr>
          <w:rFonts w:cs="Open Sans"/>
        </w:rPr>
        <w:t xml:space="preserve"> </w:t>
      </w:r>
      <w:r>
        <w:rPr>
          <w:rFonts w:cs="Open Sans"/>
        </w:rPr>
        <w:t xml:space="preserve">Submission </w:t>
      </w:r>
      <w:r w:rsidRPr="00327AF9">
        <w:rPr>
          <w:rFonts w:cs="Open Sans"/>
        </w:rPr>
        <w:t>71</w:t>
      </w:r>
      <w:r>
        <w:rPr>
          <w:rFonts w:cs="Open Sans"/>
        </w:rPr>
        <w:t xml:space="preserve">, </w:t>
      </w:r>
      <w:r>
        <w:rPr>
          <w:i/>
          <w:iCs/>
        </w:rPr>
        <w:t>Intersex Inquiry,</w:t>
      </w:r>
      <w:r>
        <w:t xml:space="preserve"> </w:t>
      </w:r>
      <w:r w:rsidRPr="00327AF9">
        <w:rPr>
          <w:rFonts w:cs="Open Sans"/>
        </w:rPr>
        <w:t>14</w:t>
      </w:r>
      <w:r>
        <w:rPr>
          <w:rFonts w:cs="Open Sans"/>
        </w:rPr>
        <w:t xml:space="preserve">. </w:t>
      </w:r>
    </w:p>
  </w:endnote>
  <w:endnote w:id="522">
    <w:p w:rsidRPr="00327AF9" w:rsidR="006D3FC4" w:rsidP="006D3FC4" w:rsidRDefault="006D3FC4" w14:paraId="7AFB12B7" w14:textId="77777777">
      <w:pPr>
        <w:pStyle w:val="EndnoteText"/>
        <w:rPr>
          <w:rFonts w:cs="Open Sans"/>
        </w:rPr>
      </w:pPr>
      <w:r w:rsidRPr="000D39F8">
        <w:rPr>
          <w:rStyle w:val="EndnoteReference"/>
          <w:rFonts w:ascii="Arial" w:hAnsi="Arial" w:cs="Arial"/>
        </w:rPr>
        <w:endnoteRef/>
      </w:r>
      <w:r w:rsidRPr="000D39F8">
        <w:rPr>
          <w:rFonts w:ascii="Arial" w:hAnsi="Arial" w:cs="Arial"/>
        </w:rPr>
        <w:t xml:space="preserve"> </w:t>
      </w:r>
      <w:r w:rsidRPr="00327AF9">
        <w:rPr>
          <w:rFonts w:cs="Open Sans"/>
        </w:rPr>
        <w:t>Submission 36,</w:t>
      </w:r>
      <w:r w:rsidRPr="00C71C5A">
        <w:rPr>
          <w:i/>
        </w:rPr>
        <w:t xml:space="preserve"> </w:t>
      </w:r>
      <w:r>
        <w:rPr>
          <w:i/>
          <w:iCs/>
        </w:rPr>
        <w:t>Intersex Inquiry,</w:t>
      </w:r>
      <w:r>
        <w:t xml:space="preserve"> </w:t>
      </w:r>
      <w:r w:rsidRPr="00327AF9">
        <w:rPr>
          <w:rFonts w:cs="Open Sans"/>
        </w:rPr>
        <w:t>23</w:t>
      </w:r>
      <w:r>
        <w:rPr>
          <w:rFonts w:cs="Open Sans"/>
        </w:rPr>
        <w:t xml:space="preserve">; </w:t>
      </w:r>
      <w:r w:rsidRPr="00327AF9">
        <w:rPr>
          <w:rFonts w:cs="Open Sans"/>
        </w:rPr>
        <w:t xml:space="preserve">Submission </w:t>
      </w:r>
      <w:r>
        <w:rPr>
          <w:rFonts w:cs="Open Sans"/>
        </w:rPr>
        <w:t xml:space="preserve">32, </w:t>
      </w:r>
      <w:r w:rsidRPr="00327AF9">
        <w:rPr>
          <w:rFonts w:cs="Open Sans"/>
        </w:rPr>
        <w:t xml:space="preserve">9; </w:t>
      </w:r>
      <w:r>
        <w:rPr>
          <w:rFonts w:cs="Open Sans"/>
        </w:rPr>
        <w:t xml:space="preserve">Submission </w:t>
      </w:r>
      <w:r w:rsidRPr="00327AF9">
        <w:rPr>
          <w:rFonts w:cs="Open Sans"/>
        </w:rPr>
        <w:t>54</w:t>
      </w:r>
      <w:r>
        <w:rPr>
          <w:rFonts w:cs="Open Sans"/>
        </w:rPr>
        <w:t xml:space="preserve">, </w:t>
      </w:r>
      <w:r>
        <w:rPr>
          <w:i/>
          <w:iCs/>
        </w:rPr>
        <w:t>Intersex Inquiry,</w:t>
      </w:r>
      <w:r>
        <w:t xml:space="preserve"> </w:t>
      </w:r>
      <w:r w:rsidRPr="00327AF9">
        <w:rPr>
          <w:rFonts w:cs="Open Sans"/>
        </w:rPr>
        <w:t>7</w:t>
      </w:r>
      <w:r>
        <w:rPr>
          <w:rFonts w:cs="Open Sans"/>
        </w:rPr>
        <w:t>;</w:t>
      </w:r>
      <w:r w:rsidRPr="00327AF9">
        <w:rPr>
          <w:rFonts w:cs="Open Sans"/>
        </w:rPr>
        <w:t xml:space="preserve"> </w:t>
      </w:r>
      <w:r>
        <w:rPr>
          <w:rFonts w:cs="Open Sans"/>
        </w:rPr>
        <w:t xml:space="preserve">Submission </w:t>
      </w:r>
      <w:r w:rsidRPr="00327AF9">
        <w:rPr>
          <w:rFonts w:cs="Open Sans"/>
        </w:rPr>
        <w:t>65</w:t>
      </w:r>
      <w:r>
        <w:rPr>
          <w:rFonts w:cs="Open Sans"/>
        </w:rPr>
        <w:t xml:space="preserve">, </w:t>
      </w:r>
      <w:r>
        <w:rPr>
          <w:i/>
          <w:iCs/>
        </w:rPr>
        <w:t>Intersex Inquiry,</w:t>
      </w:r>
      <w:r>
        <w:t xml:space="preserve"> </w:t>
      </w:r>
      <w:r w:rsidRPr="00327AF9">
        <w:rPr>
          <w:rFonts w:cs="Open Sans"/>
        </w:rPr>
        <w:t>3-4</w:t>
      </w:r>
      <w:r>
        <w:rPr>
          <w:rFonts w:cs="Open Sans"/>
        </w:rPr>
        <w:t xml:space="preserve">. </w:t>
      </w:r>
    </w:p>
  </w:endnote>
  <w:endnote w:id="523">
    <w:p w:rsidRPr="000D39F8" w:rsidR="006D3FC4" w:rsidP="006D3FC4" w:rsidRDefault="006D3FC4" w14:paraId="0D09F0D8" w14:textId="77777777">
      <w:pPr>
        <w:pStyle w:val="EndnoteText"/>
        <w:rPr>
          <w:rFonts w:ascii="Arial" w:hAnsi="Arial" w:cs="Arial"/>
        </w:rPr>
      </w:pPr>
      <w:r w:rsidRPr="00327AF9">
        <w:rPr>
          <w:rStyle w:val="EndnoteReference"/>
          <w:rFonts w:cs="Open Sans"/>
        </w:rPr>
        <w:endnoteRef/>
      </w:r>
      <w:r w:rsidRPr="00327AF9">
        <w:rPr>
          <w:rFonts w:cs="Open Sans"/>
        </w:rPr>
        <w:t xml:space="preserve"> </w:t>
      </w:r>
      <w:r>
        <w:rPr>
          <w:rFonts w:cs="Open Sans"/>
        </w:rPr>
        <w:t>Submission</w:t>
      </w:r>
      <w:r w:rsidRPr="00327AF9">
        <w:rPr>
          <w:rFonts w:cs="Open Sans"/>
        </w:rPr>
        <w:t xml:space="preserve"> 36</w:t>
      </w:r>
      <w:r>
        <w:rPr>
          <w:rFonts w:cs="Open Sans"/>
        </w:rPr>
        <w:t xml:space="preserve">, </w:t>
      </w:r>
      <w:r>
        <w:rPr>
          <w:i/>
          <w:iCs/>
        </w:rPr>
        <w:t>Intersex Inquiry,</w:t>
      </w:r>
      <w:r>
        <w:t xml:space="preserve"> </w:t>
      </w:r>
      <w:r w:rsidRPr="00327AF9">
        <w:rPr>
          <w:rFonts w:cs="Open Sans"/>
        </w:rPr>
        <w:t>22</w:t>
      </w:r>
      <w:r>
        <w:rPr>
          <w:rFonts w:cs="Open Sans"/>
        </w:rPr>
        <w:t>;</w:t>
      </w:r>
      <w:r w:rsidRPr="00327AF9">
        <w:rPr>
          <w:rFonts w:cs="Open Sans"/>
        </w:rPr>
        <w:t xml:space="preserve"> </w:t>
      </w:r>
      <w:r>
        <w:rPr>
          <w:rFonts w:cs="Open Sans"/>
        </w:rPr>
        <w:t xml:space="preserve">Submission </w:t>
      </w:r>
      <w:r w:rsidRPr="00327AF9">
        <w:rPr>
          <w:rFonts w:cs="Open Sans"/>
        </w:rPr>
        <w:t>25</w:t>
      </w:r>
      <w:r>
        <w:rPr>
          <w:rFonts w:cs="Open Sans"/>
        </w:rPr>
        <w:t xml:space="preserve">, </w:t>
      </w:r>
      <w:r>
        <w:rPr>
          <w:i/>
          <w:iCs/>
        </w:rPr>
        <w:t>Intersex Inquiry,</w:t>
      </w:r>
      <w:r>
        <w:t xml:space="preserve"> </w:t>
      </w:r>
      <w:r w:rsidRPr="00327AF9">
        <w:rPr>
          <w:rFonts w:cs="Open Sans"/>
        </w:rPr>
        <w:t>4</w:t>
      </w:r>
      <w:r>
        <w:rPr>
          <w:rFonts w:cs="Open Sans"/>
        </w:rPr>
        <w:t>; Human Rights Law Centre</w:t>
      </w:r>
      <w:r w:rsidRPr="00327AF9">
        <w:rPr>
          <w:rFonts w:cs="Open Sans"/>
        </w:rPr>
        <w:t xml:space="preserve"> </w:t>
      </w:r>
      <w:r>
        <w:rPr>
          <w:rFonts w:cs="Open Sans"/>
        </w:rPr>
        <w:t xml:space="preserve">Submission </w:t>
      </w:r>
      <w:r w:rsidRPr="00327AF9">
        <w:rPr>
          <w:rFonts w:cs="Open Sans"/>
        </w:rPr>
        <w:t>71</w:t>
      </w:r>
      <w:r>
        <w:rPr>
          <w:rFonts w:cs="Open Sans"/>
        </w:rPr>
        <w:t xml:space="preserve">, </w:t>
      </w:r>
      <w:r>
        <w:rPr>
          <w:i/>
          <w:iCs/>
        </w:rPr>
        <w:t>Intersex Inquiry,</w:t>
      </w:r>
      <w:r>
        <w:t xml:space="preserve"> </w:t>
      </w:r>
      <w:r w:rsidRPr="00327AF9">
        <w:rPr>
          <w:rFonts w:cs="Open Sans"/>
        </w:rPr>
        <w:t>14</w:t>
      </w:r>
      <w:r>
        <w:rPr>
          <w:rFonts w:cs="Open Sans"/>
        </w:rPr>
        <w:t xml:space="preserve">. </w:t>
      </w:r>
    </w:p>
  </w:endnote>
  <w:endnote w:id="524">
    <w:p w:rsidRPr="00397BFF" w:rsidR="00810FD7" w:rsidP="00810FD7" w:rsidRDefault="00810FD7" w14:paraId="4C6D301A" w14:textId="77777777">
      <w:pPr>
        <w:pStyle w:val="EndnoteText"/>
      </w:pPr>
      <w:r>
        <w:rPr>
          <w:rStyle w:val="EndnoteReference"/>
        </w:rPr>
        <w:endnoteRef/>
      </w:r>
      <w:r>
        <w:t xml:space="preserve"> </w:t>
      </w:r>
      <w:r>
        <w:rPr>
          <w:rFonts w:cs="Open Sans"/>
        </w:rPr>
        <w:t xml:space="preserve">National Medical Health and Research Council, </w:t>
      </w:r>
      <w:r w:rsidRPr="001C3404">
        <w:rPr>
          <w:rFonts w:cs="Open Sans"/>
          <w:i/>
          <w:iCs/>
        </w:rPr>
        <w:t>2016 NHMRC Standards for Guidelines</w:t>
      </w:r>
      <w:r>
        <w:rPr>
          <w:rFonts w:cs="Open Sans"/>
        </w:rPr>
        <w:t>,</w:t>
      </w:r>
      <w:r w:rsidRPr="001C3404">
        <w:rPr>
          <w:rFonts w:cs="Open Sans"/>
        </w:rPr>
        <w:t xml:space="preserve"> </w:t>
      </w:r>
      <w:r>
        <w:rPr>
          <w:rFonts w:cs="Open Sans"/>
        </w:rPr>
        <w:t>&lt;</w:t>
      </w:r>
      <w:hyperlink w:history="1" r:id="rId51">
        <w:r w:rsidRPr="00397BFF">
          <w:rPr>
            <w:rStyle w:val="Hyperlink"/>
            <w:rFonts w:cs="Open Sans"/>
            <w:u w:val="none"/>
          </w:rPr>
          <w:t>https://www.nhmrc.gov.au/guidelinesforguidelines/standards</w:t>
        </w:r>
      </w:hyperlink>
      <w:r w:rsidRPr="00397BFF">
        <w:rPr>
          <w:rFonts w:cs="Open Sans"/>
        </w:rPr>
        <w:t>&gt;.</w:t>
      </w:r>
    </w:p>
  </w:endnote>
  <w:endnote w:id="525">
    <w:p w:rsidRPr="00397BFF" w:rsidR="00810FD7" w:rsidP="00810FD7" w:rsidRDefault="00810FD7" w14:paraId="13DB386E" w14:textId="77777777">
      <w:pPr>
        <w:pStyle w:val="EndnoteText"/>
        <w:rPr>
          <w:lang w:val="en-US"/>
        </w:rPr>
      </w:pPr>
      <w:r w:rsidRPr="00397BFF">
        <w:rPr>
          <w:rStyle w:val="EndnoteReference"/>
        </w:rPr>
        <w:endnoteRef/>
      </w:r>
      <w:r w:rsidRPr="00397BFF">
        <w:t xml:space="preserve"> </w:t>
      </w:r>
      <w:r w:rsidRPr="00397BFF">
        <w:rPr>
          <w:rFonts w:cs="Open Sans"/>
        </w:rPr>
        <w:t xml:space="preserve">National Medical Health and Research Council, </w:t>
      </w:r>
      <w:r w:rsidRPr="00397BFF">
        <w:rPr>
          <w:i/>
          <w:iCs/>
        </w:rPr>
        <w:t>Cons</w:t>
      </w:r>
      <w:r w:rsidRPr="008F2543">
        <w:rPr>
          <w:i/>
          <w:iCs/>
        </w:rPr>
        <w:t>umer involvement</w:t>
      </w:r>
      <w:r w:rsidRPr="00066A84">
        <w:t xml:space="preserve"> </w:t>
      </w:r>
      <w:r>
        <w:t>&lt;</w:t>
      </w:r>
      <w:hyperlink w:history="1" r:id="rId52">
        <w:r w:rsidRPr="00397BFF">
          <w:rPr>
            <w:rStyle w:val="Hyperlink"/>
            <w:u w:val="none"/>
          </w:rPr>
          <w:t>https://www.nhmrc.gov.au/guidelinesforguidelines/plan/consumer-involvement</w:t>
        </w:r>
      </w:hyperlink>
      <w:r w:rsidRPr="00397BFF">
        <w:t>&gt;.</w:t>
      </w:r>
    </w:p>
  </w:endnote>
  <w:endnote w:id="526">
    <w:p w:rsidRPr="00A60F5D" w:rsidR="00810FD7" w:rsidP="00810FD7" w:rsidRDefault="00810FD7" w14:paraId="5C10856A" w14:textId="77777777">
      <w:pPr>
        <w:pStyle w:val="EndnoteText"/>
        <w:rPr>
          <w:color w:val="4472C4" w:themeColor="accent5"/>
          <w:lang w:val="en-US"/>
        </w:rPr>
      </w:pPr>
      <w:r w:rsidRPr="00397BFF">
        <w:rPr>
          <w:rStyle w:val="EndnoteReference"/>
        </w:rPr>
        <w:endnoteRef/>
      </w:r>
      <w:r w:rsidRPr="00397BFF">
        <w:t xml:space="preserve"> National Health and Medical Research Council, </w:t>
      </w:r>
      <w:r w:rsidRPr="00397BFF">
        <w:rPr>
          <w:i/>
          <w:iCs/>
        </w:rPr>
        <w:t>Guidelines</w:t>
      </w:r>
      <w:r w:rsidRPr="00397BFF">
        <w:t xml:space="preserve">, </w:t>
      </w:r>
      <w:r w:rsidRPr="00397BFF">
        <w:rPr>
          <w:color w:val="4472C4" w:themeColor="accent5"/>
        </w:rPr>
        <w:t>&lt;</w:t>
      </w:r>
      <w:hyperlink w:history="1" r:id="rId53">
        <w:r w:rsidRPr="00397BFF">
          <w:rPr>
            <w:rStyle w:val="Hyperlink"/>
            <w:color w:val="4472C4" w:themeColor="accent5"/>
            <w:u w:val="none"/>
          </w:rPr>
          <w:t>https://www.nhmrc.gov.au/guidelines</w:t>
        </w:r>
      </w:hyperlink>
      <w:r w:rsidRPr="00A60F5D">
        <w:rPr>
          <w:color w:val="4472C4" w:themeColor="accent5"/>
        </w:rPr>
        <w:t xml:space="preserve">&gt;. </w:t>
      </w:r>
    </w:p>
  </w:endnote>
  <w:endnote w:id="527">
    <w:p w:rsidR="00810FD7" w:rsidP="00810FD7" w:rsidRDefault="00810FD7" w14:paraId="00DB08DB" w14:textId="77777777">
      <w:pPr>
        <w:pStyle w:val="EndnoteText"/>
      </w:pPr>
      <w:r>
        <w:rPr>
          <w:rStyle w:val="EndnoteReference"/>
        </w:rPr>
        <w:endnoteRef/>
      </w:r>
      <w:r>
        <w:t xml:space="preserve"> Submission 36,</w:t>
      </w:r>
      <w:r w:rsidRPr="00371212">
        <w:rPr>
          <w:i/>
        </w:rPr>
        <w:t xml:space="preserve"> </w:t>
      </w:r>
      <w:r>
        <w:rPr>
          <w:i/>
          <w:iCs/>
        </w:rPr>
        <w:t>Intersex Inquiry,</w:t>
      </w:r>
      <w:r>
        <w:t xml:space="preserve"> 22; Submission 68,</w:t>
      </w:r>
      <w:r w:rsidRPr="00371212">
        <w:rPr>
          <w:i/>
        </w:rPr>
        <w:t xml:space="preserve"> </w:t>
      </w:r>
      <w:r>
        <w:rPr>
          <w:i/>
          <w:iCs/>
        </w:rPr>
        <w:t>Intersex Inquiry,</w:t>
      </w:r>
      <w:r>
        <w:t xml:space="preserve"> 2. </w:t>
      </w:r>
    </w:p>
  </w:endnote>
  <w:endnote w:id="528">
    <w:p w:rsidRPr="00AE4541" w:rsidR="00BF655A" w:rsidP="00BF655A" w:rsidRDefault="00BF655A" w14:paraId="5F0150DA" w14:textId="77777777">
      <w:pPr>
        <w:pStyle w:val="EndnoteText"/>
      </w:pPr>
      <w:r w:rsidRPr="00AE4541">
        <w:rPr>
          <w:rStyle w:val="EndnoteReference"/>
        </w:rPr>
        <w:endnoteRef/>
      </w:r>
      <w:r w:rsidRPr="00AE4541">
        <w:t xml:space="preserve"> </w:t>
      </w:r>
      <w:r w:rsidRPr="00AE4541">
        <w:rPr>
          <w:i/>
          <w:iCs/>
        </w:rPr>
        <w:t>Department of Health and Community Services (NT) v JWB and SMB</w:t>
      </w:r>
      <w:r w:rsidRPr="00AE4541">
        <w:t xml:space="preserve"> (</w:t>
      </w:r>
      <w:r w:rsidRPr="00AE4541">
        <w:rPr>
          <w:i/>
          <w:iCs/>
        </w:rPr>
        <w:t>Marion</w:t>
      </w:r>
      <w:r w:rsidRPr="00AE4541">
        <w:t>’</w:t>
      </w:r>
      <w:r>
        <w:t xml:space="preserve">s </w:t>
      </w:r>
      <w:r w:rsidRPr="00A601FF">
        <w:rPr>
          <w:i/>
          <w:iCs/>
        </w:rPr>
        <w:t>case</w:t>
      </w:r>
      <w:r w:rsidRPr="00AE4541">
        <w:t xml:space="preserve">) (1992) 175 CLR 218. </w:t>
      </w:r>
    </w:p>
  </w:endnote>
  <w:endnote w:id="529">
    <w:p w:rsidRPr="00E374EF" w:rsidR="00E374EF" w:rsidRDefault="00E374EF" w14:paraId="1D288A96" w14:textId="212DF898">
      <w:pPr>
        <w:pStyle w:val="EndnoteText"/>
        <w:rPr>
          <w:lang w:val="en-US"/>
        </w:rPr>
      </w:pPr>
      <w:r>
        <w:rPr>
          <w:rStyle w:val="EndnoteReference"/>
        </w:rPr>
        <w:endnoteRef/>
      </w:r>
      <w:r>
        <w:t xml:space="preserve"> </w:t>
      </w:r>
      <w:r w:rsidRPr="00AE4541" w:rsidR="007C2DE9">
        <w:rPr>
          <w:i/>
          <w:iCs/>
        </w:rPr>
        <w:t>Marion’s Case</w:t>
      </w:r>
      <w:r w:rsidR="007C2DE9">
        <w:t xml:space="preserve"> at 250</w:t>
      </w:r>
      <w:r w:rsidRPr="00AE4541" w:rsidR="007C2DE9">
        <w:t xml:space="preserve"> </w:t>
      </w:r>
      <w:r w:rsidR="007C2DE9">
        <w:t>(</w:t>
      </w:r>
      <w:r w:rsidRPr="00AE4541" w:rsidR="007C2DE9">
        <w:t>Mason CJ, Dawson, Toohey and Gaudron JJ</w:t>
      </w:r>
      <w:r w:rsidR="007C2DE9">
        <w:t>).</w:t>
      </w:r>
    </w:p>
  </w:endnote>
  <w:endnote w:id="530">
    <w:p w:rsidRPr="00E565C8" w:rsidR="00E565C8" w:rsidRDefault="00E565C8" w14:paraId="6E95C602" w14:textId="2012C62E">
      <w:pPr>
        <w:pStyle w:val="EndnoteText"/>
        <w:rPr>
          <w:lang w:val="en-US"/>
        </w:rPr>
      </w:pPr>
      <w:r>
        <w:rPr>
          <w:rStyle w:val="EndnoteReference"/>
        </w:rPr>
        <w:endnoteRef/>
      </w:r>
      <w:r>
        <w:t xml:space="preserve"> </w:t>
      </w:r>
      <w:r w:rsidRPr="00AE4541" w:rsidR="00755481">
        <w:rPr>
          <w:i/>
          <w:iCs/>
        </w:rPr>
        <w:t>Marion’s Case</w:t>
      </w:r>
      <w:r w:rsidR="00755481">
        <w:t xml:space="preserve"> at 269 (Brennan J).</w:t>
      </w:r>
    </w:p>
  </w:endnote>
  <w:endnote w:id="531">
    <w:p w:rsidRPr="00330183" w:rsidR="00330183" w:rsidRDefault="00330183" w14:paraId="61C8BF59" w14:textId="18EF300B">
      <w:pPr>
        <w:pStyle w:val="EndnoteText"/>
        <w:rPr>
          <w:lang w:val="en-US"/>
        </w:rPr>
      </w:pPr>
      <w:r>
        <w:rPr>
          <w:rStyle w:val="EndnoteReference"/>
        </w:rPr>
        <w:endnoteRef/>
      </w:r>
      <w:r>
        <w:t xml:space="preserve"> </w:t>
      </w:r>
      <w:r w:rsidRPr="000407D0" w:rsidR="00E02820">
        <w:rPr>
          <w:i/>
          <w:iCs/>
        </w:rPr>
        <w:t>Re Kelvin</w:t>
      </w:r>
      <w:r w:rsidR="00E02820">
        <w:t xml:space="preserve"> [2017] FamCAFC 258 at [132]–[136].</w:t>
      </w:r>
    </w:p>
  </w:endnote>
  <w:endnote w:id="532">
    <w:p w:rsidRPr="00C65878" w:rsidR="00740A25" w:rsidP="00740A25" w:rsidRDefault="00740A25" w14:paraId="46440D2D" w14:textId="77777777">
      <w:pPr>
        <w:pStyle w:val="EndnoteText"/>
        <w:rPr>
          <w:lang w:val="en-US"/>
        </w:rPr>
      </w:pPr>
      <w:r w:rsidRPr="00C65878">
        <w:rPr>
          <w:rStyle w:val="EndnoteReference"/>
        </w:rPr>
        <w:endnoteRef/>
      </w:r>
      <w:r w:rsidRPr="00C65878">
        <w:t xml:space="preserve"> </w:t>
      </w:r>
      <w:r w:rsidRPr="00C65878">
        <w:rPr>
          <w:i/>
          <w:iCs/>
        </w:rPr>
        <w:t>Secretary, Department of Health and Community Services v JWB and SMB</w:t>
      </w:r>
      <w:r w:rsidRPr="00C65878">
        <w:t xml:space="preserve"> (1992) 175 CLR 218, </w:t>
      </w:r>
      <w:r w:rsidRPr="00C65878">
        <w:rPr>
          <w:lang w:val="en-US"/>
        </w:rPr>
        <w:t>250 (Mason CJ, Dawson, Toohey and Gaudron JJ).</w:t>
      </w:r>
    </w:p>
  </w:endnote>
  <w:endnote w:id="533">
    <w:p w:rsidRPr="00C65878" w:rsidR="00740A25" w:rsidP="00740A25" w:rsidRDefault="00740A25" w14:paraId="3BBA510A" w14:textId="77777777">
      <w:pPr>
        <w:pStyle w:val="EndnoteText"/>
      </w:pPr>
      <w:r w:rsidRPr="00C65878">
        <w:rPr>
          <w:rStyle w:val="EndnoteReference"/>
        </w:rPr>
        <w:endnoteRef/>
      </w:r>
      <w:r w:rsidRPr="00C65878">
        <w:t xml:space="preserve"> Some medical interventions for people born with variations in sex characteristics may fall within these state and territory laws.</w:t>
      </w:r>
    </w:p>
  </w:endnote>
  <w:endnote w:id="534">
    <w:p w:rsidR="00740A25" w:rsidP="00740A25" w:rsidRDefault="00740A25" w14:paraId="75C3B05D" w14:textId="77777777">
      <w:pPr>
        <w:pStyle w:val="EndnoteText"/>
      </w:pPr>
      <w:r w:rsidRPr="00C65878">
        <w:rPr>
          <w:rStyle w:val="EndnoteReference"/>
        </w:rPr>
        <w:endnoteRef/>
      </w:r>
      <w:r w:rsidRPr="00C65878">
        <w:t xml:space="preserve"> See, eg, </w:t>
      </w:r>
      <w:r w:rsidRPr="792F2983">
        <w:rPr>
          <w:i/>
          <w:iCs/>
        </w:rPr>
        <w:t>Guardianship Act 1987</w:t>
      </w:r>
      <w:r w:rsidRPr="00C65878">
        <w:t xml:space="preserve"> (NSW) s 33</w:t>
      </w:r>
      <w:r>
        <w:t>,</w:t>
      </w:r>
      <w:r w:rsidRPr="00C65878">
        <w:t xml:space="preserve"> definition of ‘special treatment’</w:t>
      </w:r>
      <w:r>
        <w:t>; ss</w:t>
      </w:r>
      <w:r w:rsidRPr="00C65878">
        <w:t xml:space="preserve"> 44, 45. </w:t>
      </w:r>
    </w:p>
  </w:endnote>
  <w:endnote w:id="535">
    <w:p w:rsidRPr="005D67D7" w:rsidR="00740A25" w:rsidP="00740A25" w:rsidRDefault="00740A25" w14:paraId="6F51E7C7" w14:textId="77777777">
      <w:pPr>
        <w:pStyle w:val="EndnoteText"/>
        <w:rPr>
          <w:lang w:val="en-US"/>
        </w:rPr>
      </w:pPr>
      <w:r w:rsidRPr="00417EB4">
        <w:rPr>
          <w:rStyle w:val="EndnoteReference"/>
        </w:rPr>
        <w:endnoteRef/>
      </w:r>
      <w:r w:rsidRPr="00417EB4">
        <w:t xml:space="preserve"> </w:t>
      </w:r>
      <w:r w:rsidRPr="00BA5BD7">
        <w:rPr>
          <w:rFonts w:cs="Open Sans"/>
          <w:i/>
          <w:iCs/>
        </w:rPr>
        <w:t xml:space="preserve">Re Carla (Medical </w:t>
      </w:r>
      <w:r>
        <w:rPr>
          <w:rFonts w:cs="Open Sans"/>
          <w:i/>
          <w:iCs/>
        </w:rPr>
        <w:t>P</w:t>
      </w:r>
      <w:r w:rsidRPr="00BA5BD7">
        <w:rPr>
          <w:rFonts w:cs="Open Sans"/>
          <w:i/>
          <w:iCs/>
        </w:rPr>
        <w:t>rocedure)</w:t>
      </w:r>
      <w:r w:rsidRPr="00417EB4">
        <w:rPr>
          <w:rFonts w:cs="Open Sans"/>
        </w:rPr>
        <w:t xml:space="preserve"> [2016] FamCA 7</w:t>
      </w:r>
      <w:r>
        <w:rPr>
          <w:rFonts w:cs="Open Sans"/>
        </w:rPr>
        <w:t>.</w:t>
      </w:r>
    </w:p>
  </w:endnote>
  <w:endnote w:id="536">
    <w:p w:rsidRPr="0057756C" w:rsidR="00740A25" w:rsidP="00740A25" w:rsidRDefault="00740A25" w14:paraId="3435B135" w14:textId="77777777">
      <w:pPr>
        <w:pStyle w:val="EndnoteText"/>
        <w:rPr>
          <w:lang w:val="en-US"/>
        </w:rPr>
      </w:pPr>
      <w:r>
        <w:rPr>
          <w:rStyle w:val="EndnoteReference"/>
        </w:rPr>
        <w:endnoteRef/>
      </w:r>
      <w:r>
        <w:t xml:space="preserve"> The concept of </w:t>
      </w:r>
      <w:r w:rsidRPr="0057756C">
        <w:rPr>
          <w:i/>
          <w:iCs/>
        </w:rPr>
        <w:t>Gillick</w:t>
      </w:r>
      <w:r>
        <w:t xml:space="preserve"> competence is discussed in Chapter 4 – Consent and decision making.</w:t>
      </w:r>
    </w:p>
  </w:endnote>
  <w:endnote w:id="537">
    <w:p w:rsidRPr="005D67D7" w:rsidR="00740A25" w:rsidP="00740A25" w:rsidRDefault="00740A25" w14:paraId="4C552FB8" w14:textId="77777777">
      <w:pPr>
        <w:pStyle w:val="EndnoteText"/>
        <w:rPr>
          <w:lang w:val="en-US"/>
        </w:rPr>
      </w:pPr>
      <w:r w:rsidRPr="00417EB4">
        <w:rPr>
          <w:rStyle w:val="EndnoteReference"/>
        </w:rPr>
        <w:endnoteRef/>
      </w:r>
      <w:r w:rsidRPr="00417EB4">
        <w:t xml:space="preserve"> </w:t>
      </w:r>
      <w:r w:rsidRPr="009949F6">
        <w:rPr>
          <w:rFonts w:cs="Open Sans"/>
          <w:i/>
          <w:iCs/>
        </w:rPr>
        <w:t>Re Carla</w:t>
      </w:r>
      <w:r w:rsidRPr="00417EB4">
        <w:rPr>
          <w:rFonts w:cs="Open Sans"/>
        </w:rPr>
        <w:t xml:space="preserve"> </w:t>
      </w:r>
      <w:r w:rsidRPr="006F6BB2">
        <w:rPr>
          <w:rFonts w:cs="Open Sans"/>
          <w:i/>
          <w:iCs/>
        </w:rPr>
        <w:t>(Medical Procedure)</w:t>
      </w:r>
      <w:r w:rsidRPr="00417EB4">
        <w:rPr>
          <w:rFonts w:cs="Open Sans"/>
        </w:rPr>
        <w:t xml:space="preserve"> [2016] FamCA 7, </w:t>
      </w:r>
      <w:r w:rsidRPr="00417EB4">
        <w:rPr>
          <w:lang w:val="en-US"/>
        </w:rPr>
        <w:t>[13].</w:t>
      </w:r>
    </w:p>
  </w:endnote>
  <w:endnote w:id="538">
    <w:p w:rsidR="00740A25" w:rsidP="00740A25" w:rsidRDefault="00740A25" w14:paraId="7B147411" w14:textId="77777777">
      <w:pPr>
        <w:pStyle w:val="EndnoteText"/>
      </w:pPr>
      <w:r>
        <w:rPr>
          <w:rStyle w:val="EndnoteReference"/>
        </w:rPr>
        <w:endnoteRef/>
      </w:r>
      <w:r>
        <w:t xml:space="preserve"> The Commission uses female pronouns for Carla to match those used by the Court.</w:t>
      </w:r>
    </w:p>
  </w:endnote>
  <w:endnote w:id="539">
    <w:p w:rsidRPr="00417EB4" w:rsidR="00740A25" w:rsidP="00740A25" w:rsidRDefault="00740A25" w14:paraId="5AB5A24A" w14:textId="77777777">
      <w:pPr>
        <w:pStyle w:val="EndnoteText"/>
      </w:pPr>
      <w:r w:rsidRPr="00417EB4">
        <w:rPr>
          <w:rStyle w:val="EndnoteReference"/>
        </w:rPr>
        <w:endnoteRef/>
      </w:r>
      <w:r w:rsidRPr="00417EB4">
        <w:t xml:space="preserve"> </w:t>
      </w:r>
      <w:r w:rsidRPr="792F2983">
        <w:rPr>
          <w:rFonts w:cs="Open Sans"/>
          <w:i/>
          <w:iCs/>
        </w:rPr>
        <w:t>Re Carla</w:t>
      </w:r>
      <w:r w:rsidRPr="00417EB4">
        <w:rPr>
          <w:rFonts w:cs="Open Sans"/>
        </w:rPr>
        <w:t xml:space="preserve"> </w:t>
      </w:r>
      <w:r w:rsidRPr="792F2983">
        <w:rPr>
          <w:rFonts w:cs="Open Sans"/>
          <w:i/>
          <w:iCs/>
        </w:rPr>
        <w:t>(Medical Procedure)</w:t>
      </w:r>
      <w:r w:rsidRPr="00417EB4">
        <w:rPr>
          <w:rFonts w:cs="Open Sans"/>
        </w:rPr>
        <w:t xml:space="preserve"> [2016] FamCA 7</w:t>
      </w:r>
      <w:r w:rsidRPr="00417EB4">
        <w:t xml:space="preserve">, [3]. </w:t>
      </w:r>
    </w:p>
  </w:endnote>
  <w:endnote w:id="540">
    <w:p w:rsidR="00740A25" w:rsidP="00740A25" w:rsidRDefault="00740A25" w14:paraId="051FE34D" w14:textId="77777777">
      <w:pPr>
        <w:pStyle w:val="EndnoteText"/>
      </w:pPr>
      <w:r>
        <w:rPr>
          <w:rStyle w:val="EndnoteReference"/>
        </w:rPr>
        <w:endnoteRef/>
      </w:r>
      <w:r>
        <w:t xml:space="preserve"> </w:t>
      </w:r>
      <w:r w:rsidRPr="003B191F">
        <w:t xml:space="preserve">The role of an </w:t>
      </w:r>
      <w:r w:rsidRPr="002B51AC">
        <w:rPr>
          <w:i/>
          <w:iCs/>
        </w:rPr>
        <w:t>amicus curiae</w:t>
      </w:r>
      <w:r w:rsidRPr="003B191F">
        <w:t xml:space="preserve"> (‘friend of the court’) is to assist the court ‘by drawing attention to some aspect of the case which might otherwise be overlooked</w:t>
      </w:r>
      <w:r>
        <w:t xml:space="preserve">’: </w:t>
      </w:r>
      <w:r w:rsidRPr="002B51AC">
        <w:rPr>
          <w:i/>
          <w:iCs/>
        </w:rPr>
        <w:t>Bropho v Tickner</w:t>
      </w:r>
      <w:r w:rsidRPr="003B191F">
        <w:t xml:space="preserve"> (1993) 40 FCR 165, 172 (Wilcox J).</w:t>
      </w:r>
    </w:p>
  </w:endnote>
  <w:endnote w:id="541">
    <w:p w:rsidRPr="00417EB4" w:rsidR="00740A25" w:rsidP="00740A25" w:rsidRDefault="00740A25" w14:paraId="335FC276" w14:textId="77777777">
      <w:pPr>
        <w:pStyle w:val="TOC4"/>
        <w:ind w:left="720"/>
        <w:rPr>
          <w:rFonts w:cstheme="minorHAnsi"/>
          <w:sz w:val="20"/>
          <w:szCs w:val="20"/>
        </w:rPr>
      </w:pPr>
      <w:r w:rsidRPr="005D67D7">
        <w:rPr>
          <w:rStyle w:val="EndnoteReference"/>
          <w:rFonts w:cs="Open Sans"/>
          <w:noProof w:val="0"/>
          <w:szCs w:val="20"/>
        </w:rPr>
        <w:endnoteRef/>
      </w:r>
      <w:r w:rsidRPr="005D67D7">
        <w:rPr>
          <w:rStyle w:val="EndnoteReference"/>
          <w:rFonts w:cs="Open Sans"/>
          <w:noProof w:val="0"/>
          <w:szCs w:val="20"/>
        </w:rPr>
        <w:t xml:space="preserve"> </w:t>
      </w:r>
      <w:r w:rsidRPr="009949F6">
        <w:rPr>
          <w:rFonts w:cs="Open Sans"/>
          <w:i/>
          <w:iCs/>
          <w:noProof w:val="0"/>
          <w:sz w:val="20"/>
          <w:szCs w:val="20"/>
        </w:rPr>
        <w:t>Re Carla</w:t>
      </w:r>
      <w:r w:rsidRPr="00417EB4">
        <w:rPr>
          <w:rFonts w:cs="Open Sans"/>
          <w:noProof w:val="0"/>
          <w:sz w:val="20"/>
          <w:szCs w:val="20"/>
        </w:rPr>
        <w:t xml:space="preserve"> </w:t>
      </w:r>
      <w:r w:rsidRPr="00610F0B">
        <w:rPr>
          <w:rFonts w:cs="Open Sans"/>
          <w:i/>
          <w:iCs/>
          <w:noProof w:val="0"/>
          <w:sz w:val="20"/>
          <w:szCs w:val="20"/>
        </w:rPr>
        <w:t>(Medical Procedure)</w:t>
      </w:r>
      <w:r w:rsidRPr="00417EB4">
        <w:rPr>
          <w:rFonts w:cs="Open Sans"/>
          <w:noProof w:val="0"/>
          <w:sz w:val="20"/>
          <w:szCs w:val="20"/>
        </w:rPr>
        <w:t xml:space="preserve"> [2016] FamCA 7, [19].</w:t>
      </w:r>
    </w:p>
  </w:endnote>
  <w:endnote w:id="542">
    <w:p w:rsidRPr="00417EB4" w:rsidR="00740A25" w:rsidP="00740A25" w:rsidRDefault="00740A25" w14:paraId="7BB3F943" w14:textId="77777777">
      <w:pPr>
        <w:pStyle w:val="TOC4"/>
        <w:ind w:left="720"/>
        <w:rPr>
          <w:rFonts w:cstheme="minorHAnsi"/>
          <w:sz w:val="20"/>
          <w:szCs w:val="20"/>
        </w:rPr>
      </w:pPr>
      <w:r w:rsidRPr="005D67D7">
        <w:rPr>
          <w:rStyle w:val="EndnoteReference"/>
          <w:rFonts w:cs="Open Sans"/>
          <w:noProof w:val="0"/>
          <w:szCs w:val="20"/>
        </w:rPr>
        <w:endnoteRef/>
      </w:r>
      <w:r w:rsidRPr="005D67D7">
        <w:rPr>
          <w:rStyle w:val="EndnoteReference"/>
          <w:rFonts w:cs="Open Sans"/>
          <w:noProof w:val="0"/>
          <w:szCs w:val="20"/>
        </w:rPr>
        <w:t xml:space="preserve"> </w:t>
      </w:r>
      <w:r w:rsidRPr="006F6BB2">
        <w:rPr>
          <w:rFonts w:cs="Open Sans"/>
          <w:i/>
          <w:iCs/>
          <w:noProof w:val="0"/>
          <w:sz w:val="20"/>
          <w:szCs w:val="20"/>
        </w:rPr>
        <w:t xml:space="preserve">Re Carla (Medical Procedure) </w:t>
      </w:r>
      <w:r w:rsidRPr="00417EB4">
        <w:rPr>
          <w:rFonts w:cs="Open Sans"/>
          <w:noProof w:val="0"/>
          <w:sz w:val="20"/>
          <w:szCs w:val="20"/>
        </w:rPr>
        <w:t>[2016] FamCA 7, [22].</w:t>
      </w:r>
    </w:p>
  </w:endnote>
  <w:endnote w:id="543">
    <w:p w:rsidRPr="00417EB4" w:rsidR="00740A25" w:rsidP="00740A25" w:rsidRDefault="00740A25" w14:paraId="426E7BB9" w14:textId="77777777">
      <w:pPr>
        <w:pStyle w:val="TOC4"/>
        <w:ind w:left="720"/>
        <w:rPr>
          <w:rFonts w:cstheme="minorHAnsi"/>
          <w:sz w:val="20"/>
          <w:szCs w:val="20"/>
        </w:rPr>
      </w:pPr>
      <w:r w:rsidRPr="005D67D7">
        <w:rPr>
          <w:rStyle w:val="EndnoteReference"/>
          <w:rFonts w:cs="Open Sans"/>
          <w:noProof w:val="0"/>
          <w:szCs w:val="20"/>
        </w:rPr>
        <w:endnoteRef/>
      </w:r>
      <w:r w:rsidRPr="005D67D7">
        <w:rPr>
          <w:rStyle w:val="EndnoteReference"/>
          <w:rFonts w:cs="Open Sans"/>
          <w:noProof w:val="0"/>
          <w:szCs w:val="20"/>
        </w:rPr>
        <w:t xml:space="preserve"> </w:t>
      </w:r>
      <w:r w:rsidRPr="006F6BB2">
        <w:rPr>
          <w:rFonts w:cstheme="minorHAnsi"/>
          <w:i/>
          <w:sz w:val="20"/>
          <w:szCs w:val="20"/>
        </w:rPr>
        <w:t>Re Carla (Medical Procedure)</w:t>
      </w:r>
      <w:r w:rsidRPr="00417EB4">
        <w:rPr>
          <w:rFonts w:cstheme="minorHAnsi"/>
          <w:iCs/>
          <w:sz w:val="20"/>
          <w:szCs w:val="20"/>
        </w:rPr>
        <w:t xml:space="preserve"> [</w:t>
      </w:r>
      <w:r w:rsidRPr="00417EB4">
        <w:rPr>
          <w:rFonts w:cstheme="minorHAnsi"/>
          <w:sz w:val="20"/>
          <w:szCs w:val="20"/>
        </w:rPr>
        <w:t>2016] FamCA 7, [24</w:t>
      </w:r>
      <w:r>
        <w:rPr>
          <w:rFonts w:cstheme="minorHAnsi"/>
          <w:sz w:val="20"/>
          <w:szCs w:val="20"/>
        </w:rPr>
        <w:t>]–[</w:t>
      </w:r>
      <w:r w:rsidRPr="00417EB4">
        <w:rPr>
          <w:rFonts w:cstheme="minorHAnsi"/>
          <w:sz w:val="20"/>
          <w:szCs w:val="20"/>
        </w:rPr>
        <w:t>25].</w:t>
      </w:r>
    </w:p>
  </w:endnote>
  <w:endnote w:id="544">
    <w:p w:rsidRPr="00BE51F4" w:rsidR="00740A25" w:rsidP="00740A25" w:rsidRDefault="00740A25" w14:paraId="238D2FC4" w14:textId="77777777">
      <w:pPr>
        <w:pStyle w:val="EndnoteText"/>
        <w:rPr>
          <w:lang w:val="en-US"/>
        </w:rPr>
      </w:pPr>
      <w:r>
        <w:rPr>
          <w:rStyle w:val="EndnoteReference"/>
        </w:rPr>
        <w:endnoteRef/>
      </w:r>
      <w:r>
        <w:t xml:space="preserve"> IA Hughes et al, ‘Consensus statement on management of intersex disorders’ (2006) 2 </w:t>
      </w:r>
      <w:r w:rsidRPr="284A4336">
        <w:rPr>
          <w:i/>
          <w:iCs/>
        </w:rPr>
        <w:t>Journal of Pediatric Urology</w:t>
      </w:r>
      <w:r>
        <w:rPr>
          <w:lang w:val="en-US"/>
        </w:rPr>
        <w:t xml:space="preserve"> </w:t>
      </w:r>
      <w:r w:rsidRPr="007F5645" w:rsidDel="00BC3D37">
        <w:t>148</w:t>
      </w:r>
      <w:r>
        <w:t>.</w:t>
      </w:r>
    </w:p>
  </w:endnote>
  <w:endnote w:id="545">
    <w:p w:rsidR="00740A25" w:rsidP="00740A25" w:rsidRDefault="00740A25" w14:paraId="7A6E3795" w14:textId="77777777">
      <w:pPr>
        <w:pStyle w:val="EndnoteText"/>
      </w:pPr>
      <w:r>
        <w:rPr>
          <w:rStyle w:val="EndnoteReference"/>
        </w:rPr>
        <w:endnoteRef/>
      </w:r>
      <w:r>
        <w:t xml:space="preserve"> </w:t>
      </w:r>
      <w:r w:rsidRPr="006F6BB2">
        <w:rPr>
          <w:rFonts w:cs="Open Sans"/>
          <w:i/>
          <w:iCs/>
        </w:rPr>
        <w:t xml:space="preserve">Re Carla (Medical Procedure) </w:t>
      </w:r>
      <w:r w:rsidRPr="00417EB4">
        <w:rPr>
          <w:rFonts w:cs="Open Sans"/>
        </w:rPr>
        <w:t>[2016] FamCA 7, [</w:t>
      </w:r>
      <w:r>
        <w:rPr>
          <w:rFonts w:cs="Open Sans"/>
        </w:rPr>
        <w:t>19</w:t>
      </w:r>
      <w:r w:rsidRPr="00417EB4">
        <w:rPr>
          <w:rFonts w:cs="Open Sans"/>
        </w:rPr>
        <w:t>].</w:t>
      </w:r>
    </w:p>
  </w:endnote>
  <w:endnote w:id="546">
    <w:p w:rsidRPr="00DA2838" w:rsidR="00740A25" w:rsidP="00740A25" w:rsidRDefault="00740A25" w14:paraId="715756F9" w14:textId="77777777">
      <w:pPr>
        <w:pStyle w:val="EndnoteText"/>
        <w:rPr>
          <w:lang w:val="en-US"/>
        </w:rPr>
      </w:pPr>
      <w:r>
        <w:rPr>
          <w:rStyle w:val="EndnoteReference"/>
        </w:rPr>
        <w:endnoteRef/>
      </w:r>
      <w:r>
        <w:t xml:space="preserve"> </w:t>
      </w:r>
      <w:r w:rsidRPr="006F6BB2">
        <w:rPr>
          <w:rFonts w:cs="Open Sans"/>
          <w:i/>
          <w:iCs/>
        </w:rPr>
        <w:t xml:space="preserve">Re Carla (Medical Procedure) </w:t>
      </w:r>
      <w:r w:rsidRPr="00417EB4">
        <w:rPr>
          <w:rFonts w:cs="Open Sans"/>
        </w:rPr>
        <w:t>[2016] FamCA 7, [</w:t>
      </w:r>
      <w:r>
        <w:rPr>
          <w:rFonts w:cs="Open Sans"/>
        </w:rPr>
        <w:t>20</w:t>
      </w:r>
      <w:r w:rsidRPr="00417EB4">
        <w:rPr>
          <w:rFonts w:cs="Open Sans"/>
        </w:rPr>
        <w:t>].</w:t>
      </w:r>
    </w:p>
  </w:endnote>
  <w:endnote w:id="547">
    <w:p w:rsidRPr="00417EB4" w:rsidR="00740A25" w:rsidP="00740A25" w:rsidRDefault="00740A25" w14:paraId="3EB0746F" w14:textId="77777777">
      <w:pPr>
        <w:pStyle w:val="EndnoteText"/>
        <w:rPr>
          <w:rFonts w:cstheme="minorHAnsi"/>
        </w:rPr>
      </w:pPr>
      <w:r w:rsidRPr="00417EB4">
        <w:rPr>
          <w:rStyle w:val="EndnoteReference"/>
          <w:rFonts w:cs="Open Sans"/>
        </w:rPr>
        <w:endnoteRef/>
      </w:r>
      <w:r w:rsidRPr="00417EB4">
        <w:rPr>
          <w:rFonts w:cs="Open Sans"/>
        </w:rPr>
        <w:t xml:space="preserve"> </w:t>
      </w:r>
      <w:r>
        <w:rPr>
          <w:rFonts w:cstheme="minorHAnsi"/>
        </w:rPr>
        <w:t>Fiona Kelly and Malcolm K Smith, ‘</w:t>
      </w:r>
      <w:r w:rsidRPr="00D96E00">
        <w:rPr>
          <w:rFonts w:cstheme="minorHAnsi"/>
        </w:rPr>
        <w:t>Should court authorization be required for surgery on intersex</w:t>
      </w:r>
      <w:r>
        <w:rPr>
          <w:rFonts w:cstheme="minorHAnsi"/>
        </w:rPr>
        <w:t xml:space="preserve"> </w:t>
      </w:r>
      <w:r w:rsidRPr="00D96E00">
        <w:rPr>
          <w:rFonts w:cstheme="minorHAnsi"/>
        </w:rPr>
        <w:t>children? A critique of the</w:t>
      </w:r>
      <w:r>
        <w:rPr>
          <w:rFonts w:cstheme="minorHAnsi"/>
        </w:rPr>
        <w:t xml:space="preserve"> </w:t>
      </w:r>
      <w:r w:rsidRPr="00D96E00">
        <w:rPr>
          <w:rFonts w:cstheme="minorHAnsi"/>
        </w:rPr>
        <w:t>Family Court decision in Re Carla</w:t>
      </w:r>
      <w:r>
        <w:rPr>
          <w:rFonts w:cstheme="minorHAnsi"/>
        </w:rPr>
        <w:t xml:space="preserve">’ (2016) 31(2) </w:t>
      </w:r>
      <w:r>
        <w:rPr>
          <w:rFonts w:cstheme="minorHAnsi"/>
          <w:i/>
        </w:rPr>
        <w:t>Australian Journal of Family Law</w:t>
      </w:r>
      <w:r>
        <w:rPr>
          <w:rFonts w:cstheme="minorHAnsi"/>
        </w:rPr>
        <w:t xml:space="preserve"> 118, 122. </w:t>
      </w:r>
    </w:p>
  </w:endnote>
  <w:endnote w:id="548">
    <w:p w:rsidRPr="00D67DE8" w:rsidR="00740A25" w:rsidP="00740A25" w:rsidRDefault="00740A25" w14:paraId="126FA869" w14:textId="7678E79A">
      <w:pPr>
        <w:pStyle w:val="EndnoteText"/>
        <w:rPr>
          <w:lang w:val="en-US"/>
        </w:rPr>
      </w:pPr>
      <w:r>
        <w:rPr>
          <w:rStyle w:val="EndnoteReference"/>
        </w:rPr>
        <w:endnoteRef/>
      </w:r>
      <w:r>
        <w:t xml:space="preserve"> </w:t>
      </w:r>
      <w:r w:rsidRPr="00417EB4">
        <w:rPr>
          <w:rFonts w:cstheme="minorHAnsi"/>
        </w:rPr>
        <w:t xml:space="preserve">J Pleskacova et al, ‘Tumor Risk in Disorders of Sex Development’ (2010) 4(4–5) </w:t>
      </w:r>
      <w:r w:rsidRPr="00417EB4">
        <w:rPr>
          <w:rFonts w:cstheme="minorHAnsi"/>
          <w:i/>
          <w:iCs/>
        </w:rPr>
        <w:t xml:space="preserve">Sexual Development </w:t>
      </w:r>
      <w:r w:rsidRPr="00417EB4">
        <w:rPr>
          <w:rFonts w:cstheme="minorHAnsi"/>
        </w:rPr>
        <w:t xml:space="preserve">7, cited by Senate Community Affairs References Committee, Parliament of Australia, </w:t>
      </w:r>
      <w:r w:rsidRPr="005A228B">
        <w:rPr>
          <w:rFonts w:cstheme="minorHAnsi"/>
          <w:i/>
          <w:iCs/>
        </w:rPr>
        <w:t>Involuntary or Coerced Sterilisation of Intersex People in Australia</w:t>
      </w:r>
      <w:r w:rsidRPr="00417EB4">
        <w:rPr>
          <w:rFonts w:cstheme="minorHAnsi"/>
        </w:rPr>
        <w:t xml:space="preserve"> (2013) 84</w:t>
      </w:r>
      <w:r>
        <w:rPr>
          <w:rFonts w:cstheme="minorHAnsi"/>
        </w:rPr>
        <w:t>,</w:t>
      </w:r>
      <w:r w:rsidRPr="00417EB4">
        <w:rPr>
          <w:rFonts w:cstheme="minorHAnsi"/>
        </w:rPr>
        <w:t xml:space="preserve"> &lt;Http://Www.Aph.Gov.Au/Parliamentary_Business/Committees/Senate/Community_Affairs/Involuntary_Sterilisation/Sec_Report/~/Media/Committees/Senate/Committee/Clac_ctte/Involuntary_sterilisation/Second_report/Report.Ashx.&gt;</w:t>
      </w:r>
    </w:p>
  </w:endnote>
  <w:endnote w:id="549">
    <w:p w:rsidRPr="005D67D7" w:rsidR="00740A25" w:rsidP="00740A25" w:rsidRDefault="00740A25" w14:paraId="609C6EB4" w14:textId="77777777">
      <w:pPr>
        <w:pStyle w:val="EndnoteText"/>
        <w:rPr>
          <w:rFonts w:cstheme="minorHAnsi"/>
          <w:i/>
        </w:rPr>
      </w:pPr>
      <w:r w:rsidRPr="00417EB4">
        <w:rPr>
          <w:rStyle w:val="EndnoteReference"/>
          <w:rFonts w:cs="Open Sans"/>
        </w:rPr>
        <w:endnoteRef/>
      </w:r>
      <w:r>
        <w:rPr>
          <w:rFonts w:cstheme="minorHAnsi"/>
        </w:rPr>
        <w:t xml:space="preserve"> Fiona Kelly and Malcolm K Smith, ‘</w:t>
      </w:r>
      <w:r w:rsidRPr="00D96E00">
        <w:rPr>
          <w:rFonts w:cstheme="minorHAnsi"/>
        </w:rPr>
        <w:t>Should court authorization be required for surgery on intersex</w:t>
      </w:r>
      <w:r>
        <w:rPr>
          <w:rFonts w:cstheme="minorHAnsi"/>
        </w:rPr>
        <w:t xml:space="preserve"> </w:t>
      </w:r>
      <w:r w:rsidRPr="00D96E00">
        <w:rPr>
          <w:rFonts w:cstheme="minorHAnsi"/>
        </w:rPr>
        <w:t>children? A critique of the</w:t>
      </w:r>
      <w:r>
        <w:rPr>
          <w:rFonts w:cstheme="minorHAnsi"/>
        </w:rPr>
        <w:t xml:space="preserve"> </w:t>
      </w:r>
      <w:r w:rsidRPr="00D96E00">
        <w:rPr>
          <w:rFonts w:cstheme="minorHAnsi"/>
        </w:rPr>
        <w:t>Family Court decision in Re Carla</w:t>
      </w:r>
      <w:r>
        <w:rPr>
          <w:rFonts w:cstheme="minorHAnsi"/>
        </w:rPr>
        <w:t xml:space="preserve">’ (2016) 31(2) </w:t>
      </w:r>
      <w:r>
        <w:rPr>
          <w:rFonts w:cstheme="minorHAnsi"/>
          <w:i/>
        </w:rPr>
        <w:t>Australian Journal of Family Law</w:t>
      </w:r>
      <w:r>
        <w:rPr>
          <w:rFonts w:cstheme="minorHAnsi"/>
        </w:rPr>
        <w:t xml:space="preserve"> 118, 123; </w:t>
      </w:r>
      <w:r w:rsidRPr="00417EB4">
        <w:rPr>
          <w:rFonts w:cstheme="minorHAnsi"/>
        </w:rPr>
        <w:t>IA Hughes et al, ‘Consensus statement on management of intersex disorders’ (2006) 2</w:t>
      </w:r>
      <w:r w:rsidRPr="00D67DE8">
        <w:rPr>
          <w:rFonts w:cstheme="minorHAnsi"/>
          <w:i/>
        </w:rPr>
        <w:t xml:space="preserve"> Journal of Pediatric</w:t>
      </w:r>
      <w:r w:rsidRPr="00417EB4">
        <w:rPr>
          <w:rFonts w:cstheme="minorHAnsi"/>
        </w:rPr>
        <w:t xml:space="preserve"> </w:t>
      </w:r>
      <w:r w:rsidRPr="00D67DE8">
        <w:rPr>
          <w:rFonts w:cstheme="minorHAnsi"/>
          <w:i/>
        </w:rPr>
        <w:t>Urology</w:t>
      </w:r>
      <w:r w:rsidRPr="00417EB4">
        <w:rPr>
          <w:rFonts w:cstheme="minorHAnsi"/>
        </w:rPr>
        <w:t xml:space="preserve"> 148, 155. </w:t>
      </w:r>
    </w:p>
  </w:endnote>
  <w:endnote w:id="550">
    <w:p w:rsidRPr="0034123F" w:rsidR="00740A25" w:rsidP="00740A25" w:rsidRDefault="00740A25" w14:paraId="6C4FCFD2" w14:textId="77777777">
      <w:pPr>
        <w:pStyle w:val="EndnoteText"/>
        <w:rPr>
          <w:rFonts w:cstheme="minorHAnsi"/>
        </w:rPr>
      </w:pPr>
      <w:r>
        <w:rPr>
          <w:rStyle w:val="EndnoteReference"/>
        </w:rPr>
        <w:endnoteRef/>
      </w:r>
      <w:r>
        <w:t xml:space="preserve"> </w:t>
      </w:r>
      <w:r>
        <w:rPr>
          <w:rFonts w:cstheme="minorHAnsi"/>
        </w:rPr>
        <w:t>Fiona Kelly and Malcolm K Smith, ‘</w:t>
      </w:r>
      <w:r w:rsidRPr="00D96E00">
        <w:rPr>
          <w:rFonts w:cstheme="minorHAnsi"/>
        </w:rPr>
        <w:t>Should court authorization be required for surgery on intersex</w:t>
      </w:r>
      <w:r>
        <w:rPr>
          <w:rFonts w:cstheme="minorHAnsi"/>
        </w:rPr>
        <w:t xml:space="preserve"> </w:t>
      </w:r>
      <w:r w:rsidRPr="00D96E00">
        <w:rPr>
          <w:rFonts w:cstheme="minorHAnsi"/>
        </w:rPr>
        <w:t>children? A critique of the</w:t>
      </w:r>
      <w:r>
        <w:rPr>
          <w:rFonts w:cstheme="minorHAnsi"/>
        </w:rPr>
        <w:t xml:space="preserve"> </w:t>
      </w:r>
      <w:r w:rsidRPr="00D96E00">
        <w:rPr>
          <w:rFonts w:cstheme="minorHAnsi"/>
        </w:rPr>
        <w:t>Family Court decision in Re Carla</w:t>
      </w:r>
      <w:r>
        <w:rPr>
          <w:rFonts w:cstheme="minorHAnsi"/>
        </w:rPr>
        <w:t xml:space="preserve">’ (2016) 31(2) </w:t>
      </w:r>
      <w:r>
        <w:rPr>
          <w:rFonts w:cstheme="minorHAnsi"/>
          <w:i/>
        </w:rPr>
        <w:t>Australian Journal of Family Law</w:t>
      </w:r>
      <w:r>
        <w:rPr>
          <w:rFonts w:cstheme="minorHAnsi"/>
        </w:rPr>
        <w:t xml:space="preserve"> 118, 124. </w:t>
      </w:r>
    </w:p>
  </w:endnote>
  <w:endnote w:id="551">
    <w:p w:rsidR="00740A25" w:rsidP="00740A25" w:rsidRDefault="00740A25" w14:paraId="4CE4A2B9" w14:textId="77777777">
      <w:pPr>
        <w:pStyle w:val="EndnoteText"/>
      </w:pPr>
      <w:r>
        <w:rPr>
          <w:rStyle w:val="EndnoteReference"/>
        </w:rPr>
        <w:endnoteRef/>
      </w:r>
      <w:r>
        <w:t xml:space="preserve"> </w:t>
      </w:r>
      <w:r>
        <w:rPr>
          <w:rFonts w:cstheme="minorHAnsi"/>
        </w:rPr>
        <w:t>Fiona Kelly and Malcolm K Smith, ‘</w:t>
      </w:r>
      <w:r w:rsidRPr="00D96E00">
        <w:rPr>
          <w:rFonts w:cstheme="minorHAnsi"/>
        </w:rPr>
        <w:t>Should court authorization be required for surgery on intersex</w:t>
      </w:r>
      <w:r>
        <w:rPr>
          <w:rFonts w:cstheme="minorHAnsi"/>
        </w:rPr>
        <w:t xml:space="preserve"> </w:t>
      </w:r>
      <w:r w:rsidRPr="00D96E00">
        <w:rPr>
          <w:rFonts w:cstheme="minorHAnsi"/>
        </w:rPr>
        <w:t>children? A critique of the</w:t>
      </w:r>
      <w:r>
        <w:rPr>
          <w:rFonts w:cstheme="minorHAnsi"/>
        </w:rPr>
        <w:t xml:space="preserve"> </w:t>
      </w:r>
      <w:r w:rsidRPr="00D96E00">
        <w:rPr>
          <w:rFonts w:cstheme="minorHAnsi"/>
        </w:rPr>
        <w:t>Family Court decision in Re Carla</w:t>
      </w:r>
      <w:r>
        <w:rPr>
          <w:rFonts w:cstheme="minorHAnsi"/>
        </w:rPr>
        <w:t xml:space="preserve">’ (2016) 31(2) </w:t>
      </w:r>
      <w:r>
        <w:rPr>
          <w:rFonts w:cstheme="minorHAnsi"/>
          <w:i/>
          <w:iCs/>
        </w:rPr>
        <w:t>Australian Journal of Family Law</w:t>
      </w:r>
      <w:r>
        <w:rPr>
          <w:rFonts w:cstheme="minorHAnsi"/>
        </w:rPr>
        <w:t xml:space="preserve"> 118, 126.</w:t>
      </w:r>
    </w:p>
  </w:endnote>
  <w:endnote w:id="552">
    <w:p w:rsidRPr="00401808" w:rsidR="00740A25" w:rsidP="00740A25" w:rsidRDefault="00740A25" w14:paraId="7A4381B9" w14:textId="77777777">
      <w:pPr>
        <w:pStyle w:val="EndnoteText"/>
        <w:rPr>
          <w:rStyle w:val="EndnoteReference"/>
          <w:rFonts w:cs="Open Sans"/>
          <w:vertAlign w:val="baseline"/>
        </w:rPr>
      </w:pPr>
      <w:r w:rsidRPr="00417EB4">
        <w:rPr>
          <w:rStyle w:val="EndnoteReference"/>
          <w:rFonts w:cs="Open Sans"/>
        </w:rPr>
        <w:endnoteRef/>
      </w:r>
      <w:r w:rsidRPr="00417EB4">
        <w:rPr>
          <w:rStyle w:val="EndnoteReference"/>
          <w:rFonts w:cs="Open Sans"/>
        </w:rPr>
        <w:t xml:space="preserve"> </w:t>
      </w:r>
      <w:r w:rsidRPr="000352DE">
        <w:rPr>
          <w:rFonts w:cs="Open Sans"/>
          <w:i/>
          <w:iCs/>
        </w:rPr>
        <w:t xml:space="preserve">Re Carla (Medical </w:t>
      </w:r>
      <w:r>
        <w:rPr>
          <w:rFonts w:cs="Open Sans"/>
          <w:i/>
          <w:iCs/>
        </w:rPr>
        <w:t>P</w:t>
      </w:r>
      <w:r w:rsidRPr="000352DE">
        <w:rPr>
          <w:rFonts w:cs="Open Sans"/>
          <w:i/>
          <w:iCs/>
        </w:rPr>
        <w:t>rocedure)</w:t>
      </w:r>
      <w:r w:rsidRPr="00417EB4">
        <w:rPr>
          <w:rFonts w:cs="Open Sans"/>
        </w:rPr>
        <w:t xml:space="preserve"> [2016] FamCA 7, [15]. See also submissions from Intersex Human Rights Australia, submission 40, </w:t>
      </w:r>
      <w:bookmarkStart w:name="_Hlk80100039" w:id="470"/>
      <w:r>
        <w:rPr>
          <w:rFonts w:cs="Open Sans"/>
          <w:i/>
          <w:iCs/>
        </w:rPr>
        <w:t>Intersex Inquiry</w:t>
      </w:r>
      <w:r w:rsidRPr="009D0214">
        <w:rPr>
          <w:rFonts w:cs="Open Sans"/>
        </w:rPr>
        <w:t>,</w:t>
      </w:r>
      <w:r>
        <w:rPr>
          <w:rFonts w:cs="Open Sans"/>
          <w:i/>
          <w:iCs/>
        </w:rPr>
        <w:t xml:space="preserve"> </w:t>
      </w:r>
      <w:bookmarkEnd w:id="470"/>
      <w:r w:rsidRPr="00417EB4">
        <w:rPr>
          <w:rFonts w:cs="Open Sans"/>
        </w:rPr>
        <w:t xml:space="preserve">63, and the Human Rights Law Centre, submission 71, </w:t>
      </w:r>
      <w:r>
        <w:rPr>
          <w:rFonts w:cs="Open Sans"/>
          <w:i/>
          <w:iCs/>
        </w:rPr>
        <w:t>Intersex Inquiry</w:t>
      </w:r>
      <w:r w:rsidRPr="009D0214">
        <w:rPr>
          <w:rFonts w:cs="Open Sans"/>
        </w:rPr>
        <w:t>,</w:t>
      </w:r>
      <w:r>
        <w:rPr>
          <w:rFonts w:cs="Open Sans"/>
          <w:i/>
          <w:iCs/>
        </w:rPr>
        <w:t xml:space="preserve"> </w:t>
      </w:r>
      <w:r w:rsidRPr="00417EB4">
        <w:rPr>
          <w:rFonts w:cs="Open Sans"/>
        </w:rPr>
        <w:t>10.</w:t>
      </w:r>
    </w:p>
  </w:endnote>
  <w:endnote w:id="553">
    <w:p w:rsidRPr="000B7D17" w:rsidR="00740A25" w:rsidP="00740A25" w:rsidRDefault="00740A25" w14:paraId="0AD49357" w14:textId="77777777">
      <w:pPr>
        <w:pStyle w:val="EndnoteText"/>
        <w:rPr>
          <w:lang w:val="en-US"/>
        </w:rPr>
      </w:pPr>
      <w:r>
        <w:rPr>
          <w:rStyle w:val="EndnoteReference"/>
        </w:rPr>
        <w:endnoteRef/>
      </w:r>
      <w:r>
        <w:t xml:space="preserve"> </w:t>
      </w:r>
      <w:r w:rsidRPr="000352DE">
        <w:rPr>
          <w:rFonts w:cs="Open Sans"/>
          <w:i/>
          <w:iCs/>
        </w:rPr>
        <w:t xml:space="preserve">Re Carla (Medical </w:t>
      </w:r>
      <w:r>
        <w:rPr>
          <w:rFonts w:cs="Open Sans"/>
          <w:i/>
          <w:iCs/>
        </w:rPr>
        <w:t>P</w:t>
      </w:r>
      <w:r w:rsidRPr="000352DE">
        <w:rPr>
          <w:rFonts w:cs="Open Sans"/>
          <w:i/>
          <w:iCs/>
        </w:rPr>
        <w:t>rocedure)</w:t>
      </w:r>
      <w:r w:rsidRPr="00417EB4">
        <w:rPr>
          <w:rFonts w:cs="Open Sans"/>
        </w:rPr>
        <w:t xml:space="preserve"> [2016] FamCA 7,</w:t>
      </w:r>
      <w:r>
        <w:rPr>
          <w:rFonts w:cs="Open Sans"/>
        </w:rPr>
        <w:t xml:space="preserve"> [16].</w:t>
      </w:r>
    </w:p>
  </w:endnote>
  <w:endnote w:id="554">
    <w:p w:rsidRPr="00785DE0" w:rsidR="00740A25" w:rsidP="00740A25" w:rsidRDefault="00740A25" w14:paraId="18253145" w14:textId="77777777">
      <w:pPr>
        <w:pStyle w:val="EndnoteText"/>
        <w:rPr>
          <w:rFonts w:cs="Open Sans"/>
          <w:lang w:val="en-US"/>
        </w:rPr>
      </w:pPr>
      <w:r w:rsidRPr="00417EB4">
        <w:rPr>
          <w:rStyle w:val="EndnoteReference"/>
          <w:rFonts w:cs="Open Sans"/>
        </w:rPr>
        <w:endnoteRef/>
      </w:r>
      <w:r w:rsidRPr="00417EB4">
        <w:rPr>
          <w:rFonts w:cs="Open Sans"/>
        </w:rPr>
        <w:t xml:space="preserve"> (1993) 16 Fam LR 7</w:t>
      </w:r>
      <w:r w:rsidRPr="792F2983">
        <w:rPr>
          <w:rFonts w:cs="Open Sans"/>
        </w:rPr>
        <w:t>1</w:t>
      </w:r>
      <w:r w:rsidRPr="00417EB4">
        <w:rPr>
          <w:rFonts w:cs="Open Sans"/>
        </w:rPr>
        <w:t xml:space="preserve">5, </w:t>
      </w:r>
      <w:r w:rsidRPr="792F2983">
        <w:rPr>
          <w:rFonts w:cs="Open Sans"/>
        </w:rPr>
        <w:t>[</w:t>
      </w:r>
      <w:r w:rsidRPr="00417EB4">
        <w:rPr>
          <w:rFonts w:cs="Open Sans"/>
        </w:rPr>
        <w:t>30</w:t>
      </w:r>
      <w:r w:rsidRPr="792F2983">
        <w:rPr>
          <w:rFonts w:cs="Open Sans"/>
        </w:rPr>
        <w:t>]</w:t>
      </w:r>
      <w:r w:rsidRPr="00417EB4">
        <w:rPr>
          <w:rFonts w:cs="Open Sans"/>
        </w:rPr>
        <w:t xml:space="preserve">. </w:t>
      </w:r>
    </w:p>
  </w:endnote>
  <w:endnote w:id="555">
    <w:p w:rsidR="00740A25" w:rsidP="00740A25" w:rsidRDefault="00740A25" w14:paraId="65DFF48A" w14:textId="77777777">
      <w:pPr>
        <w:pStyle w:val="EndnoteText"/>
      </w:pPr>
      <w:r>
        <w:rPr>
          <w:rStyle w:val="EndnoteReference"/>
        </w:rPr>
        <w:endnoteRef/>
      </w:r>
      <w:r>
        <w:t xml:space="preserve"> </w:t>
      </w:r>
      <w:r w:rsidRPr="00417EB4">
        <w:rPr>
          <w:rFonts w:cs="Open Sans"/>
        </w:rPr>
        <w:t>(1993) 16 Fam LR 7</w:t>
      </w:r>
      <w:r w:rsidRPr="792F2983">
        <w:rPr>
          <w:rFonts w:cs="Open Sans"/>
        </w:rPr>
        <w:t>1</w:t>
      </w:r>
      <w:r w:rsidRPr="00417EB4">
        <w:rPr>
          <w:rFonts w:cs="Open Sans"/>
        </w:rPr>
        <w:t xml:space="preserve">5, </w:t>
      </w:r>
      <w:r w:rsidRPr="792F2983">
        <w:rPr>
          <w:rFonts w:cs="Open Sans"/>
        </w:rPr>
        <w:t>[</w:t>
      </w:r>
      <w:r>
        <w:rPr>
          <w:rFonts w:cs="Open Sans"/>
        </w:rPr>
        <w:t>29</w:t>
      </w:r>
      <w:r w:rsidRPr="792F2983">
        <w:rPr>
          <w:rFonts w:cs="Open Sans"/>
        </w:rPr>
        <w:t>]</w:t>
      </w:r>
      <w:r w:rsidRPr="00417EB4">
        <w:rPr>
          <w:rFonts w:cs="Open Sans"/>
        </w:rPr>
        <w:t>.</w:t>
      </w:r>
    </w:p>
  </w:endnote>
  <w:endnote w:id="556">
    <w:p w:rsidRPr="00401808" w:rsidR="00740A25" w:rsidP="00740A25" w:rsidRDefault="00740A25" w14:paraId="5BB52F1E" w14:textId="77777777">
      <w:pPr>
        <w:pStyle w:val="EndnoteText"/>
        <w:rPr>
          <w:lang w:val="en-US"/>
        </w:rPr>
      </w:pPr>
      <w:r>
        <w:rPr>
          <w:rStyle w:val="EndnoteReference"/>
        </w:rPr>
        <w:endnoteRef/>
      </w:r>
      <w:r>
        <w:t xml:space="preserve"> </w:t>
      </w:r>
      <w:r w:rsidRPr="00417EB4">
        <w:rPr>
          <w:rFonts w:cs="Open Sans"/>
        </w:rPr>
        <w:t>(1993) 16 Fam LR 7</w:t>
      </w:r>
      <w:r>
        <w:rPr>
          <w:rFonts w:cs="Open Sans"/>
        </w:rPr>
        <w:t>1</w:t>
      </w:r>
      <w:r w:rsidRPr="00417EB4">
        <w:rPr>
          <w:rFonts w:cs="Open Sans"/>
        </w:rPr>
        <w:t xml:space="preserve">5, </w:t>
      </w:r>
      <w:r>
        <w:rPr>
          <w:rFonts w:cs="Open Sans"/>
        </w:rPr>
        <w:t>[2</w:t>
      </w:r>
      <w:r w:rsidRPr="00417EB4">
        <w:rPr>
          <w:rFonts w:cs="Open Sans"/>
        </w:rPr>
        <w:t>0</w:t>
      </w:r>
      <w:r>
        <w:rPr>
          <w:rFonts w:cs="Open Sans"/>
        </w:rPr>
        <w:t>]</w:t>
      </w:r>
      <w:r w:rsidRPr="00417EB4">
        <w:rPr>
          <w:rFonts w:cs="Open Sans"/>
        </w:rPr>
        <w:t>.</w:t>
      </w:r>
    </w:p>
  </w:endnote>
  <w:endnote w:id="557">
    <w:p w:rsidRPr="00785DE0" w:rsidR="00740A25" w:rsidP="00740A25" w:rsidRDefault="00740A25" w14:paraId="50DD7BB2" w14:textId="77777777">
      <w:pPr>
        <w:pStyle w:val="EndnoteText"/>
        <w:rPr>
          <w:lang w:val="en-US"/>
        </w:rPr>
      </w:pPr>
      <w:r w:rsidRPr="00417EB4">
        <w:rPr>
          <w:rStyle w:val="EndnoteReference"/>
          <w:rFonts w:cs="Open Sans"/>
        </w:rPr>
        <w:endnoteRef/>
      </w:r>
      <w:r w:rsidRPr="00417EB4">
        <w:rPr>
          <w:rFonts w:cs="Open Sans"/>
        </w:rPr>
        <w:t xml:space="preserve"> [2008] FamCA 1226.</w:t>
      </w:r>
    </w:p>
  </w:endnote>
  <w:endnote w:id="558">
    <w:p w:rsidR="00740A25" w:rsidP="00740A25" w:rsidRDefault="00740A25" w14:paraId="5BDF47C9" w14:textId="77777777">
      <w:pPr>
        <w:pStyle w:val="EndnoteText"/>
      </w:pPr>
      <w:r w:rsidRPr="00934179">
        <w:rPr>
          <w:rStyle w:val="EndnoteReference"/>
        </w:rPr>
        <w:endnoteRef/>
      </w:r>
      <w:r w:rsidRPr="00934179">
        <w:t xml:space="preserve"> </w:t>
      </w:r>
      <w:r w:rsidRPr="00934179">
        <w:rPr>
          <w:rFonts w:cs="Open Sans"/>
        </w:rPr>
        <w:t>[2008] FamCA 1226, [20], [24] – ‘adverse’, ‘detrimental’, respectively.</w:t>
      </w:r>
    </w:p>
  </w:endnote>
  <w:endnote w:id="559">
    <w:p w:rsidR="00740A25" w:rsidP="00740A25" w:rsidRDefault="00740A25" w14:paraId="1FD1C7FB" w14:textId="77777777">
      <w:pPr>
        <w:pStyle w:val="EndnoteText"/>
      </w:pPr>
      <w:r>
        <w:rPr>
          <w:rStyle w:val="EndnoteReference"/>
        </w:rPr>
        <w:endnoteRef/>
      </w:r>
      <w:r>
        <w:t xml:space="preserve"> </w:t>
      </w:r>
      <w:r w:rsidRPr="00417EB4">
        <w:rPr>
          <w:rFonts w:cs="Open Sans"/>
        </w:rPr>
        <w:t>[2008] FamCA 1226</w:t>
      </w:r>
      <w:r>
        <w:rPr>
          <w:rFonts w:cs="Open Sans"/>
        </w:rPr>
        <w:t>, [29].</w:t>
      </w:r>
    </w:p>
  </w:endnote>
  <w:endnote w:id="560">
    <w:p w:rsidR="00740A25" w:rsidP="00740A25" w:rsidRDefault="00740A25" w14:paraId="4DF1B97B" w14:textId="77777777">
      <w:pPr>
        <w:pStyle w:val="EndnoteText"/>
      </w:pPr>
      <w:r>
        <w:rPr>
          <w:rStyle w:val="EndnoteReference"/>
        </w:rPr>
        <w:endnoteRef/>
      </w:r>
      <w:r>
        <w:t xml:space="preserve"> </w:t>
      </w:r>
      <w:r w:rsidRPr="00417EB4">
        <w:rPr>
          <w:rFonts w:cs="Open Sans"/>
        </w:rPr>
        <w:t>[2008] FamCA 1226</w:t>
      </w:r>
      <w:r>
        <w:rPr>
          <w:rFonts w:cs="Open Sans"/>
        </w:rPr>
        <w:t>, [38].</w:t>
      </w:r>
    </w:p>
  </w:endnote>
  <w:endnote w:id="561">
    <w:p w:rsidRPr="00785DE0" w:rsidR="00740A25" w:rsidP="00740A25" w:rsidRDefault="00740A25" w14:paraId="4D658098" w14:textId="77777777">
      <w:pPr>
        <w:pStyle w:val="EndnoteText"/>
        <w:rPr>
          <w:lang w:val="en-US"/>
        </w:rPr>
      </w:pPr>
      <w:r w:rsidRPr="00417EB4">
        <w:rPr>
          <w:rStyle w:val="EndnoteReference"/>
        </w:rPr>
        <w:endnoteRef/>
      </w:r>
      <w:r w:rsidRPr="00417EB4">
        <w:t xml:space="preserve"> [2010] FamCA 237.</w:t>
      </w:r>
    </w:p>
  </w:endnote>
  <w:endnote w:id="562">
    <w:p w:rsidRPr="00785DE0" w:rsidR="00740A25" w:rsidP="00740A25" w:rsidRDefault="00740A25" w14:paraId="4A032A0D" w14:textId="77777777">
      <w:pPr>
        <w:pStyle w:val="EndnoteText"/>
        <w:rPr>
          <w:lang w:val="en-US"/>
        </w:rPr>
      </w:pPr>
      <w:r w:rsidRPr="00417EB4">
        <w:rPr>
          <w:rStyle w:val="EndnoteReference"/>
        </w:rPr>
        <w:endnoteRef/>
      </w:r>
      <w:r w:rsidRPr="00417EB4">
        <w:t xml:space="preserve"> (2010) 44 Fam LR 210.</w:t>
      </w:r>
    </w:p>
  </w:endnote>
  <w:endnote w:id="563">
    <w:p w:rsidRPr="00785DE0" w:rsidR="00740A25" w:rsidP="00740A25" w:rsidRDefault="00740A25" w14:paraId="7670FE99" w14:textId="77777777">
      <w:pPr>
        <w:pStyle w:val="EndnoteText"/>
        <w:rPr>
          <w:lang w:val="en-US"/>
        </w:rPr>
      </w:pPr>
      <w:r w:rsidRPr="00417EB4">
        <w:rPr>
          <w:rStyle w:val="EndnoteReference"/>
        </w:rPr>
        <w:endnoteRef/>
      </w:r>
      <w:r w:rsidRPr="00417EB4">
        <w:t xml:space="preserve"> [2014] FamCA 969. </w:t>
      </w:r>
    </w:p>
  </w:endnote>
  <w:endnote w:id="564">
    <w:p w:rsidRPr="00785DE0" w:rsidR="00740A25" w:rsidP="00740A25" w:rsidRDefault="00740A25" w14:paraId="67E43787" w14:textId="77777777">
      <w:pPr>
        <w:pStyle w:val="EndnoteText"/>
        <w:rPr>
          <w:lang w:val="en-US"/>
        </w:rPr>
      </w:pPr>
      <w:r w:rsidRPr="00417EB4">
        <w:rPr>
          <w:rStyle w:val="EndnoteReference"/>
        </w:rPr>
        <w:endnoteRef/>
      </w:r>
      <w:r w:rsidRPr="00417EB4">
        <w:t xml:space="preserve"> [2014] FamCA 208. </w:t>
      </w:r>
    </w:p>
  </w:endnote>
  <w:endnote w:id="565">
    <w:p w:rsidR="00740A25" w:rsidP="00740A25" w:rsidRDefault="00740A25" w14:paraId="3933314D" w14:textId="77777777">
      <w:pPr>
        <w:pStyle w:val="EndnoteText"/>
      </w:pPr>
      <w:r>
        <w:rPr>
          <w:rStyle w:val="EndnoteReference"/>
        </w:rPr>
        <w:endnoteRef/>
      </w:r>
      <w:r>
        <w:t xml:space="preserve"> </w:t>
      </w:r>
      <w:r w:rsidRPr="00417EB4">
        <w:t>[2014] FamCA 208</w:t>
      </w:r>
      <w:r>
        <w:t>, [23].</w:t>
      </w:r>
    </w:p>
  </w:endnote>
  <w:endnote w:id="566">
    <w:p w:rsidRPr="001041BA" w:rsidR="00740A25" w:rsidP="00740A25" w:rsidRDefault="00740A25" w14:paraId="7BF72917" w14:textId="77777777">
      <w:pPr>
        <w:pStyle w:val="EndnoteText"/>
        <w:rPr>
          <w:lang w:val="en-US"/>
        </w:rPr>
      </w:pPr>
      <w:r>
        <w:rPr>
          <w:rStyle w:val="EndnoteReference"/>
        </w:rPr>
        <w:endnoteRef/>
      </w:r>
      <w:r>
        <w:t xml:space="preserve"> </w:t>
      </w:r>
      <w:r w:rsidRPr="00417EB4">
        <w:t>[2014] FamCA 208</w:t>
      </w:r>
      <w:r>
        <w:t>, [26]</w:t>
      </w:r>
      <w:r w:rsidRPr="00417EB4">
        <w:t>.</w:t>
      </w:r>
    </w:p>
  </w:endnote>
  <w:endnote w:id="567">
    <w:p w:rsidRPr="001041BA" w:rsidR="00740A25" w:rsidP="00740A25" w:rsidRDefault="00740A25" w14:paraId="53F05A8E" w14:textId="77777777">
      <w:pPr>
        <w:pStyle w:val="EndnoteText"/>
        <w:rPr>
          <w:lang w:val="en-US"/>
        </w:rPr>
      </w:pPr>
      <w:r>
        <w:rPr>
          <w:rStyle w:val="EndnoteReference"/>
        </w:rPr>
        <w:endnoteRef/>
      </w:r>
      <w:r>
        <w:t xml:space="preserve"> </w:t>
      </w:r>
      <w:r w:rsidRPr="00417EB4">
        <w:t>[2014] FamCA 208</w:t>
      </w:r>
      <w:r>
        <w:t>, [46]</w:t>
      </w:r>
      <w:r w:rsidRPr="00417EB4">
        <w:t>.</w:t>
      </w:r>
    </w:p>
  </w:endnote>
  <w:endnote w:id="568">
    <w:p w:rsidRPr="00785DE0" w:rsidR="00740A25" w:rsidP="00740A25" w:rsidRDefault="00740A25" w14:paraId="46CED586" w14:textId="77777777">
      <w:pPr>
        <w:pStyle w:val="EndnoteText"/>
        <w:rPr>
          <w:lang w:val="en-US"/>
        </w:rPr>
      </w:pPr>
      <w:r w:rsidRPr="00417EB4">
        <w:rPr>
          <w:rStyle w:val="EndnoteReference"/>
        </w:rPr>
        <w:endnoteRef/>
      </w:r>
      <w:r w:rsidRPr="00417EB4">
        <w:t xml:space="preserve"> [2017] FamCA 83. </w:t>
      </w:r>
    </w:p>
  </w:endnote>
  <w:endnote w:id="569">
    <w:p w:rsidRPr="00683198" w:rsidR="00740A25" w:rsidP="00740A25" w:rsidRDefault="00740A25" w14:paraId="07E24AA7" w14:textId="77777777">
      <w:pPr>
        <w:pStyle w:val="EndnoteText"/>
        <w:rPr>
          <w:lang w:val="en-US"/>
        </w:rPr>
      </w:pPr>
      <w:r>
        <w:rPr>
          <w:rStyle w:val="EndnoteReference"/>
        </w:rPr>
        <w:endnoteRef/>
      </w:r>
      <w:r>
        <w:t xml:space="preserve"> </w:t>
      </w:r>
      <w:r w:rsidRPr="003A79EE">
        <w:t>[2016] FamCA 7</w:t>
      </w:r>
      <w:r>
        <w:t>, [16].</w:t>
      </w:r>
    </w:p>
  </w:endnote>
  <w:endnote w:id="570">
    <w:p w:rsidRPr="00683198" w:rsidR="00740A25" w:rsidP="00740A25" w:rsidRDefault="00740A25" w14:paraId="0F569B66" w14:textId="77777777">
      <w:pPr>
        <w:pStyle w:val="EndnoteText"/>
        <w:rPr>
          <w:lang w:val="en-US"/>
        </w:rPr>
      </w:pPr>
      <w:r>
        <w:rPr>
          <w:rStyle w:val="EndnoteReference"/>
        </w:rPr>
        <w:endnoteRef/>
      </w:r>
      <w:r>
        <w:t xml:space="preserve"> </w:t>
      </w:r>
      <w:r w:rsidRPr="00417EB4">
        <w:rPr>
          <w:rFonts w:cs="Open Sans"/>
        </w:rPr>
        <w:t>(1993) 16 Fam LR 7</w:t>
      </w:r>
      <w:r>
        <w:rPr>
          <w:rFonts w:cs="Open Sans"/>
        </w:rPr>
        <w:t>1</w:t>
      </w:r>
      <w:r w:rsidRPr="00417EB4">
        <w:rPr>
          <w:rFonts w:cs="Open Sans"/>
        </w:rPr>
        <w:t>5,</w:t>
      </w:r>
      <w:r>
        <w:rPr>
          <w:rFonts w:cs="Open Sans"/>
        </w:rPr>
        <w:t xml:space="preserve"> [10].</w:t>
      </w:r>
    </w:p>
  </w:endnote>
  <w:endnote w:id="571">
    <w:p w:rsidRPr="00683198" w:rsidR="00740A25" w:rsidP="00740A25" w:rsidRDefault="00740A25" w14:paraId="08944A69" w14:textId="77777777">
      <w:pPr>
        <w:pStyle w:val="EndnoteText"/>
        <w:rPr>
          <w:lang w:val="en-US"/>
        </w:rPr>
      </w:pPr>
      <w:r>
        <w:rPr>
          <w:rStyle w:val="EndnoteReference"/>
        </w:rPr>
        <w:endnoteRef/>
      </w:r>
      <w:r>
        <w:t xml:space="preserve"> </w:t>
      </w:r>
      <w:r w:rsidRPr="00417EB4">
        <w:t>[2017] FamCA 83</w:t>
      </w:r>
      <w:r>
        <w:t>, [4], [6] and [19]</w:t>
      </w:r>
      <w:r w:rsidRPr="00417EB4">
        <w:t>.</w:t>
      </w:r>
    </w:p>
  </w:endnote>
  <w:endnote w:id="572">
    <w:p w:rsidRPr="00E61C66" w:rsidR="00740A25" w:rsidP="00740A25" w:rsidRDefault="00740A25" w14:paraId="3BF75405" w14:textId="77777777">
      <w:pPr>
        <w:pStyle w:val="EndnoteText"/>
        <w:rPr>
          <w:lang w:val="en-US"/>
        </w:rPr>
      </w:pPr>
      <w:r>
        <w:rPr>
          <w:rStyle w:val="EndnoteReference"/>
        </w:rPr>
        <w:endnoteRef/>
      </w:r>
      <w:r>
        <w:t xml:space="preserve"> </w:t>
      </w:r>
      <w:r w:rsidRPr="00417EB4">
        <w:t>[2014] FamCA 208</w:t>
      </w:r>
      <w:r>
        <w:t>, [17].</w:t>
      </w:r>
    </w:p>
  </w:endnote>
  <w:endnote w:id="573">
    <w:p w:rsidRPr="00E61C66" w:rsidR="00740A25" w:rsidP="00740A25" w:rsidRDefault="00740A25" w14:paraId="1A5F0E4C" w14:textId="77777777">
      <w:pPr>
        <w:pStyle w:val="EndnoteText"/>
        <w:rPr>
          <w:lang w:val="en-US"/>
        </w:rPr>
      </w:pPr>
      <w:r>
        <w:rPr>
          <w:rStyle w:val="EndnoteReference"/>
        </w:rPr>
        <w:endnoteRef/>
      </w:r>
      <w:r>
        <w:t xml:space="preserve"> </w:t>
      </w:r>
      <w:r w:rsidRPr="002B3352">
        <w:t>[2008] FamCA 1226</w:t>
      </w:r>
      <w:r>
        <w:t>, [43]-[45].</w:t>
      </w:r>
    </w:p>
  </w:endnote>
  <w:endnote w:id="574">
    <w:p w:rsidRPr="00417EB4" w:rsidR="00740A25" w:rsidP="00740A25" w:rsidRDefault="00740A25" w14:paraId="4BB44237" w14:textId="77777777">
      <w:pPr>
        <w:pStyle w:val="EndnoteText"/>
      </w:pPr>
      <w:r w:rsidRPr="00417EB4">
        <w:rPr>
          <w:rStyle w:val="EndnoteReference"/>
        </w:rPr>
        <w:endnoteRef/>
      </w:r>
      <w:r w:rsidRPr="00417EB4">
        <w:t xml:space="preserve"> </w:t>
      </w:r>
      <w:r w:rsidRPr="00E61C66">
        <w:rPr>
          <w:i/>
          <w:iCs/>
        </w:rPr>
        <w:t>Re A</w:t>
      </w:r>
      <w:r w:rsidRPr="00417EB4">
        <w:t xml:space="preserve"> </w:t>
      </w:r>
      <w:r w:rsidRPr="00417EB4">
        <w:rPr>
          <w:rFonts w:cs="Open Sans"/>
        </w:rPr>
        <w:t xml:space="preserve">(1993) 16 Fam LR 75, </w:t>
      </w:r>
      <w:r w:rsidRPr="00417EB4">
        <w:t>[21]-[22]</w:t>
      </w:r>
      <w:r>
        <w:t>.</w:t>
      </w:r>
    </w:p>
  </w:endnote>
  <w:endnote w:id="575">
    <w:p w:rsidRPr="009D752B" w:rsidR="00740A25" w:rsidP="00740A25" w:rsidRDefault="00740A25" w14:paraId="5D5D1231" w14:textId="77777777">
      <w:pPr>
        <w:pStyle w:val="EndnoteText"/>
        <w:rPr>
          <w:lang w:val="en-US"/>
        </w:rPr>
      </w:pPr>
      <w:r>
        <w:rPr>
          <w:rStyle w:val="EndnoteReference"/>
        </w:rPr>
        <w:endnoteRef/>
      </w:r>
      <w:r>
        <w:t xml:space="preserve"> </w:t>
      </w:r>
      <w:r w:rsidRPr="00417EB4">
        <w:rPr>
          <w:rFonts w:cstheme="minorHAnsi"/>
          <w:i/>
        </w:rPr>
        <w:t xml:space="preserve">Re Carla (Medical </w:t>
      </w:r>
      <w:r>
        <w:rPr>
          <w:rFonts w:cstheme="minorHAnsi"/>
          <w:i/>
        </w:rPr>
        <w:t>P</w:t>
      </w:r>
      <w:r w:rsidRPr="00417EB4">
        <w:rPr>
          <w:rFonts w:cstheme="minorHAnsi"/>
          <w:i/>
        </w:rPr>
        <w:t>rocedure)</w:t>
      </w:r>
      <w:r w:rsidRPr="00417EB4">
        <w:rPr>
          <w:rFonts w:cstheme="minorHAnsi"/>
        </w:rPr>
        <w:t xml:space="preserve"> </w:t>
      </w:r>
      <w:r w:rsidRPr="00417EB4">
        <w:rPr>
          <w:rFonts w:cs="Open Sans"/>
        </w:rPr>
        <w:t>[2016] FamCA 7,</w:t>
      </w:r>
      <w:r>
        <w:rPr>
          <w:rFonts w:cs="Open Sans"/>
        </w:rPr>
        <w:t xml:space="preserve"> [18].</w:t>
      </w:r>
    </w:p>
  </w:endnote>
  <w:endnote w:id="576">
    <w:p w:rsidRPr="009D752B" w:rsidR="00740A25" w:rsidP="00740A25" w:rsidRDefault="00740A25" w14:paraId="568FD650" w14:textId="77777777">
      <w:pPr>
        <w:pStyle w:val="EndnoteText"/>
        <w:rPr>
          <w:lang w:val="en-US"/>
        </w:rPr>
      </w:pPr>
      <w:r>
        <w:rPr>
          <w:rStyle w:val="EndnoteReference"/>
        </w:rPr>
        <w:endnoteRef/>
      </w:r>
      <w:r>
        <w:t xml:space="preserve"> </w:t>
      </w:r>
      <w:r w:rsidRPr="00417EB4">
        <w:rPr>
          <w:rFonts w:cstheme="minorHAnsi"/>
          <w:i/>
        </w:rPr>
        <w:t xml:space="preserve">Re Carla (Medical </w:t>
      </w:r>
      <w:r>
        <w:rPr>
          <w:rFonts w:cstheme="minorHAnsi"/>
          <w:i/>
        </w:rPr>
        <w:t>P</w:t>
      </w:r>
      <w:r w:rsidRPr="00417EB4">
        <w:rPr>
          <w:rFonts w:cstheme="minorHAnsi"/>
          <w:i/>
        </w:rPr>
        <w:t>rocedure)</w:t>
      </w:r>
      <w:r w:rsidRPr="00417EB4">
        <w:rPr>
          <w:rFonts w:cstheme="minorHAnsi"/>
        </w:rPr>
        <w:t xml:space="preserve"> </w:t>
      </w:r>
      <w:r w:rsidRPr="00417EB4">
        <w:rPr>
          <w:rFonts w:cs="Open Sans"/>
        </w:rPr>
        <w:t>[2016] FamCA 7,</w:t>
      </w:r>
      <w:r>
        <w:rPr>
          <w:rFonts w:cs="Open Sans"/>
        </w:rPr>
        <w:t xml:space="preserve"> [28</w:t>
      </w:r>
      <w:r w:rsidRPr="00131BDB">
        <w:rPr>
          <w:rFonts w:cs="Open Sans"/>
        </w:rPr>
        <w:t xml:space="preserve">]. </w:t>
      </w:r>
      <w:r w:rsidRPr="00131BDB">
        <w:t>The implication seems to be that either Carla would not be comfortable as a female having male gametes and/or would not want to have a child with a woman. This scenario was assumed to be undesirable and to be avoided.</w:t>
      </w:r>
    </w:p>
  </w:endnote>
  <w:endnote w:id="577">
    <w:p w:rsidRPr="00417EB4" w:rsidR="00740A25" w:rsidP="00740A25" w:rsidRDefault="00740A25" w14:paraId="671DA635" w14:textId="77777777">
      <w:pPr>
        <w:pStyle w:val="EndnoteText"/>
        <w:rPr>
          <w:lang w:val="en-US"/>
        </w:rPr>
      </w:pPr>
      <w:r w:rsidRPr="00417EB4">
        <w:rPr>
          <w:rStyle w:val="EndnoteReference"/>
        </w:rPr>
        <w:endnoteRef/>
      </w:r>
      <w:r w:rsidRPr="00417EB4">
        <w:t xml:space="preserve"> </w:t>
      </w:r>
      <w:r w:rsidRPr="00417EB4">
        <w:rPr>
          <w:rFonts w:cstheme="minorHAnsi"/>
          <w:i/>
        </w:rPr>
        <w:t xml:space="preserve">Re Carla (Medical </w:t>
      </w:r>
      <w:r>
        <w:rPr>
          <w:rFonts w:cstheme="minorHAnsi"/>
          <w:i/>
        </w:rPr>
        <w:t>P</w:t>
      </w:r>
      <w:r w:rsidRPr="00417EB4">
        <w:rPr>
          <w:rFonts w:cstheme="minorHAnsi"/>
          <w:i/>
        </w:rPr>
        <w:t>rocedure)</w:t>
      </w:r>
      <w:r w:rsidRPr="00417EB4">
        <w:rPr>
          <w:rFonts w:cstheme="minorHAnsi"/>
        </w:rPr>
        <w:t xml:space="preserve"> [2016] FamCA 7, [24].</w:t>
      </w:r>
    </w:p>
  </w:endnote>
  <w:endnote w:id="578">
    <w:p w:rsidRPr="00417EB4" w:rsidR="00740A25" w:rsidP="00740A25" w:rsidRDefault="00740A25" w14:paraId="777E35B6" w14:textId="77777777">
      <w:pPr>
        <w:pStyle w:val="EndnoteText"/>
        <w:rPr>
          <w:lang w:val="en-US"/>
        </w:rPr>
      </w:pPr>
      <w:r w:rsidRPr="00417EB4">
        <w:rPr>
          <w:rStyle w:val="EndnoteReference"/>
        </w:rPr>
        <w:endnoteRef/>
      </w:r>
      <w:r w:rsidRPr="00417EB4">
        <w:t xml:space="preserve"> </w:t>
      </w:r>
      <w:r w:rsidRPr="00417EB4">
        <w:rPr>
          <w:rFonts w:cstheme="minorHAnsi"/>
          <w:i/>
        </w:rPr>
        <w:t xml:space="preserve">Re Carla (Medical </w:t>
      </w:r>
      <w:r>
        <w:rPr>
          <w:rFonts w:cstheme="minorHAnsi"/>
          <w:i/>
        </w:rPr>
        <w:t>P</w:t>
      </w:r>
      <w:r w:rsidRPr="00417EB4">
        <w:rPr>
          <w:rFonts w:cstheme="minorHAnsi"/>
          <w:i/>
        </w:rPr>
        <w:t>rocedure)</w:t>
      </w:r>
      <w:r w:rsidRPr="00417EB4">
        <w:rPr>
          <w:rFonts w:cstheme="minorHAnsi"/>
        </w:rPr>
        <w:t xml:space="preserve"> [2016] FamCA 7</w:t>
      </w:r>
      <w:r>
        <w:rPr>
          <w:rFonts w:cstheme="minorHAnsi"/>
        </w:rPr>
        <w:t xml:space="preserve">; </w:t>
      </w:r>
      <w:r w:rsidRPr="00417EB4">
        <w:rPr>
          <w:i/>
        </w:rPr>
        <w:t>Re Lesley (Special Medical Procedure)</w:t>
      </w:r>
      <w:r w:rsidRPr="00417EB4">
        <w:t xml:space="preserve"> [2008] FamCA 1226. </w:t>
      </w:r>
    </w:p>
  </w:endnote>
  <w:endnote w:id="579">
    <w:p w:rsidRPr="00417EB4" w:rsidR="00740A25" w:rsidP="00740A25" w:rsidRDefault="00740A25" w14:paraId="3FDF8DFD" w14:textId="77777777">
      <w:pPr>
        <w:pStyle w:val="EndnoteText"/>
        <w:rPr>
          <w:lang w:val="en-US"/>
        </w:rPr>
      </w:pPr>
      <w:r w:rsidRPr="00417EB4">
        <w:rPr>
          <w:rStyle w:val="EndnoteReference"/>
        </w:rPr>
        <w:endnoteRef/>
      </w:r>
      <w:r w:rsidRPr="00417EB4">
        <w:t xml:space="preserve"> </w:t>
      </w:r>
      <w:r w:rsidRPr="00417EB4">
        <w:rPr>
          <w:i/>
        </w:rPr>
        <w:t>Re Lesley (Special Medical Procedure)</w:t>
      </w:r>
      <w:r w:rsidRPr="00417EB4">
        <w:t xml:space="preserve"> [2008] FamCA 1226, [29], </w:t>
      </w:r>
      <w:r w:rsidRPr="00417EB4">
        <w:rPr>
          <w:rFonts w:cstheme="minorHAnsi"/>
          <w:i/>
        </w:rPr>
        <w:t>Re Carla (Medical procedure)</w:t>
      </w:r>
      <w:r w:rsidRPr="00417EB4">
        <w:rPr>
          <w:rFonts w:cstheme="minorHAnsi"/>
        </w:rPr>
        <w:t xml:space="preserve"> [2016] FamCA 7, [24].</w:t>
      </w:r>
    </w:p>
  </w:endnote>
  <w:endnote w:id="580">
    <w:p w:rsidRPr="00037AFE" w:rsidR="00D9727C" w:rsidP="00D9727C" w:rsidRDefault="00D9727C" w14:paraId="0400372A" w14:textId="77777777">
      <w:pPr>
        <w:pStyle w:val="EndnoteText"/>
        <w:rPr>
          <w:lang w:val="en-US"/>
        </w:rPr>
      </w:pPr>
      <w:r>
        <w:rPr>
          <w:rStyle w:val="EndnoteReference"/>
        </w:rPr>
        <w:endnoteRef/>
      </w:r>
      <w:r>
        <w:t xml:space="preserve"> </w:t>
      </w:r>
      <w:r>
        <w:rPr>
          <w:lang w:val="en-US"/>
        </w:rPr>
        <w:t>Interview15,</w:t>
      </w:r>
      <w:r w:rsidRPr="00C32347">
        <w:rPr>
          <w:rFonts w:cs="Open Sans"/>
          <w:i/>
          <w:iCs/>
        </w:rPr>
        <w:t xml:space="preserve"> </w:t>
      </w:r>
      <w:r w:rsidRPr="00367DC4">
        <w:rPr>
          <w:rFonts w:cs="Open Sans"/>
          <w:i/>
          <w:iCs/>
        </w:rPr>
        <w:t>Intersex Inquiry</w:t>
      </w:r>
      <w:r>
        <w:rPr>
          <w:lang w:val="en-US"/>
        </w:rPr>
        <w:t xml:space="preserve">; </w:t>
      </w:r>
      <w:r w:rsidRPr="000153DC">
        <w:rPr>
          <w:bCs/>
        </w:rPr>
        <w:t>Interview 1</w:t>
      </w:r>
      <w:r>
        <w:rPr>
          <w:bCs/>
        </w:rPr>
        <w:t>,</w:t>
      </w:r>
      <w:r w:rsidRPr="00C32347">
        <w:rPr>
          <w:rFonts w:cs="Open Sans"/>
          <w:i/>
          <w:iCs/>
        </w:rPr>
        <w:t xml:space="preserve"> </w:t>
      </w:r>
      <w:r w:rsidRPr="00367DC4">
        <w:rPr>
          <w:rFonts w:cs="Open Sans"/>
          <w:i/>
          <w:iCs/>
        </w:rPr>
        <w:t>Intersex Inquiry</w:t>
      </w:r>
      <w:r w:rsidRPr="00036609">
        <w:rPr>
          <w:bCs/>
        </w:rPr>
        <w:t xml:space="preserve">; </w:t>
      </w:r>
      <w:r>
        <w:t>Submission 36,</w:t>
      </w:r>
      <w:r w:rsidRPr="00C32347">
        <w:rPr>
          <w:rFonts w:cs="Open Sans"/>
          <w:i/>
          <w:iCs/>
        </w:rPr>
        <w:t xml:space="preserve"> </w:t>
      </w:r>
      <w:r w:rsidRPr="00367DC4">
        <w:rPr>
          <w:rFonts w:cs="Open Sans"/>
          <w:i/>
          <w:iCs/>
        </w:rPr>
        <w:t>Intersex Inquiry</w:t>
      </w:r>
      <w:r w:rsidRPr="00367DC4">
        <w:rPr>
          <w:rFonts w:cs="Open Sans"/>
        </w:rPr>
        <w:t>,</w:t>
      </w:r>
      <w:r>
        <w:rPr>
          <w:rFonts w:cs="Open Sans"/>
          <w:i/>
          <w:iCs/>
        </w:rPr>
        <w:t xml:space="preserve"> </w:t>
      </w:r>
      <w:r>
        <w:t xml:space="preserve">8–9; Submission </w:t>
      </w:r>
      <w:r w:rsidRPr="00E80937">
        <w:t>29</w:t>
      </w:r>
      <w:r>
        <w:t xml:space="preserve">, </w:t>
      </w:r>
      <w:r w:rsidRPr="00367DC4">
        <w:rPr>
          <w:rFonts w:cs="Open Sans"/>
          <w:i/>
          <w:iCs/>
        </w:rPr>
        <w:t>Intersex Inquiry</w:t>
      </w:r>
      <w:r w:rsidRPr="00367DC4">
        <w:rPr>
          <w:rFonts w:cs="Open Sans"/>
        </w:rPr>
        <w:t>,</w:t>
      </w:r>
      <w:r>
        <w:rPr>
          <w:rFonts w:cs="Open Sans"/>
          <w:i/>
          <w:iCs/>
        </w:rPr>
        <w:t xml:space="preserve"> </w:t>
      </w:r>
      <w:r>
        <w:t xml:space="preserve">1; Submission </w:t>
      </w:r>
      <w:r w:rsidRPr="00E80937">
        <w:t>70</w:t>
      </w:r>
      <w:r>
        <w:t>,</w:t>
      </w:r>
      <w:r w:rsidRPr="00C32347">
        <w:rPr>
          <w:rFonts w:cs="Open Sans"/>
          <w:i/>
          <w:iCs/>
        </w:rPr>
        <w:t xml:space="preserve"> </w:t>
      </w:r>
      <w:r w:rsidRPr="00367DC4">
        <w:rPr>
          <w:rFonts w:cs="Open Sans"/>
          <w:i/>
          <w:iCs/>
        </w:rPr>
        <w:t>Intersex Inquiry</w:t>
      </w:r>
      <w:r w:rsidRPr="00367DC4">
        <w:rPr>
          <w:rFonts w:cs="Open Sans"/>
        </w:rPr>
        <w:t>,</w:t>
      </w:r>
      <w:r>
        <w:rPr>
          <w:rFonts w:cs="Open Sans"/>
          <w:i/>
          <w:iCs/>
        </w:rPr>
        <w:t xml:space="preserve"> </w:t>
      </w:r>
      <w:r w:rsidRPr="00E80937">
        <w:t>1</w:t>
      </w:r>
      <w:r>
        <w:t>;</w:t>
      </w:r>
      <w:r w:rsidRPr="00E80937">
        <w:t xml:space="preserve"> </w:t>
      </w:r>
      <w:r>
        <w:t xml:space="preserve">A Gender Agenda, Submission </w:t>
      </w:r>
      <w:r w:rsidRPr="00E80937">
        <w:t>52</w:t>
      </w:r>
      <w:r>
        <w:t>,</w:t>
      </w:r>
      <w:r w:rsidRPr="00C32347">
        <w:rPr>
          <w:rFonts w:cs="Open Sans"/>
          <w:i/>
          <w:iCs/>
        </w:rPr>
        <w:t xml:space="preserve"> </w:t>
      </w:r>
      <w:r w:rsidRPr="00367DC4">
        <w:rPr>
          <w:rFonts w:cs="Open Sans"/>
          <w:i/>
          <w:iCs/>
        </w:rPr>
        <w:t>Intersex Inquiry</w:t>
      </w:r>
      <w:r w:rsidRPr="00367DC4">
        <w:rPr>
          <w:rFonts w:cs="Open Sans"/>
        </w:rPr>
        <w:t>,</w:t>
      </w:r>
      <w:r>
        <w:rPr>
          <w:rFonts w:cs="Open Sans"/>
          <w:i/>
          <w:iCs/>
        </w:rPr>
        <w:t xml:space="preserve"> </w:t>
      </w:r>
      <w:r w:rsidRPr="00E80937">
        <w:t>5</w:t>
      </w:r>
      <w:r>
        <w:t xml:space="preserve">. </w:t>
      </w:r>
    </w:p>
  </w:endnote>
  <w:endnote w:id="581">
    <w:p w:rsidR="00740A25" w:rsidP="00740A25" w:rsidRDefault="00740A25" w14:paraId="7E56FAF3" w14:textId="77777777">
      <w:pPr>
        <w:pStyle w:val="EndnoteText"/>
      </w:pPr>
      <w:r>
        <w:rPr>
          <w:rStyle w:val="EndnoteReference"/>
        </w:rPr>
        <w:endnoteRef/>
      </w:r>
      <w:r>
        <w:t xml:space="preserve"> Submission 56,</w:t>
      </w:r>
      <w:r w:rsidRPr="009D1082">
        <w:rPr>
          <w:rFonts w:cs="Open Sans"/>
          <w:i/>
          <w:iCs/>
        </w:rPr>
        <w:t xml:space="preserve"> </w:t>
      </w:r>
      <w:r>
        <w:rPr>
          <w:rFonts w:cs="Open Sans"/>
          <w:i/>
          <w:iCs/>
        </w:rPr>
        <w:t>Intersex Inquiry</w:t>
      </w:r>
      <w:r w:rsidRPr="009D0214">
        <w:rPr>
          <w:rFonts w:cs="Open Sans"/>
        </w:rPr>
        <w:t>,</w:t>
      </w:r>
      <w:r>
        <w:rPr>
          <w:rFonts w:cs="Open Sans"/>
          <w:i/>
          <w:iCs/>
        </w:rPr>
        <w:t xml:space="preserve"> </w:t>
      </w:r>
      <w:r>
        <w:t>7; Submission 41,</w:t>
      </w:r>
      <w:r w:rsidRPr="009D1082">
        <w:rPr>
          <w:rFonts w:cs="Open Sans"/>
          <w:i/>
          <w:iCs/>
        </w:rPr>
        <w:t xml:space="preserve"> </w:t>
      </w:r>
      <w:r>
        <w:rPr>
          <w:rFonts w:cs="Open Sans"/>
          <w:i/>
          <w:iCs/>
        </w:rPr>
        <w:t>Intersex Inquiry</w:t>
      </w:r>
      <w:r w:rsidRPr="009D0214">
        <w:rPr>
          <w:rFonts w:cs="Open Sans"/>
        </w:rPr>
        <w:t>,</w:t>
      </w:r>
      <w:r>
        <w:rPr>
          <w:rFonts w:cs="Open Sans"/>
          <w:i/>
          <w:iCs/>
        </w:rPr>
        <w:t xml:space="preserve"> </w:t>
      </w:r>
      <w:r>
        <w:t xml:space="preserve">8; Submission 61, </w:t>
      </w:r>
      <w:r>
        <w:rPr>
          <w:rFonts w:cs="Open Sans"/>
          <w:i/>
          <w:iCs/>
        </w:rPr>
        <w:t>Intersex Inquiry</w:t>
      </w:r>
      <w:r w:rsidRPr="009D0214">
        <w:rPr>
          <w:rFonts w:cs="Open Sans"/>
        </w:rPr>
        <w:t>,</w:t>
      </w:r>
      <w:r>
        <w:rPr>
          <w:rFonts w:cs="Open Sans"/>
          <w:i/>
          <w:iCs/>
        </w:rPr>
        <w:t xml:space="preserve"> </w:t>
      </w:r>
      <w:r>
        <w:t xml:space="preserve">6; Submission 32, </w:t>
      </w:r>
      <w:r>
        <w:rPr>
          <w:rFonts w:cs="Open Sans"/>
          <w:i/>
          <w:iCs/>
        </w:rPr>
        <w:t>Intersex Inquiry</w:t>
      </w:r>
      <w:r w:rsidRPr="009D0214">
        <w:rPr>
          <w:rFonts w:cs="Open Sans"/>
        </w:rPr>
        <w:t>,</w:t>
      </w:r>
      <w:r>
        <w:rPr>
          <w:rFonts w:cs="Open Sans"/>
          <w:i/>
          <w:iCs/>
        </w:rPr>
        <w:t xml:space="preserve"> </w:t>
      </w:r>
      <w:r>
        <w:t>3; Intersex Human Rights Australia, Submission 40,</w:t>
      </w:r>
      <w:r w:rsidRPr="009D1082">
        <w:rPr>
          <w:rFonts w:cs="Open Sans"/>
          <w:i/>
          <w:iCs/>
        </w:rPr>
        <w:t xml:space="preserve"> </w:t>
      </w:r>
      <w:r>
        <w:rPr>
          <w:rFonts w:cs="Open Sans"/>
          <w:i/>
          <w:iCs/>
        </w:rPr>
        <w:t>Intersex Inquiry</w:t>
      </w:r>
      <w:r w:rsidRPr="009D0214">
        <w:rPr>
          <w:rFonts w:cs="Open Sans"/>
        </w:rPr>
        <w:t>,</w:t>
      </w:r>
      <w:r>
        <w:rPr>
          <w:rFonts w:cs="Open Sans"/>
          <w:i/>
          <w:iCs/>
        </w:rPr>
        <w:t xml:space="preserve"> </w:t>
      </w:r>
      <w:r>
        <w:t>3; Submission 29</w:t>
      </w:r>
      <w:r w:rsidRPr="009D0214">
        <w:rPr>
          <w:rFonts w:cs="Open Sans"/>
          <w:i/>
          <w:iCs/>
        </w:rPr>
        <w:t xml:space="preserve"> </w:t>
      </w:r>
      <w:r>
        <w:rPr>
          <w:rFonts w:cs="Open Sans"/>
          <w:i/>
          <w:iCs/>
        </w:rPr>
        <w:t>Intersex Inquiry</w:t>
      </w:r>
      <w:r w:rsidRPr="009D0214">
        <w:rPr>
          <w:rFonts w:cs="Open Sans"/>
        </w:rPr>
        <w:t>;</w:t>
      </w:r>
      <w:r>
        <w:t xml:space="preserve"> </w:t>
      </w:r>
      <w:r w:rsidRPr="00643914">
        <w:t>NHMRC funded research program</w:t>
      </w:r>
      <w:r>
        <w:t>, Submission</w:t>
      </w:r>
      <w:r w:rsidRPr="00643914">
        <w:t xml:space="preserve"> </w:t>
      </w:r>
      <w:r>
        <w:t>30</w:t>
      </w:r>
      <w:r w:rsidRPr="009D0214">
        <w:rPr>
          <w:rFonts w:cs="Open Sans"/>
          <w:i/>
          <w:iCs/>
        </w:rPr>
        <w:t xml:space="preserve"> </w:t>
      </w:r>
      <w:r>
        <w:rPr>
          <w:rFonts w:cs="Open Sans"/>
          <w:i/>
          <w:iCs/>
        </w:rPr>
        <w:t>Intersex Inquiry</w:t>
      </w:r>
      <w:r>
        <w:t>.</w:t>
      </w:r>
    </w:p>
  </w:endnote>
  <w:endnote w:id="582">
    <w:p w:rsidRPr="00275471" w:rsidR="00740A25" w:rsidP="00740A25" w:rsidRDefault="00740A25" w14:paraId="69E62686" w14:textId="77777777">
      <w:pPr>
        <w:pStyle w:val="EndnoteText"/>
        <w:rPr>
          <w:lang w:val="en-US"/>
        </w:rPr>
      </w:pPr>
      <w:r>
        <w:rPr>
          <w:rStyle w:val="EndnoteReference"/>
        </w:rPr>
        <w:endnoteRef/>
      </w:r>
      <w:r>
        <w:t xml:space="preserve"> Submission 50,</w:t>
      </w:r>
      <w:r w:rsidRPr="00356130">
        <w:rPr>
          <w:rFonts w:cs="Open Sans"/>
          <w:i/>
          <w:iCs/>
        </w:rPr>
        <w:t xml:space="preserve"> </w:t>
      </w:r>
      <w:r>
        <w:rPr>
          <w:rFonts w:cs="Open Sans"/>
          <w:i/>
          <w:iCs/>
        </w:rPr>
        <w:t>Intersex Inquiry</w:t>
      </w:r>
      <w:r w:rsidRPr="009D0214">
        <w:rPr>
          <w:rFonts w:cs="Open Sans"/>
        </w:rPr>
        <w:t>,</w:t>
      </w:r>
      <w:r>
        <w:rPr>
          <w:rFonts w:cs="Open Sans"/>
          <w:i/>
          <w:iCs/>
        </w:rPr>
        <w:t xml:space="preserve"> </w:t>
      </w:r>
      <w:r>
        <w:t>3.</w:t>
      </w:r>
    </w:p>
  </w:endnote>
  <w:endnote w:id="583">
    <w:p w:rsidRPr="0028424B" w:rsidR="00740A25" w:rsidP="00740A25" w:rsidRDefault="00740A25" w14:paraId="3D60D266" w14:textId="77777777">
      <w:pPr>
        <w:pStyle w:val="EndnoteText"/>
        <w:rPr>
          <w:lang w:val="en-US"/>
        </w:rPr>
      </w:pPr>
      <w:r w:rsidRPr="0028424B">
        <w:rPr>
          <w:rStyle w:val="EndnoteReference"/>
        </w:rPr>
        <w:endnoteRef/>
      </w:r>
      <w:r w:rsidRPr="0028424B">
        <w:t xml:space="preserve"> Submission 20,</w:t>
      </w:r>
      <w:r w:rsidRPr="00356130">
        <w:rPr>
          <w:rFonts w:cs="Open Sans"/>
          <w:i/>
          <w:iCs/>
        </w:rPr>
        <w:t xml:space="preserve"> </w:t>
      </w:r>
      <w:r>
        <w:rPr>
          <w:rFonts w:cs="Open Sans"/>
          <w:i/>
          <w:iCs/>
        </w:rPr>
        <w:t>Intersex Inquiry</w:t>
      </w:r>
      <w:r w:rsidRPr="009D0214">
        <w:rPr>
          <w:rFonts w:cs="Open Sans"/>
        </w:rPr>
        <w:t>,</w:t>
      </w:r>
      <w:r>
        <w:rPr>
          <w:rFonts w:cs="Open Sans"/>
          <w:i/>
          <w:iCs/>
        </w:rPr>
        <w:t xml:space="preserve"> </w:t>
      </w:r>
      <w:r w:rsidRPr="0028424B">
        <w:t>6.</w:t>
      </w:r>
    </w:p>
  </w:endnote>
  <w:endnote w:id="584">
    <w:p w:rsidRPr="0028424B" w:rsidR="00740A25" w:rsidP="00740A25" w:rsidRDefault="00740A25" w14:paraId="4674663A" w14:textId="77777777">
      <w:pPr>
        <w:spacing w:before="0" w:after="0"/>
        <w:rPr>
          <w:sz w:val="20"/>
          <w:szCs w:val="20"/>
        </w:rPr>
      </w:pPr>
      <w:r w:rsidRPr="0028424B">
        <w:rPr>
          <w:rStyle w:val="EndnoteReference"/>
          <w:szCs w:val="20"/>
        </w:rPr>
        <w:endnoteRef/>
      </w:r>
      <w:r>
        <w:rPr>
          <w:sz w:val="20"/>
          <w:szCs w:val="20"/>
        </w:rPr>
        <w:t xml:space="preserve"> Submission 20,</w:t>
      </w:r>
      <w:r w:rsidRPr="00356130">
        <w:rPr>
          <w:rFonts w:cs="Open Sans"/>
          <w:i/>
          <w:iCs/>
        </w:rPr>
        <w:t xml:space="preserve"> </w:t>
      </w:r>
      <w:r w:rsidRPr="00367DC4">
        <w:rPr>
          <w:rFonts w:cs="Open Sans"/>
          <w:i/>
          <w:iCs/>
          <w:sz w:val="20"/>
          <w:szCs w:val="20"/>
        </w:rPr>
        <w:t>Intersex Inquiry</w:t>
      </w:r>
      <w:r w:rsidRPr="00367DC4">
        <w:rPr>
          <w:rFonts w:cs="Open Sans"/>
          <w:sz w:val="20"/>
          <w:szCs w:val="20"/>
        </w:rPr>
        <w:t>,</w:t>
      </w:r>
      <w:r>
        <w:rPr>
          <w:rFonts w:cs="Open Sans"/>
          <w:i/>
          <w:iCs/>
        </w:rPr>
        <w:t xml:space="preserve"> </w:t>
      </w:r>
      <w:r>
        <w:rPr>
          <w:sz w:val="20"/>
          <w:szCs w:val="20"/>
        </w:rPr>
        <w:t xml:space="preserve">6; </w:t>
      </w:r>
      <w:r w:rsidRPr="00C503B2">
        <w:rPr>
          <w:sz w:val="20"/>
          <w:szCs w:val="20"/>
        </w:rPr>
        <w:t>Western Australian Multidisciplinary DSD Team</w:t>
      </w:r>
      <w:r>
        <w:rPr>
          <w:sz w:val="20"/>
          <w:szCs w:val="20"/>
        </w:rPr>
        <w:t>,</w:t>
      </w:r>
      <w:r w:rsidRPr="00C503B2">
        <w:rPr>
          <w:sz w:val="20"/>
          <w:szCs w:val="20"/>
        </w:rPr>
        <w:t xml:space="preserve"> </w:t>
      </w:r>
      <w:r>
        <w:rPr>
          <w:sz w:val="20"/>
          <w:szCs w:val="20"/>
        </w:rPr>
        <w:t xml:space="preserve">Submission 23, </w:t>
      </w:r>
      <w:bookmarkStart w:name="_Hlk80100184" w:id="474"/>
      <w:r w:rsidRPr="00367DC4">
        <w:rPr>
          <w:rFonts w:cs="Open Sans"/>
          <w:i/>
          <w:iCs/>
          <w:sz w:val="20"/>
          <w:szCs w:val="20"/>
        </w:rPr>
        <w:t>Intersex Inquiry</w:t>
      </w:r>
      <w:r w:rsidRPr="00367DC4">
        <w:rPr>
          <w:rFonts w:cs="Open Sans"/>
          <w:sz w:val="20"/>
          <w:szCs w:val="20"/>
        </w:rPr>
        <w:t>,</w:t>
      </w:r>
      <w:r>
        <w:rPr>
          <w:rFonts w:cs="Open Sans"/>
          <w:i/>
          <w:iCs/>
        </w:rPr>
        <w:t xml:space="preserve"> </w:t>
      </w:r>
      <w:bookmarkEnd w:id="474"/>
      <w:r>
        <w:rPr>
          <w:sz w:val="20"/>
          <w:szCs w:val="20"/>
        </w:rPr>
        <w:t xml:space="preserve">4; </w:t>
      </w:r>
      <w:r w:rsidRPr="0028424B">
        <w:rPr>
          <w:sz w:val="20"/>
          <w:szCs w:val="20"/>
        </w:rPr>
        <w:t xml:space="preserve">Submission </w:t>
      </w:r>
      <w:r w:rsidRPr="002144BF">
        <w:rPr>
          <w:sz w:val="20"/>
          <w:szCs w:val="20"/>
        </w:rPr>
        <w:t>6</w:t>
      </w:r>
      <w:r>
        <w:rPr>
          <w:sz w:val="20"/>
          <w:szCs w:val="20"/>
        </w:rPr>
        <w:t>8,</w:t>
      </w:r>
      <w:r w:rsidRPr="00367DC4">
        <w:rPr>
          <w:rFonts w:cs="Open Sans"/>
          <w:i/>
          <w:iCs/>
          <w:sz w:val="20"/>
          <w:szCs w:val="20"/>
        </w:rPr>
        <w:t xml:space="preserve"> Intersex Inquiry</w:t>
      </w:r>
      <w:r w:rsidRPr="00367DC4">
        <w:rPr>
          <w:rFonts w:cs="Open Sans"/>
          <w:sz w:val="20"/>
          <w:szCs w:val="20"/>
        </w:rPr>
        <w:t>,</w:t>
      </w:r>
      <w:r>
        <w:rPr>
          <w:rFonts w:cs="Open Sans"/>
          <w:i/>
          <w:iCs/>
        </w:rPr>
        <w:t xml:space="preserve"> </w:t>
      </w:r>
      <w:r>
        <w:rPr>
          <w:sz w:val="20"/>
          <w:szCs w:val="20"/>
        </w:rPr>
        <w:t>6; Submission 57,</w:t>
      </w:r>
      <w:r w:rsidRPr="00367DC4">
        <w:rPr>
          <w:rFonts w:cs="Open Sans"/>
          <w:i/>
          <w:iCs/>
          <w:sz w:val="20"/>
          <w:szCs w:val="20"/>
        </w:rPr>
        <w:t xml:space="preserve"> Intersex Inquiry</w:t>
      </w:r>
      <w:r>
        <w:rPr>
          <w:sz w:val="20"/>
          <w:szCs w:val="20"/>
        </w:rPr>
        <w:t>.</w:t>
      </w:r>
    </w:p>
  </w:endnote>
  <w:endnote w:id="585">
    <w:p w:rsidR="00740A25" w:rsidP="00740A25" w:rsidRDefault="00740A25" w14:paraId="7A828A5F" w14:textId="77777777">
      <w:pPr>
        <w:pStyle w:val="EndnoteText"/>
      </w:pPr>
      <w:r>
        <w:rPr>
          <w:rStyle w:val="EndnoteReference"/>
        </w:rPr>
        <w:endnoteRef/>
      </w:r>
      <w:r>
        <w:t xml:space="preserve"> Submission 29,</w:t>
      </w:r>
      <w:r w:rsidRPr="007900E9">
        <w:rPr>
          <w:rFonts w:cs="Open Sans"/>
          <w:i/>
          <w:iCs/>
        </w:rPr>
        <w:t xml:space="preserve"> </w:t>
      </w:r>
      <w:r w:rsidRPr="00367DC4">
        <w:rPr>
          <w:rFonts w:cs="Open Sans"/>
          <w:i/>
          <w:iCs/>
        </w:rPr>
        <w:t>Intersex Inquiry</w:t>
      </w:r>
      <w:r w:rsidRPr="00367DC4">
        <w:rPr>
          <w:rFonts w:cs="Open Sans"/>
        </w:rPr>
        <w:t>,</w:t>
      </w:r>
      <w:r>
        <w:rPr>
          <w:rFonts w:cs="Open Sans"/>
          <w:i/>
          <w:iCs/>
        </w:rPr>
        <w:t xml:space="preserve"> </w:t>
      </w:r>
      <w:r>
        <w:t>2.</w:t>
      </w:r>
    </w:p>
  </w:endnote>
  <w:endnote w:id="586">
    <w:p w:rsidRPr="00755F47" w:rsidR="00740A25" w:rsidP="00740A25" w:rsidRDefault="00740A25" w14:paraId="7D034D67" w14:textId="77777777">
      <w:pPr>
        <w:spacing w:before="0" w:after="0"/>
        <w:rPr>
          <w:lang w:val="en-US"/>
        </w:rPr>
      </w:pPr>
      <w:r w:rsidRPr="00884D34">
        <w:rPr>
          <w:rStyle w:val="EndnoteReference"/>
          <w:szCs w:val="20"/>
        </w:rPr>
        <w:endnoteRef/>
      </w:r>
      <w:r w:rsidRPr="00884D34">
        <w:rPr>
          <w:rStyle w:val="EndnoteReference"/>
          <w:szCs w:val="20"/>
        </w:rPr>
        <w:t xml:space="preserve"> </w:t>
      </w:r>
      <w:r>
        <w:rPr>
          <w:sz w:val="20"/>
          <w:szCs w:val="20"/>
        </w:rPr>
        <w:t xml:space="preserve">Submission </w:t>
      </w:r>
      <w:r w:rsidRPr="004E2031">
        <w:rPr>
          <w:sz w:val="20"/>
          <w:szCs w:val="20"/>
        </w:rPr>
        <w:t>57</w:t>
      </w:r>
      <w:r>
        <w:rPr>
          <w:sz w:val="20"/>
          <w:szCs w:val="20"/>
        </w:rPr>
        <w:t>,</w:t>
      </w:r>
      <w:r w:rsidRPr="007900E9">
        <w:rPr>
          <w:rFonts w:cs="Open Sans"/>
          <w:i/>
          <w:iCs/>
          <w:sz w:val="20"/>
          <w:szCs w:val="20"/>
        </w:rPr>
        <w:t xml:space="preserve"> </w:t>
      </w:r>
      <w:r w:rsidRPr="00367DC4">
        <w:rPr>
          <w:rFonts w:cs="Open Sans"/>
          <w:i/>
          <w:iCs/>
          <w:sz w:val="20"/>
          <w:szCs w:val="20"/>
        </w:rPr>
        <w:t>Intersex Inquiry</w:t>
      </w:r>
      <w:r>
        <w:rPr>
          <w:sz w:val="20"/>
          <w:szCs w:val="20"/>
        </w:rPr>
        <w:t>.</w:t>
      </w:r>
    </w:p>
  </w:endnote>
  <w:endnote w:id="587">
    <w:p w:rsidR="00740A25" w:rsidP="00740A25" w:rsidRDefault="00740A25" w14:paraId="02BD6208" w14:textId="77777777">
      <w:pPr>
        <w:spacing w:before="0" w:after="0"/>
      </w:pPr>
      <w:r w:rsidRPr="00884D34">
        <w:rPr>
          <w:rStyle w:val="EndnoteReference"/>
          <w:szCs w:val="20"/>
        </w:rPr>
        <w:endnoteRef/>
      </w:r>
      <w:r w:rsidRPr="00884D34">
        <w:rPr>
          <w:rStyle w:val="EndnoteReference"/>
          <w:szCs w:val="20"/>
        </w:rPr>
        <w:t xml:space="preserve"> </w:t>
      </w:r>
      <w:r w:rsidRPr="006D6D47">
        <w:rPr>
          <w:sz w:val="20"/>
          <w:szCs w:val="20"/>
        </w:rPr>
        <w:t xml:space="preserve">Submission 50, </w:t>
      </w:r>
      <w:r w:rsidRPr="00367DC4">
        <w:rPr>
          <w:rFonts w:cs="Open Sans"/>
          <w:i/>
          <w:iCs/>
          <w:sz w:val="20"/>
          <w:szCs w:val="20"/>
        </w:rPr>
        <w:t>Intersex Inquiry</w:t>
      </w:r>
      <w:r w:rsidRPr="00367DC4">
        <w:rPr>
          <w:rFonts w:cs="Open Sans"/>
          <w:sz w:val="20"/>
          <w:szCs w:val="20"/>
        </w:rPr>
        <w:t>,</w:t>
      </w:r>
      <w:r>
        <w:rPr>
          <w:rFonts w:cs="Open Sans"/>
          <w:i/>
          <w:iCs/>
        </w:rPr>
        <w:t xml:space="preserve"> </w:t>
      </w:r>
      <w:r w:rsidRPr="006D6D47">
        <w:rPr>
          <w:sz w:val="20"/>
          <w:szCs w:val="20"/>
        </w:rPr>
        <w:t>3; Submission 29</w:t>
      </w:r>
      <w:r>
        <w:rPr>
          <w:sz w:val="20"/>
          <w:szCs w:val="20"/>
        </w:rPr>
        <w:t>,</w:t>
      </w:r>
      <w:r w:rsidRPr="007900E9">
        <w:rPr>
          <w:rFonts w:cs="Open Sans"/>
          <w:i/>
          <w:iCs/>
          <w:sz w:val="20"/>
          <w:szCs w:val="20"/>
        </w:rPr>
        <w:t xml:space="preserve"> </w:t>
      </w:r>
      <w:r w:rsidRPr="00367DC4">
        <w:rPr>
          <w:rFonts w:cs="Open Sans"/>
          <w:i/>
          <w:iCs/>
          <w:sz w:val="20"/>
          <w:szCs w:val="20"/>
        </w:rPr>
        <w:t>Intersex Inquiry</w:t>
      </w:r>
      <w:r w:rsidRPr="006D6D47">
        <w:rPr>
          <w:sz w:val="20"/>
          <w:szCs w:val="20"/>
        </w:rPr>
        <w:t>.</w:t>
      </w:r>
    </w:p>
  </w:endnote>
  <w:endnote w:id="588">
    <w:p w:rsidR="00740A25" w:rsidP="00740A25" w:rsidRDefault="00740A25" w14:paraId="366678E4" w14:textId="77777777">
      <w:pPr>
        <w:pStyle w:val="EndnoteText"/>
      </w:pPr>
      <w:r>
        <w:rPr>
          <w:rStyle w:val="EndnoteReference"/>
        </w:rPr>
        <w:endnoteRef/>
      </w:r>
      <w:r>
        <w:t xml:space="preserve"> Australasian Paediatric Endocrine Group, Submission 20, </w:t>
      </w:r>
      <w:r w:rsidRPr="00367DC4">
        <w:rPr>
          <w:rFonts w:cs="Open Sans"/>
          <w:i/>
          <w:iCs/>
        </w:rPr>
        <w:t>Intersex Inquiry</w:t>
      </w:r>
      <w:r w:rsidRPr="00367DC4">
        <w:rPr>
          <w:rFonts w:cs="Open Sans"/>
        </w:rPr>
        <w:t>,</w:t>
      </w:r>
      <w:r>
        <w:rPr>
          <w:rFonts w:cs="Open Sans"/>
          <w:i/>
          <w:iCs/>
        </w:rPr>
        <w:t xml:space="preserve"> </w:t>
      </w:r>
      <w:r>
        <w:t>6.</w:t>
      </w:r>
    </w:p>
  </w:endnote>
  <w:endnote w:id="589">
    <w:p w:rsidR="00740A25" w:rsidP="00740A25" w:rsidRDefault="00740A25" w14:paraId="14388E36" w14:textId="77777777">
      <w:pPr>
        <w:pStyle w:val="EndnoteText"/>
      </w:pPr>
      <w:r>
        <w:rPr>
          <w:rStyle w:val="EndnoteReference"/>
        </w:rPr>
        <w:endnoteRef/>
      </w:r>
      <w:r>
        <w:t xml:space="preserve"> Submission 36,</w:t>
      </w:r>
      <w:r w:rsidRPr="007900E9">
        <w:rPr>
          <w:rFonts w:cs="Open Sans"/>
          <w:i/>
          <w:iCs/>
        </w:rPr>
        <w:t xml:space="preserve"> </w:t>
      </w:r>
      <w:r w:rsidRPr="00367DC4">
        <w:rPr>
          <w:rFonts w:cs="Open Sans"/>
          <w:i/>
          <w:iCs/>
        </w:rPr>
        <w:t>Intersex Inquiry</w:t>
      </w:r>
      <w:r w:rsidRPr="00367DC4">
        <w:rPr>
          <w:rFonts w:cs="Open Sans"/>
        </w:rPr>
        <w:t>,</w:t>
      </w:r>
      <w:r>
        <w:rPr>
          <w:rFonts w:cs="Open Sans"/>
          <w:i/>
          <w:iCs/>
        </w:rPr>
        <w:t xml:space="preserve"> </w:t>
      </w:r>
      <w:r>
        <w:t xml:space="preserve">15. </w:t>
      </w:r>
    </w:p>
  </w:endnote>
  <w:endnote w:id="590">
    <w:p w:rsidR="00740A25" w:rsidP="00740A25" w:rsidRDefault="00740A25" w14:paraId="58B46DC1" w14:textId="77777777">
      <w:pPr>
        <w:pStyle w:val="EndnoteText"/>
      </w:pPr>
      <w:r>
        <w:rPr>
          <w:rStyle w:val="EndnoteReference"/>
        </w:rPr>
        <w:endnoteRef/>
      </w:r>
      <w:r>
        <w:t xml:space="preserve"> Submission 35,</w:t>
      </w:r>
      <w:r w:rsidRPr="007900E9">
        <w:rPr>
          <w:rFonts w:cs="Open Sans"/>
          <w:i/>
          <w:iCs/>
        </w:rPr>
        <w:t xml:space="preserve"> </w:t>
      </w:r>
      <w:r w:rsidRPr="00367DC4">
        <w:rPr>
          <w:rFonts w:cs="Open Sans"/>
          <w:i/>
          <w:iCs/>
        </w:rPr>
        <w:t>Intersex Inquiry</w:t>
      </w:r>
      <w:r w:rsidRPr="00367DC4">
        <w:rPr>
          <w:rFonts w:cs="Open Sans"/>
        </w:rPr>
        <w:t>,</w:t>
      </w:r>
      <w:r>
        <w:rPr>
          <w:rFonts w:cs="Open Sans"/>
          <w:i/>
          <w:iCs/>
        </w:rPr>
        <w:t xml:space="preserve"> </w:t>
      </w:r>
      <w:r>
        <w:t>2; Submission 56,</w:t>
      </w:r>
      <w:r w:rsidRPr="007900E9">
        <w:rPr>
          <w:rFonts w:cs="Open Sans"/>
          <w:i/>
          <w:iCs/>
        </w:rPr>
        <w:t xml:space="preserve"> </w:t>
      </w:r>
      <w:r w:rsidRPr="00367DC4">
        <w:rPr>
          <w:rFonts w:cs="Open Sans"/>
          <w:i/>
          <w:iCs/>
        </w:rPr>
        <w:t>Intersex Inquiry</w:t>
      </w:r>
      <w:r w:rsidRPr="00367DC4">
        <w:rPr>
          <w:rFonts w:cs="Open Sans"/>
        </w:rPr>
        <w:t>,</w:t>
      </w:r>
      <w:r>
        <w:rPr>
          <w:rFonts w:cs="Open Sans"/>
          <w:i/>
          <w:iCs/>
        </w:rPr>
        <w:t xml:space="preserve"> </w:t>
      </w:r>
      <w:r>
        <w:t>7; Submission 41,</w:t>
      </w:r>
      <w:r w:rsidRPr="007900E9">
        <w:rPr>
          <w:rFonts w:cs="Open Sans"/>
          <w:i/>
          <w:iCs/>
        </w:rPr>
        <w:t xml:space="preserve"> </w:t>
      </w:r>
      <w:r w:rsidRPr="00367DC4">
        <w:rPr>
          <w:rFonts w:cs="Open Sans"/>
          <w:i/>
          <w:iCs/>
        </w:rPr>
        <w:t>Intersex Inquiry</w:t>
      </w:r>
      <w:r w:rsidRPr="00367DC4">
        <w:rPr>
          <w:rFonts w:cs="Open Sans"/>
        </w:rPr>
        <w:t>,</w:t>
      </w:r>
      <w:r>
        <w:rPr>
          <w:rFonts w:cs="Open Sans"/>
          <w:i/>
          <w:iCs/>
        </w:rPr>
        <w:t xml:space="preserve"> </w:t>
      </w:r>
      <w:r>
        <w:t xml:space="preserve">8; Submission 61, </w:t>
      </w:r>
      <w:r w:rsidRPr="00367DC4">
        <w:rPr>
          <w:rFonts w:cs="Open Sans"/>
          <w:i/>
          <w:iCs/>
        </w:rPr>
        <w:t>Intersex Inquiry</w:t>
      </w:r>
      <w:r w:rsidRPr="00367DC4">
        <w:rPr>
          <w:rFonts w:cs="Open Sans"/>
        </w:rPr>
        <w:t>,</w:t>
      </w:r>
      <w:r>
        <w:rPr>
          <w:rFonts w:cs="Open Sans"/>
          <w:i/>
          <w:iCs/>
        </w:rPr>
        <w:t xml:space="preserve"> </w:t>
      </w:r>
      <w:r>
        <w:t>6; Submission 57,</w:t>
      </w:r>
      <w:r w:rsidRPr="007900E9">
        <w:rPr>
          <w:rFonts w:cs="Open Sans"/>
          <w:i/>
          <w:iCs/>
        </w:rPr>
        <w:t xml:space="preserve"> </w:t>
      </w:r>
      <w:r w:rsidRPr="00367DC4">
        <w:rPr>
          <w:rFonts w:cs="Open Sans"/>
          <w:i/>
          <w:iCs/>
        </w:rPr>
        <w:t>Intersex Inquiry</w:t>
      </w:r>
      <w:r>
        <w:t xml:space="preserve">; Submission 54, </w:t>
      </w:r>
      <w:r w:rsidRPr="00367DC4">
        <w:rPr>
          <w:rFonts w:cs="Open Sans"/>
          <w:i/>
          <w:iCs/>
        </w:rPr>
        <w:t>Intersex Inquiry</w:t>
      </w:r>
      <w:r w:rsidRPr="00367DC4">
        <w:rPr>
          <w:rFonts w:cs="Open Sans"/>
        </w:rPr>
        <w:t>,</w:t>
      </w:r>
      <w:r>
        <w:rPr>
          <w:rFonts w:cs="Open Sans"/>
          <w:i/>
          <w:iCs/>
        </w:rPr>
        <w:t xml:space="preserve"> </w:t>
      </w:r>
      <w:r>
        <w:t>5; see also paragraph 16(b) of the Darlington Statement. For example, there has been a noticeable absence of independent advocates for the child or other contradictors.</w:t>
      </w:r>
    </w:p>
  </w:endnote>
  <w:endnote w:id="591">
    <w:p w:rsidR="00740A25" w:rsidP="00740A25" w:rsidRDefault="00740A25" w14:paraId="1CE37189" w14:textId="77777777">
      <w:pPr>
        <w:pStyle w:val="EndnoteText"/>
      </w:pPr>
      <w:r>
        <w:rPr>
          <w:rStyle w:val="EndnoteReference"/>
        </w:rPr>
        <w:endnoteRef/>
      </w:r>
      <w:r>
        <w:t xml:space="preserve"> Submission 57,</w:t>
      </w:r>
      <w:r w:rsidRPr="00FC2951">
        <w:rPr>
          <w:rFonts w:cs="Open Sans"/>
          <w:i/>
          <w:iCs/>
        </w:rPr>
        <w:t xml:space="preserve"> </w:t>
      </w:r>
      <w:r w:rsidRPr="00367DC4">
        <w:rPr>
          <w:rFonts w:cs="Open Sans"/>
          <w:i/>
          <w:iCs/>
        </w:rPr>
        <w:t>Intersex Inquiry</w:t>
      </w:r>
      <w:r>
        <w:t>.</w:t>
      </w:r>
    </w:p>
  </w:endnote>
  <w:endnote w:id="592">
    <w:p w:rsidRPr="00530127" w:rsidR="00740A25" w:rsidP="00740A25" w:rsidRDefault="00740A25" w14:paraId="5C87683D" w14:textId="77777777">
      <w:pPr>
        <w:pStyle w:val="EndnoteText"/>
        <w:rPr>
          <w:lang w:val="en-US"/>
        </w:rPr>
      </w:pPr>
      <w:r>
        <w:rPr>
          <w:rStyle w:val="EndnoteReference"/>
        </w:rPr>
        <w:endnoteRef/>
      </w:r>
      <w:r>
        <w:t xml:space="preserve"> </w:t>
      </w:r>
      <w:r>
        <w:rPr>
          <w:lang w:val="en-US"/>
        </w:rPr>
        <w:t>Submission 57,</w:t>
      </w:r>
      <w:r w:rsidRPr="00FC2951">
        <w:rPr>
          <w:rFonts w:cs="Open Sans"/>
          <w:i/>
          <w:iCs/>
        </w:rPr>
        <w:t xml:space="preserve"> </w:t>
      </w:r>
      <w:r w:rsidRPr="00367DC4">
        <w:rPr>
          <w:rFonts w:cs="Open Sans"/>
          <w:i/>
          <w:iCs/>
        </w:rPr>
        <w:t>Intersex Inquiry</w:t>
      </w:r>
      <w:r>
        <w:rPr>
          <w:lang w:val="en-US"/>
        </w:rPr>
        <w:t>.</w:t>
      </w:r>
    </w:p>
  </w:endnote>
  <w:endnote w:id="593">
    <w:p w:rsidRPr="00530127" w:rsidR="00740A25" w:rsidP="00740A25" w:rsidRDefault="00740A25" w14:paraId="51B6D356" w14:textId="77777777">
      <w:pPr>
        <w:pStyle w:val="EndnoteText"/>
        <w:rPr>
          <w:lang w:val="en-US"/>
        </w:rPr>
      </w:pPr>
      <w:r>
        <w:rPr>
          <w:rStyle w:val="EndnoteReference"/>
        </w:rPr>
        <w:endnoteRef/>
      </w:r>
      <w:r>
        <w:t xml:space="preserve"> </w:t>
      </w:r>
      <w:r>
        <w:rPr>
          <w:lang w:val="en-US"/>
        </w:rPr>
        <w:t>Submission 29,</w:t>
      </w:r>
      <w:r w:rsidRPr="00FC2951">
        <w:rPr>
          <w:rFonts w:cs="Open Sans"/>
          <w:i/>
          <w:iCs/>
        </w:rPr>
        <w:t xml:space="preserve"> </w:t>
      </w:r>
      <w:r w:rsidRPr="00367DC4">
        <w:rPr>
          <w:rFonts w:cs="Open Sans"/>
          <w:i/>
          <w:iCs/>
        </w:rPr>
        <w:t>Intersex Inquiry</w:t>
      </w:r>
      <w:r w:rsidRPr="00367DC4">
        <w:rPr>
          <w:rFonts w:cs="Open Sans"/>
        </w:rPr>
        <w:t>,</w:t>
      </w:r>
      <w:r>
        <w:rPr>
          <w:lang w:val="en-US"/>
        </w:rPr>
        <w:t xml:space="preserve"> 2. See </w:t>
      </w:r>
      <w:r w:rsidRPr="00610F0B">
        <w:rPr>
          <w:i/>
          <w:iCs/>
          <w:lang w:val="en-US"/>
        </w:rPr>
        <w:t>Re Carla</w:t>
      </w:r>
      <w:r>
        <w:rPr>
          <w:lang w:val="en-US"/>
        </w:rPr>
        <w:t>, [15].</w:t>
      </w:r>
    </w:p>
  </w:endnote>
  <w:endnote w:id="594">
    <w:p w:rsidR="00740A25" w:rsidP="00740A25" w:rsidRDefault="00740A25" w14:paraId="6DD668A6" w14:textId="77777777">
      <w:pPr>
        <w:pStyle w:val="EndnoteText"/>
      </w:pPr>
      <w:r>
        <w:rPr>
          <w:rStyle w:val="EndnoteReference"/>
        </w:rPr>
        <w:endnoteRef/>
      </w:r>
      <w:r>
        <w:t xml:space="preserve"> Submission 19,</w:t>
      </w:r>
      <w:r w:rsidRPr="00221BBC">
        <w:rPr>
          <w:rFonts w:cs="Open Sans"/>
          <w:i/>
          <w:iCs/>
        </w:rPr>
        <w:t xml:space="preserve"> </w:t>
      </w:r>
      <w:r w:rsidRPr="00367DC4">
        <w:rPr>
          <w:rFonts w:cs="Open Sans"/>
          <w:i/>
          <w:iCs/>
        </w:rPr>
        <w:t>Intersex Inquiry</w:t>
      </w:r>
      <w:r>
        <w:t>; Submission 56,</w:t>
      </w:r>
      <w:r w:rsidRPr="00221BBC">
        <w:rPr>
          <w:rFonts w:cs="Open Sans"/>
          <w:i/>
          <w:iCs/>
        </w:rPr>
        <w:t xml:space="preserve"> </w:t>
      </w:r>
      <w:r w:rsidRPr="00367DC4">
        <w:rPr>
          <w:rFonts w:cs="Open Sans"/>
          <w:i/>
          <w:iCs/>
        </w:rPr>
        <w:t>Intersex Inquiry</w:t>
      </w:r>
      <w:r w:rsidRPr="00367DC4">
        <w:rPr>
          <w:rFonts w:cs="Open Sans"/>
        </w:rPr>
        <w:t>,</w:t>
      </w:r>
      <w:r>
        <w:rPr>
          <w:rFonts w:cs="Open Sans"/>
          <w:i/>
          <w:iCs/>
        </w:rPr>
        <w:t xml:space="preserve"> </w:t>
      </w:r>
      <w:r>
        <w:t xml:space="preserve">7; Submission 55, </w:t>
      </w:r>
      <w:r w:rsidRPr="00367DC4">
        <w:rPr>
          <w:rFonts w:cs="Open Sans"/>
          <w:i/>
          <w:iCs/>
        </w:rPr>
        <w:t>Intersex Inquiry</w:t>
      </w:r>
      <w:r w:rsidRPr="00367DC4">
        <w:rPr>
          <w:rFonts w:cs="Open Sans"/>
        </w:rPr>
        <w:t>,</w:t>
      </w:r>
      <w:r>
        <w:rPr>
          <w:rFonts w:cs="Open Sans"/>
          <w:i/>
          <w:iCs/>
        </w:rPr>
        <w:t xml:space="preserve"> </w:t>
      </w:r>
      <w:r>
        <w:t xml:space="preserve">8; </w:t>
      </w:r>
      <w:r w:rsidRPr="00A658E8">
        <w:t>Western Australian Multidisciplinary DSD Team</w:t>
      </w:r>
      <w:r>
        <w:t>,</w:t>
      </w:r>
      <w:r w:rsidRPr="00A658E8">
        <w:t xml:space="preserve"> </w:t>
      </w:r>
      <w:r>
        <w:t xml:space="preserve">Submission 23, </w:t>
      </w:r>
      <w:r w:rsidRPr="00367DC4">
        <w:rPr>
          <w:rFonts w:cs="Open Sans"/>
          <w:i/>
          <w:iCs/>
        </w:rPr>
        <w:t>Intersex Inquiry</w:t>
      </w:r>
      <w:r w:rsidRPr="00367DC4">
        <w:rPr>
          <w:rFonts w:cs="Open Sans"/>
        </w:rPr>
        <w:t>,</w:t>
      </w:r>
      <w:r>
        <w:rPr>
          <w:rFonts w:cs="Open Sans"/>
          <w:i/>
          <w:iCs/>
        </w:rPr>
        <w:t xml:space="preserve"> </w:t>
      </w:r>
      <w:r>
        <w:t>4; Australasian Paediatric Endocrine Group, Submission 20,</w:t>
      </w:r>
      <w:r w:rsidRPr="00401E52">
        <w:rPr>
          <w:rFonts w:cs="Open Sans"/>
          <w:i/>
          <w:iCs/>
        </w:rPr>
        <w:t xml:space="preserve"> </w:t>
      </w:r>
      <w:r w:rsidRPr="00367DC4">
        <w:rPr>
          <w:rFonts w:cs="Open Sans"/>
          <w:i/>
          <w:iCs/>
        </w:rPr>
        <w:t>Intersex Inquiry</w:t>
      </w:r>
      <w:r w:rsidRPr="00367DC4">
        <w:rPr>
          <w:rFonts w:cs="Open Sans"/>
        </w:rPr>
        <w:t>,</w:t>
      </w:r>
      <w:r>
        <w:rPr>
          <w:rFonts w:cs="Open Sans"/>
          <w:i/>
          <w:iCs/>
        </w:rPr>
        <w:t xml:space="preserve"> </w:t>
      </w:r>
      <w:r>
        <w:t>6.</w:t>
      </w:r>
    </w:p>
  </w:endnote>
  <w:endnote w:id="595">
    <w:p w:rsidRPr="00AF325D" w:rsidR="00740A25" w:rsidP="00740A25" w:rsidRDefault="00740A25" w14:paraId="5579A369" w14:textId="77777777">
      <w:pPr>
        <w:pStyle w:val="EndnoteText"/>
        <w:rPr>
          <w:lang w:val="en-US"/>
        </w:rPr>
      </w:pPr>
      <w:r>
        <w:rPr>
          <w:rStyle w:val="EndnoteReference"/>
        </w:rPr>
        <w:endnoteRef/>
      </w:r>
      <w:r>
        <w:t xml:space="preserve"> Submission </w:t>
      </w:r>
      <w:r w:rsidRPr="003A496F">
        <w:t>29</w:t>
      </w:r>
      <w:r>
        <w:t xml:space="preserve">, </w:t>
      </w:r>
      <w:r w:rsidRPr="00367DC4">
        <w:rPr>
          <w:rFonts w:cs="Open Sans"/>
          <w:i/>
          <w:iCs/>
        </w:rPr>
        <w:t>Intersex Inquiry</w:t>
      </w:r>
      <w:r w:rsidRPr="00367DC4">
        <w:rPr>
          <w:rFonts w:cs="Open Sans"/>
        </w:rPr>
        <w:t>,</w:t>
      </w:r>
      <w:r>
        <w:rPr>
          <w:rFonts w:cs="Open Sans"/>
          <w:i/>
          <w:iCs/>
        </w:rPr>
        <w:t xml:space="preserve"> </w:t>
      </w:r>
      <w:r w:rsidRPr="003A496F">
        <w:t>2</w:t>
      </w:r>
      <w:r>
        <w:t>.</w:t>
      </w:r>
    </w:p>
  </w:endnote>
  <w:endnote w:id="596">
    <w:p w:rsidR="00740A25" w:rsidP="00740A25" w:rsidRDefault="00740A25" w14:paraId="367EDDC5" w14:textId="77777777">
      <w:pPr>
        <w:pStyle w:val="EndnoteText"/>
      </w:pPr>
      <w:r>
        <w:rPr>
          <w:rStyle w:val="EndnoteReference"/>
        </w:rPr>
        <w:endnoteRef/>
      </w:r>
      <w:r>
        <w:t xml:space="preserve"> </w:t>
      </w:r>
      <w:r w:rsidRPr="7459773F">
        <w:rPr>
          <w:rFonts w:cstheme="minorBidi"/>
          <w:i/>
        </w:rPr>
        <w:t>Re Carla (Medical Procedure)</w:t>
      </w:r>
      <w:r w:rsidRPr="7459773F">
        <w:rPr>
          <w:rFonts w:cstheme="minorBidi"/>
        </w:rPr>
        <w:t xml:space="preserve"> [2016] FamCA 7, [2].</w:t>
      </w:r>
    </w:p>
  </w:endnote>
  <w:endnote w:id="597">
    <w:p w:rsidRPr="00AE4541" w:rsidR="00740A25" w:rsidP="00740A25" w:rsidRDefault="00740A25" w14:paraId="3C0E9440" w14:textId="77777777">
      <w:pPr>
        <w:pStyle w:val="EndnoteText"/>
      </w:pPr>
      <w:r>
        <w:rPr>
          <w:rStyle w:val="EndnoteReference"/>
        </w:rPr>
        <w:endnoteRef/>
      </w:r>
      <w:r>
        <w:t xml:space="preserve"> </w:t>
      </w:r>
      <w:r w:rsidRPr="000300F2">
        <w:rPr>
          <w:i/>
          <w:iCs/>
        </w:rPr>
        <w:t xml:space="preserve">Department of </w:t>
      </w:r>
      <w:r w:rsidRPr="00AE4541">
        <w:rPr>
          <w:i/>
          <w:iCs/>
        </w:rPr>
        <w:t>Health and Community Services (NT) v JWB and SMB</w:t>
      </w:r>
      <w:r w:rsidRPr="00AE4541">
        <w:t xml:space="preserve"> (‘</w:t>
      </w:r>
      <w:r w:rsidRPr="00AE4541">
        <w:rPr>
          <w:i/>
          <w:iCs/>
        </w:rPr>
        <w:t>Re Marion</w:t>
      </w:r>
      <w:r w:rsidRPr="00AE4541">
        <w:t xml:space="preserve">’) (1992) 175 CLR 218, </w:t>
      </w:r>
      <w:r>
        <w:t>272 (Brennan J)</w:t>
      </w:r>
      <w:r w:rsidRPr="00AE4541">
        <w:t xml:space="preserve">. </w:t>
      </w:r>
    </w:p>
  </w:endnote>
  <w:endnote w:id="598">
    <w:p w:rsidRPr="001A2AF4" w:rsidR="00740A25" w:rsidP="00740A25" w:rsidRDefault="00740A25" w14:paraId="7B5010D9" w14:textId="77777777">
      <w:pPr>
        <w:pStyle w:val="EndnoteText"/>
        <w:rPr>
          <w:lang w:val="en-US"/>
        </w:rPr>
      </w:pPr>
      <w:r>
        <w:rPr>
          <w:rStyle w:val="EndnoteReference"/>
        </w:rPr>
        <w:endnoteRef/>
      </w:r>
      <w:r>
        <w:t xml:space="preserve"> </w:t>
      </w:r>
      <w:r>
        <w:fldChar w:fldCharType="begin"/>
      </w:r>
      <w:r>
        <w:instrText xml:space="preserve"> ADDIN ZOTERO_ITEM CSL_CITATION {"citationID":"yxQCCF4a","properties":{"formattedCitation":"Senate Community Affairs References Committee, Parliament of Australia, Involuntary or Coerced Sterilisation of Intersex People in Australia (2013). At Http://Www.Aph.Gov.Au/Parliamentary_Business/Committees/Senate/Community_Affairs/Involuntary_Sterilisation/Sec_Report/~/Media/Committees/Senate/Committee/Clac_ctte/Involuntary_sterilisation/Second_report/Report.Ashx.","plainCitation":"Senate Community Affairs References Committee, Parliament of Australia, Involuntary or Coerced Sterilisation of Intersex People in Australia (2013). At Http://Www.Aph.Gov.Au/Parliamentary_Business/Committees/Senate/Community_Affairs/Involuntary_Sterilisation/Sec_Report/~/Media/Committees/Senate/Committee/Clac_ctte/Involuntary_sterilisation/Second_report/Report.Ashx.","noteIndex":1},"citationItems":[{"id":5543,"uris":["http://zotero.org/groups/1703699/items/LNPHYDJG"],"uri":["http://zotero.org/groups/1703699/items/LNPHYDJG"],"itemData":{"id":5543,"type":"bill","title":"Senate Community Affairs References Committee, Parliament of Australia, Involuntary or coerced sterilisation of intersex people in Australia (2013). At http://www.aph.gov.au/Parliamentary_Business/Committees/Senate/Community_Affairs/Involuntary_Sterilisation/Sec_Report/~/media/Committees/Senate/committee/clac_ctte/involuntary_sterilisation/second_report/report.ashx"}}],"schema":"https://github.com/citation-style-language/schema/raw/master/csl-citation.json"} </w:instrText>
      </w:r>
      <w:r>
        <w:fldChar w:fldCharType="separate"/>
      </w:r>
      <w:r w:rsidRPr="00E3407D">
        <w:rPr>
          <w:rFonts w:cs="Open Sans"/>
        </w:rPr>
        <w:t xml:space="preserve">Senate Community Affairs References Committee, Parliament of Australia, </w:t>
      </w:r>
      <w:r w:rsidRPr="00036609">
        <w:rPr>
          <w:rFonts w:cs="Open Sans"/>
          <w:i/>
          <w:iCs/>
        </w:rPr>
        <w:t>Involuntary or Coerced Sterilisation of Intersex People in Australia</w:t>
      </w:r>
      <w:r w:rsidRPr="00E3407D">
        <w:rPr>
          <w:rFonts w:cs="Open Sans"/>
        </w:rPr>
        <w:t xml:space="preserve"> (2013)</w:t>
      </w:r>
      <w:r>
        <w:rPr>
          <w:rFonts w:cs="Open Sans"/>
        </w:rPr>
        <w:t xml:space="preserve"> </w:t>
      </w:r>
      <w:r>
        <w:rPr>
          <w:lang w:val="en-US"/>
        </w:rPr>
        <w:t xml:space="preserve">99, Rec 6, </w:t>
      </w:r>
      <w:r>
        <w:rPr>
          <w:rFonts w:cs="Open Sans"/>
        </w:rPr>
        <w:t>&lt;h</w:t>
      </w:r>
      <w:r w:rsidRPr="00E3407D">
        <w:rPr>
          <w:rFonts w:cs="Open Sans"/>
        </w:rPr>
        <w:t>ttp://Www.Aph.Gov.Au/Parliamentary_Business/Committees/Senate/Community_Affairs/Involuntary_Sterilisation/Sec_Report/~/Media/Committees/Senate/Committee/Clac_ctte/Involuntary_sterilisation/Second_report/Report.Ashx</w:t>
      </w:r>
      <w:r>
        <w:rPr>
          <w:rFonts w:cs="Open Sans"/>
        </w:rPr>
        <w:t>&gt;</w:t>
      </w:r>
      <w:r w:rsidRPr="00E3407D">
        <w:rPr>
          <w:rFonts w:cs="Open Sans"/>
        </w:rPr>
        <w:t>.</w:t>
      </w:r>
      <w:r>
        <w:fldChar w:fldCharType="end"/>
      </w:r>
    </w:p>
  </w:endnote>
  <w:endnote w:id="599">
    <w:p w:rsidR="00740A25" w:rsidP="00740A25" w:rsidRDefault="00740A25" w14:paraId="49A3619F" w14:textId="77777777">
      <w:pPr>
        <w:pStyle w:val="EndnoteText"/>
      </w:pPr>
      <w:r>
        <w:rPr>
          <w:rStyle w:val="EndnoteReference"/>
        </w:rPr>
        <w:endnoteRef/>
      </w:r>
      <w:r>
        <w:t xml:space="preserve"> Second 2013 Senate Inquiry report, Rec 7.</w:t>
      </w:r>
    </w:p>
  </w:endnote>
  <w:endnote w:id="600">
    <w:p w:rsidRPr="001A2AF4" w:rsidR="00740A25" w:rsidP="00740A25" w:rsidRDefault="00740A25" w14:paraId="1BE4F64B" w14:textId="77777777">
      <w:pPr>
        <w:pStyle w:val="EndnoteText"/>
        <w:rPr>
          <w:lang w:val="en-US"/>
        </w:rPr>
      </w:pPr>
      <w:r>
        <w:rPr>
          <w:rStyle w:val="EndnoteReference"/>
        </w:rPr>
        <w:endnoteRef/>
      </w:r>
      <w:r>
        <w:t xml:space="preserve"> </w:t>
      </w:r>
      <w:r>
        <w:fldChar w:fldCharType="begin"/>
      </w:r>
      <w:r>
        <w:instrText xml:space="preserve"> ADDIN ZOTERO_ITEM CSL_CITATION {"citationID":"yxQCCF4a","properties":{"formattedCitation":"Senate Community Affairs References Committee, Parliament of Australia, Involuntary or Coerced Sterilisation of Intersex People in Australia (2013). At Http://Www.Aph.Gov.Au/Parliamentary_Business/Committees/Senate/Community_Affairs/Involuntary_Sterilisation/Sec_Report/~/Media/Committees/Senate/Committee/Clac_ctte/Involuntary_sterilisation/Second_report/Report.Ashx.","plainCitation":"Senate Community Affairs References Committee, Parliament of Australia, Involuntary or Coerced Sterilisation of Intersex People in Australia (2013). At Http://Www.Aph.Gov.Au/Parliamentary_Business/Committees/Senate/Community_Affairs/Involuntary_Sterilisation/Sec_Report/~/Media/Committees/Senate/Committee/Clac_ctte/Involuntary_sterilisation/Second_report/Report.Ashx.","noteIndex":1},"citationItems":[{"id":5543,"uris":["http://zotero.org/groups/1703699/items/LNPHYDJG"],"uri":["http://zotero.org/groups/1703699/items/LNPHYDJG"],"itemData":{"id":5543,"type":"bill","title":"Senate Community Affairs References Committee, Parliament of Australia, Involuntary or coerced sterilisation of intersex people in Australia (2013). At http://www.aph.gov.au/Parliamentary_Business/Committees/Senate/Community_Affairs/Involuntary_Sterilisation/Sec_Report/~/media/Committees/Senate/committee/clac_ctte/involuntary_sterilisation/second_report/report.ashx"}}],"schema":"https://github.com/citation-style-language/schema/raw/master/csl-citation.json"} </w:instrText>
      </w:r>
      <w:r>
        <w:fldChar w:fldCharType="separate"/>
      </w:r>
      <w:r w:rsidRPr="00E3407D">
        <w:rPr>
          <w:rFonts w:cs="Open Sans"/>
        </w:rPr>
        <w:t xml:space="preserve">Senate Community Affairs References Committee, Parliament of Australia, </w:t>
      </w:r>
      <w:r w:rsidRPr="009F2995">
        <w:rPr>
          <w:rFonts w:cs="Open Sans"/>
          <w:i/>
          <w:iCs/>
        </w:rPr>
        <w:t>Involuntary or Coerced Sterilisation of Intersex People in Australia</w:t>
      </w:r>
      <w:r w:rsidRPr="00E3407D">
        <w:rPr>
          <w:rFonts w:cs="Open Sans"/>
        </w:rPr>
        <w:t xml:space="preserve"> (2013)</w:t>
      </w:r>
      <w:r>
        <w:rPr>
          <w:rFonts w:cs="Open Sans"/>
        </w:rPr>
        <w:t xml:space="preserve"> </w:t>
      </w:r>
      <w:r>
        <w:rPr>
          <w:lang w:val="en-US"/>
        </w:rPr>
        <w:t xml:space="preserve">93, </w:t>
      </w:r>
      <w:r>
        <w:rPr>
          <w:rFonts w:cs="Open Sans"/>
        </w:rPr>
        <w:t>&lt;h</w:t>
      </w:r>
      <w:r w:rsidRPr="00E3407D">
        <w:rPr>
          <w:rFonts w:cs="Open Sans"/>
        </w:rPr>
        <w:t>ttp://Www.Aph.Gov.Au/Parliamentary_Business/Committees/Senate/Community_Affairs/Involuntary_Sterilisation/Sec_Report/~/Media/Committees/Senate/Committee/Clac_ctte/Involuntary_sterilisation/Second_report/Report.Ashx</w:t>
      </w:r>
      <w:r>
        <w:rPr>
          <w:rFonts w:cs="Open Sans"/>
        </w:rPr>
        <w:t>&gt;</w:t>
      </w:r>
      <w:r w:rsidRPr="00E3407D">
        <w:rPr>
          <w:rFonts w:cs="Open Sans"/>
        </w:rPr>
        <w:t>.</w:t>
      </w:r>
      <w:r>
        <w:fldChar w:fldCharType="end"/>
      </w:r>
    </w:p>
  </w:endnote>
  <w:endnote w:id="601">
    <w:p w:rsidRPr="003A496F" w:rsidR="00740A25" w:rsidP="00740A25" w:rsidRDefault="00740A25" w14:paraId="39C95371" w14:textId="77777777">
      <w:pPr>
        <w:pStyle w:val="EndnoteText"/>
        <w:rPr>
          <w:lang w:val="en-US"/>
        </w:rPr>
      </w:pPr>
      <w:r>
        <w:rPr>
          <w:rStyle w:val="EndnoteReference"/>
        </w:rPr>
        <w:endnoteRef/>
      </w:r>
      <w:r>
        <w:t xml:space="preserve"> </w:t>
      </w:r>
      <w:r>
        <w:fldChar w:fldCharType="begin"/>
      </w:r>
      <w:r>
        <w:instrText xml:space="preserve"> ADDIN ZOTERO_ITEM CSL_CITATION {"citationID":"yxQCCF4a","properties":{"formattedCitation":"Senate Community Affairs References Committee, Parliament of Australia, Involuntary or Coerced Sterilisation of Intersex People in Australia (2013). At Http://Www.Aph.Gov.Au/Parliamentary_Business/Committees/Senate/Community_Affairs/Involuntary_Sterilisation/Sec_Report/~/Media/Committees/Senate/Committee/Clac_ctte/Involuntary_sterilisation/Second_report/Report.Ashx.","plainCitation":"Senate Community Affairs References Committee, Parliament of Australia, Involuntary or Coerced Sterilisation of Intersex People in Australia (2013). At Http://Www.Aph.Gov.Au/Parliamentary_Business/Committees/Senate/Community_Affairs/Involuntary_Sterilisation/Sec_Report/~/Media/Committees/Senate/Committee/Clac_ctte/Involuntary_sterilisation/Second_report/Report.Ashx.","noteIndex":1},"citationItems":[{"id":5543,"uris":["http://zotero.org/groups/1703699/items/LNPHYDJG"],"uri":["http://zotero.org/groups/1703699/items/LNPHYDJG"],"itemData":{"id":5543,"type":"bill","title":"Senate Community Affairs References Committee, Parliament of Australia, Involuntary or coerced sterilisation of intersex people in Australia (2013). At http://www.aph.gov.au/Parliamentary_Business/Committees/Senate/Community_Affairs/Involuntary_Sterilisation/Sec_Report/~/media/Committees/Senate/committee/clac_ctte/involuntary_sterilisation/second_report/report.ashx"}}],"schema":"https://github.com/citation-style-language/schema/raw/master/csl-citation.json"} </w:instrText>
      </w:r>
      <w:r>
        <w:fldChar w:fldCharType="separate"/>
      </w:r>
      <w:r w:rsidRPr="00E3407D">
        <w:rPr>
          <w:rFonts w:cs="Open Sans"/>
        </w:rPr>
        <w:t xml:space="preserve">Senate Community Affairs References Committee, Parliament of Australia, </w:t>
      </w:r>
      <w:r w:rsidRPr="009F2995">
        <w:rPr>
          <w:rFonts w:cs="Open Sans"/>
          <w:i/>
          <w:iCs/>
        </w:rPr>
        <w:t>Involuntary or Coerced Sterilisation of Intersex People in Australia</w:t>
      </w:r>
      <w:r w:rsidRPr="00E3407D">
        <w:rPr>
          <w:rFonts w:cs="Open Sans"/>
        </w:rPr>
        <w:t xml:space="preserve"> (2013)</w:t>
      </w:r>
      <w:r>
        <w:rPr>
          <w:rFonts w:cs="Open Sans"/>
        </w:rPr>
        <w:t xml:space="preserve"> </w:t>
      </w:r>
      <w:r>
        <w:rPr>
          <w:lang w:val="en-US"/>
        </w:rPr>
        <w:t>99,</w:t>
      </w:r>
      <w:r w:rsidRPr="00E3407D">
        <w:rPr>
          <w:rFonts w:cs="Open Sans"/>
        </w:rPr>
        <w:t xml:space="preserve"> </w:t>
      </w:r>
      <w:r>
        <w:rPr>
          <w:rFonts w:cs="Open Sans"/>
        </w:rPr>
        <w:t>&lt;h</w:t>
      </w:r>
      <w:r w:rsidRPr="00E3407D">
        <w:rPr>
          <w:rFonts w:cs="Open Sans"/>
        </w:rPr>
        <w:t>ttp://Www.Aph.Gov.Au/Parliamentary_Business/Committees/Senate/Community_Affairs/Involuntary_Sterilisation/Sec_Report/~/Media/Committees/Senate/Committee/Clac_ctte/Involuntary_sterilisation/Second_report/Report.Ashx</w:t>
      </w:r>
      <w:r>
        <w:rPr>
          <w:rFonts w:cs="Open Sans"/>
        </w:rPr>
        <w:t>&gt;</w:t>
      </w:r>
      <w:r w:rsidRPr="00E3407D">
        <w:rPr>
          <w:rFonts w:cs="Open Sans"/>
        </w:rPr>
        <w:t>.</w:t>
      </w:r>
      <w:r>
        <w:fldChar w:fldCharType="end"/>
      </w:r>
    </w:p>
  </w:endnote>
  <w:endnote w:id="602">
    <w:p w:rsidRPr="001A2AF4" w:rsidR="00740A25" w:rsidP="00740A25" w:rsidRDefault="00740A25" w14:paraId="7B92F8BA" w14:textId="77777777">
      <w:pPr>
        <w:pStyle w:val="EndnoteText"/>
        <w:rPr>
          <w:lang w:val="en-US"/>
        </w:rPr>
      </w:pPr>
      <w:r>
        <w:rPr>
          <w:rStyle w:val="EndnoteReference"/>
        </w:rPr>
        <w:endnoteRef/>
      </w:r>
      <w:r>
        <w:t xml:space="preserve"> </w:t>
      </w:r>
      <w:r>
        <w:fldChar w:fldCharType="begin"/>
      </w:r>
      <w:r>
        <w:instrText xml:space="preserve"> ADDIN ZOTERO_ITEM CSL_CITATION {"citationID":"yxQCCF4a","properties":{"formattedCitation":"Senate Community Affairs References Committee, Parliament of Australia, Involuntary or Coerced Sterilisation of Intersex People in Australia (2013). At Http://Www.Aph.Gov.Au/Parliamentary_Business/Committees/Senate/Community_Affairs/Involuntary_Sterilisation/Sec_Report/~/Media/Committees/Senate/Committee/Clac_ctte/Involuntary_sterilisation/Second_report/Report.Ashx.","plainCitation":"Senate Community Affairs References Committee, Parliament of Australia, Involuntary or Coerced Sterilisation of Intersex People in Australia (2013). At Http://Www.Aph.Gov.Au/Parliamentary_Business/Committees/Senate/Community_Affairs/Involuntary_Sterilisation/Sec_Report/~/Media/Committees/Senate/Committee/Clac_ctte/Involuntary_sterilisation/Second_report/Report.Ashx.","noteIndex":1},"citationItems":[{"id":5543,"uris":["http://zotero.org/groups/1703699/items/LNPHYDJG"],"uri":["http://zotero.org/groups/1703699/items/LNPHYDJG"],"itemData":{"id":5543,"type":"bill","title":"Senate Community Affairs References Committee, Parliament of Australia, Involuntary or coerced sterilisation of intersex people in Australia (2013). At http://www.aph.gov.au/Parliamentary_Business/Committees/Senate/Community_Affairs/Involuntary_Sterilisation/Sec_Report/~/media/Committees/Senate/committee/clac_ctte/involuntary_sterilisation/second_report/report.ashx"}}],"schema":"https://github.com/citation-style-language/schema/raw/master/csl-citation.json"} </w:instrText>
      </w:r>
      <w:r>
        <w:fldChar w:fldCharType="separate"/>
      </w:r>
      <w:r w:rsidRPr="00E3407D">
        <w:rPr>
          <w:rFonts w:cs="Open Sans"/>
        </w:rPr>
        <w:t xml:space="preserve">Senate Community Affairs References Committee, Parliament of Australia, </w:t>
      </w:r>
      <w:r w:rsidRPr="009F2995">
        <w:rPr>
          <w:rFonts w:cs="Open Sans"/>
          <w:i/>
          <w:iCs/>
        </w:rPr>
        <w:t>Involuntary or Coerced Sterilisation of Intersex People in Australia</w:t>
      </w:r>
      <w:r w:rsidRPr="00E3407D">
        <w:rPr>
          <w:rFonts w:cs="Open Sans"/>
        </w:rPr>
        <w:t xml:space="preserve"> (2013)</w:t>
      </w:r>
      <w:r>
        <w:rPr>
          <w:rFonts w:cs="Open Sans"/>
        </w:rPr>
        <w:t xml:space="preserve"> </w:t>
      </w:r>
      <w:r>
        <w:rPr>
          <w:lang w:val="en-US"/>
        </w:rPr>
        <w:t xml:space="preserve">98, </w:t>
      </w:r>
      <w:r>
        <w:rPr>
          <w:rFonts w:cs="Open Sans"/>
        </w:rPr>
        <w:t>&lt;h</w:t>
      </w:r>
      <w:r w:rsidRPr="00E3407D">
        <w:rPr>
          <w:rFonts w:cs="Open Sans"/>
        </w:rPr>
        <w:t>ttp://Www.Aph.Gov.Au/Parliamentary_Business/Committees/Senate/Community_Affairs/Involuntary_Sterilisation/Sec_Report/~/Media/Committees/Senate/Committee/Clac_ctte/Involuntary_sterilisation/Second_report/Report.Ashx</w:t>
      </w:r>
      <w:r>
        <w:rPr>
          <w:rFonts w:cs="Open Sans"/>
        </w:rPr>
        <w:t>&gt;</w:t>
      </w:r>
      <w:r w:rsidRPr="00E3407D">
        <w:rPr>
          <w:rFonts w:cs="Open Sans"/>
        </w:rPr>
        <w:t>.</w:t>
      </w:r>
      <w:r>
        <w:fldChar w:fldCharType="end"/>
      </w:r>
    </w:p>
  </w:endnote>
  <w:endnote w:id="603">
    <w:p w:rsidRPr="00C938A5" w:rsidR="00740A25" w:rsidP="00740A25" w:rsidRDefault="00740A25" w14:paraId="505D003D" w14:textId="77777777">
      <w:pPr>
        <w:pStyle w:val="EndnoteText"/>
        <w:rPr>
          <w:lang w:val="en-US"/>
        </w:rPr>
      </w:pPr>
      <w:r>
        <w:rPr>
          <w:rStyle w:val="EndnoteReference"/>
        </w:rPr>
        <w:endnoteRef/>
      </w:r>
      <w:r>
        <w:t xml:space="preserve"> </w:t>
      </w:r>
      <w:r>
        <w:fldChar w:fldCharType="begin"/>
      </w:r>
      <w:r>
        <w:instrText xml:space="preserve"> ADDIN ZOTERO_ITEM CSL_CITATION {"citationID":"yxQCCF4a","properties":{"formattedCitation":"Senate Community Affairs References Committee, Parliament of Australia, Involuntary or Coerced Sterilisation of Intersex People in Australia (2013). At Http://Www.Aph.Gov.Au/Parliamentary_Business/Committees/Senate/Community_Affairs/Involuntary_Sterilisation/Sec_Report/~/Media/Committees/Senate/Committee/Clac_ctte/Involuntary_sterilisation/Second_report/Report.Ashx.","plainCitation":"Senate Community Affairs References Committee, Parliament of Australia, Involuntary or Coerced Sterilisation of Intersex People in Australia (2013). At Http://Www.Aph.Gov.Au/Parliamentary_Business/Committees/Senate/Community_Affairs/Involuntary_Sterilisation/Sec_Report/~/Media/Committees/Senate/Committee/Clac_ctte/Involuntary_sterilisation/Second_report/Report.Ashx.","noteIndex":1},"citationItems":[{"id":5543,"uris":["http://zotero.org/groups/1703699/items/LNPHYDJG"],"uri":["http://zotero.org/groups/1703699/items/LNPHYDJG"],"itemData":{"id":5543,"type":"bill","title":"Senate Community Affairs References Committee, Parliament of Australia, Involuntary or coerced sterilisation of intersex people in Australia (2013). At http://www.aph.gov.au/Parliamentary_Business/Committees/Senate/Community_Affairs/Involuntary_Sterilisation/Sec_Report/~/media/Committees/Senate/committee/clac_ctte/involuntary_sterilisation/second_report/report.ashx"}}],"schema":"https://github.com/citation-style-language/schema/raw/master/csl-citation.json"} </w:instrText>
      </w:r>
      <w:r>
        <w:fldChar w:fldCharType="separate"/>
      </w:r>
      <w:r w:rsidRPr="00E3407D">
        <w:rPr>
          <w:rFonts w:cs="Open Sans"/>
        </w:rPr>
        <w:t xml:space="preserve">Senate Community Affairs References Committee, Parliament of Australia, </w:t>
      </w:r>
      <w:r w:rsidRPr="009F2995">
        <w:rPr>
          <w:rFonts w:cs="Open Sans"/>
          <w:i/>
          <w:iCs/>
        </w:rPr>
        <w:t xml:space="preserve">Involuntary or Coerced Sterilisation of Intersex People in Australia </w:t>
      </w:r>
      <w:r w:rsidRPr="00E3407D">
        <w:rPr>
          <w:rFonts w:cs="Open Sans"/>
        </w:rPr>
        <w:t>(2013)</w:t>
      </w:r>
      <w:r>
        <w:rPr>
          <w:rFonts w:cs="Open Sans"/>
        </w:rPr>
        <w:t xml:space="preserve"> </w:t>
      </w:r>
      <w:r>
        <w:rPr>
          <w:lang w:val="en-US"/>
        </w:rPr>
        <w:t>99,</w:t>
      </w:r>
      <w:r w:rsidRPr="00E3407D">
        <w:rPr>
          <w:rFonts w:cs="Open Sans"/>
        </w:rPr>
        <w:t xml:space="preserve"> </w:t>
      </w:r>
      <w:r>
        <w:rPr>
          <w:rFonts w:cs="Open Sans"/>
        </w:rPr>
        <w:t>&lt;h</w:t>
      </w:r>
      <w:r w:rsidRPr="00E3407D">
        <w:rPr>
          <w:rFonts w:cs="Open Sans"/>
        </w:rPr>
        <w:t>ttp://Www.Aph.Gov.Au/Parliamentary_Business/Committees/Senate/Community_Affairs/Involuntary_Sterilisation/Sec_Report/~/Media/Committees/Senate/Committee/Clac_ctte/Involuntary_sterilisation/Second_report/Report.Ashx</w:t>
      </w:r>
      <w:r>
        <w:rPr>
          <w:rFonts w:cs="Open Sans"/>
        </w:rPr>
        <w:t>&gt;</w:t>
      </w:r>
      <w:r w:rsidRPr="00E3407D">
        <w:rPr>
          <w:rFonts w:cs="Open Sans"/>
        </w:rPr>
        <w:t>.</w:t>
      </w:r>
      <w:r>
        <w:fldChar w:fldCharType="end"/>
      </w:r>
    </w:p>
  </w:endnote>
  <w:endnote w:id="604">
    <w:p w:rsidRPr="00C938A5" w:rsidR="00740A25" w:rsidP="00740A25" w:rsidRDefault="00740A25" w14:paraId="1ADF09FE" w14:textId="77777777">
      <w:pPr>
        <w:pStyle w:val="EndnoteText"/>
        <w:rPr>
          <w:lang w:val="en-US"/>
        </w:rPr>
      </w:pPr>
      <w:r>
        <w:rPr>
          <w:rStyle w:val="EndnoteReference"/>
        </w:rPr>
        <w:endnoteRef/>
      </w:r>
      <w:r>
        <w:t xml:space="preserve"> </w:t>
      </w:r>
      <w:r>
        <w:fldChar w:fldCharType="begin"/>
      </w:r>
      <w:r>
        <w:instrText xml:space="preserve"> ADDIN ZOTERO_ITEM CSL_CITATION {"citationID":"yxQCCF4a","properties":{"formattedCitation":"Senate Community Affairs References Committee, Parliament of Australia, Involuntary or Coerced Sterilisation of Intersex People in Australia (2013). At Http://Www.Aph.Gov.Au/Parliamentary_Business/Committees/Senate/Community_Affairs/Involuntary_Sterilisation/Sec_Report/~/Media/Committees/Senate/Committee/Clac_ctte/Involuntary_sterilisation/Second_report/Report.Ashx.","plainCitation":"Senate Community Affairs References Committee, Parliament of Australia, Involuntary or Coerced Sterilisation of Intersex People in Australia (2013). At Http://Www.Aph.Gov.Au/Parliamentary_Business/Committees/Senate/Community_Affairs/Involuntary_Sterilisation/Sec_Report/~/Media/Committees/Senate/Committee/Clac_ctte/Involuntary_sterilisation/Second_report/Report.Ashx.","noteIndex":1},"citationItems":[{"id":5543,"uris":["http://zotero.org/groups/1703699/items/LNPHYDJG"],"uri":["http://zotero.org/groups/1703699/items/LNPHYDJG"],"itemData":{"id":5543,"type":"bill","title":"Senate Community Affairs References Committee, Parliament of Australia, Involuntary or coerced sterilisation of intersex people in Australia (2013). At http://www.aph.gov.au/Parliamentary_Business/Committees/Senate/Community_Affairs/Involuntary_Sterilisation/Sec_Report/~/media/Committees/Senate/committee/clac_ctte/involuntary_sterilisation/second_report/report.ashx"}}],"schema":"https://github.com/citation-style-language/schema/raw/master/csl-citation.json"} </w:instrText>
      </w:r>
      <w:r>
        <w:fldChar w:fldCharType="separate"/>
      </w:r>
      <w:r>
        <w:fldChar w:fldCharType="begin"/>
      </w:r>
      <w:r>
        <w:instrText xml:space="preserve"> ADDIN ZOTERO_ITEM CSL_CITATION {"citationID":"yxQCCF4a","properties":{"formattedCitation":"Senate Community Affairs References Committee, Parliament of Australia, Involuntary or Coerced Sterilisation of Intersex People in Australia (2013). At Http://Www.Aph.Gov.Au/Parliamentary_Business/Committees/Senate/Community_Affairs/Involuntary_Sterilisation/Sec_Report/~/Media/Committees/Senate/Committee/Clac_ctte/Involuntary_sterilisation/Second_report/Report.Ashx.","plainCitation":"Senate Community Affairs References Committee, Parliament of Australia, Involuntary or Coerced Sterilisation of Intersex People in Australia (2013). At Http://Www.Aph.Gov.Au/Parliamentary_Business/Committees/Senate/Community_Affairs/Involuntary_Sterilisation/Sec_Report/~/Media/Committees/Senate/Committee/Clac_ctte/Involuntary_sterilisation/Second_report/Report.Ashx.","noteIndex":1},"citationItems":[{"id":5543,"uris":["http://zotero.org/groups/1703699/items/LNPHYDJG"],"uri":["http://zotero.org/groups/1703699/items/LNPHYDJG"],"itemData":{"id":5543,"type":"bill","title":"Senate Community Affairs References Committee, Parliament of Australia, Involuntary or coerced sterilisation of intersex people in Australia (2013). At http://www.aph.gov.au/Parliamentary_Business/Committees/Senate/Community_Affairs/Involuntary_Sterilisation/Sec_Report/~/media/Committees/Senate/committee/clac_ctte/involuntary_sterilisation/second_report/report.ashx"}}],"schema":"https://github.com/citation-style-language/schema/raw/master/csl-citation.json"} </w:instrText>
      </w:r>
      <w:r>
        <w:fldChar w:fldCharType="separate"/>
      </w:r>
      <w:r w:rsidRPr="00E3407D">
        <w:rPr>
          <w:rFonts w:cs="Open Sans"/>
        </w:rPr>
        <w:t xml:space="preserve">Senate Community Affairs References Committee, Parliament of Australia, </w:t>
      </w:r>
      <w:r w:rsidRPr="009F2995">
        <w:rPr>
          <w:rFonts w:cs="Open Sans"/>
          <w:i/>
          <w:iCs/>
        </w:rPr>
        <w:t xml:space="preserve">Involuntary or Coerced Sterilisation of Intersex People in Australia </w:t>
      </w:r>
      <w:r w:rsidRPr="00E3407D">
        <w:rPr>
          <w:rFonts w:cs="Open Sans"/>
        </w:rPr>
        <w:t>(2013)</w:t>
      </w:r>
      <w:r>
        <w:rPr>
          <w:rFonts w:cs="Open Sans"/>
        </w:rPr>
        <w:t xml:space="preserve"> </w:t>
      </w:r>
      <w:r>
        <w:rPr>
          <w:lang w:val="en-US"/>
        </w:rPr>
        <w:t xml:space="preserve">99, </w:t>
      </w:r>
      <w:r>
        <w:rPr>
          <w:rFonts w:cs="Open Sans"/>
        </w:rPr>
        <w:t>&lt;h</w:t>
      </w:r>
      <w:r w:rsidRPr="00E3407D">
        <w:rPr>
          <w:rFonts w:cs="Open Sans"/>
        </w:rPr>
        <w:t>ttp://Www.Aph.Gov.Au/Parliamentary_Business/Committees/Senate/Community_Affairs/Involuntary_Sterilisation/Sec_Report/~/Media/Committees/Senate/Committee/Clac_ctte/Involuntary_sterilisation/Second_report/Report.Ashx</w:t>
      </w:r>
      <w:r>
        <w:rPr>
          <w:rFonts w:cs="Open Sans"/>
        </w:rPr>
        <w:t>&gt;</w:t>
      </w:r>
      <w:r w:rsidRPr="00E3407D">
        <w:rPr>
          <w:rFonts w:cs="Open Sans"/>
        </w:rPr>
        <w:t>.</w:t>
      </w:r>
      <w:r>
        <w:fldChar w:fldCharType="end"/>
      </w:r>
      <w:r>
        <w:rPr>
          <w:rFonts w:cs="Open Sans"/>
        </w:rPr>
        <w:t>h</w:t>
      </w:r>
      <w:r w:rsidRPr="00E3407D">
        <w:rPr>
          <w:rFonts w:cs="Open Sans"/>
        </w:rPr>
        <w:t>ttp://Www.Aph.Gov.Au/Parliamentary_Business/Committees/Senate/Community_Affairs/Involuntary_Sterilisation/Sec_Report/~/Media/Committees/Senate/Committee/Clac_ctte/Involuntary_sterilisation/Second_report/Report.Ashx.</w:t>
      </w:r>
      <w:r>
        <w:fldChar w:fldCharType="end"/>
      </w:r>
      <w:r>
        <w:t>)</w:t>
      </w:r>
    </w:p>
  </w:endnote>
  <w:endnote w:id="605">
    <w:p w:rsidRPr="00C572FC" w:rsidR="00740A25" w:rsidP="00740A25" w:rsidRDefault="00740A25" w14:paraId="798F02FA" w14:textId="77777777">
      <w:pPr>
        <w:pStyle w:val="EndnoteText"/>
        <w:rPr>
          <w:lang w:val="en-US"/>
        </w:rPr>
      </w:pPr>
      <w:r>
        <w:rPr>
          <w:rStyle w:val="EndnoteReference"/>
        </w:rPr>
        <w:endnoteRef/>
      </w:r>
      <w:r>
        <w:t xml:space="preserve"> </w:t>
      </w:r>
      <w:r>
        <w:rPr>
          <w:lang w:val="en-US"/>
        </w:rPr>
        <w:t xml:space="preserve">Submission </w:t>
      </w:r>
      <w:r>
        <w:t>54,</w:t>
      </w:r>
      <w:r w:rsidRPr="000F3C66">
        <w:rPr>
          <w:rFonts w:cs="Open Sans"/>
          <w:i/>
          <w:iCs/>
        </w:rPr>
        <w:t xml:space="preserve"> </w:t>
      </w:r>
      <w:r w:rsidRPr="00367DC4">
        <w:rPr>
          <w:rFonts w:cs="Open Sans"/>
          <w:i/>
          <w:iCs/>
        </w:rPr>
        <w:t>Intersex Inquiry</w:t>
      </w:r>
      <w:r w:rsidRPr="00367DC4">
        <w:rPr>
          <w:rFonts w:cs="Open Sans"/>
        </w:rPr>
        <w:t>,</w:t>
      </w:r>
      <w:r>
        <w:rPr>
          <w:rFonts w:cs="Open Sans"/>
          <w:i/>
          <w:iCs/>
        </w:rPr>
        <w:t xml:space="preserve"> </w:t>
      </w:r>
      <w:r>
        <w:t>5; A Gender Agenda, Submission 52,</w:t>
      </w:r>
      <w:r w:rsidRPr="00D011F0">
        <w:rPr>
          <w:rFonts w:cs="Open Sans"/>
          <w:i/>
          <w:iCs/>
        </w:rPr>
        <w:t xml:space="preserve"> </w:t>
      </w:r>
      <w:r w:rsidRPr="00367DC4">
        <w:rPr>
          <w:rFonts w:cs="Open Sans"/>
          <w:i/>
          <w:iCs/>
        </w:rPr>
        <w:t>Intersex Inquiry</w:t>
      </w:r>
      <w:r w:rsidRPr="00367DC4">
        <w:rPr>
          <w:rFonts w:cs="Open Sans"/>
        </w:rPr>
        <w:t>,</w:t>
      </w:r>
      <w:r>
        <w:rPr>
          <w:rFonts w:cs="Open Sans"/>
          <w:i/>
          <w:iCs/>
        </w:rPr>
        <w:t xml:space="preserve"> </w:t>
      </w:r>
      <w:r>
        <w:t>6; Royal Australia New Zealand College of Psychiatrists, Submission 26,</w:t>
      </w:r>
      <w:r w:rsidRPr="00D011F0">
        <w:rPr>
          <w:rFonts w:cs="Open Sans"/>
          <w:i/>
          <w:iCs/>
        </w:rPr>
        <w:t xml:space="preserve"> </w:t>
      </w:r>
      <w:r w:rsidRPr="00367DC4">
        <w:rPr>
          <w:rFonts w:cs="Open Sans"/>
          <w:i/>
          <w:iCs/>
        </w:rPr>
        <w:t>Intersex Inquiry</w:t>
      </w:r>
      <w:r w:rsidRPr="00367DC4">
        <w:rPr>
          <w:rFonts w:cs="Open Sans"/>
        </w:rPr>
        <w:t>,</w:t>
      </w:r>
      <w:r>
        <w:rPr>
          <w:rFonts w:cs="Open Sans"/>
          <w:i/>
          <w:iCs/>
        </w:rPr>
        <w:t xml:space="preserve"> </w:t>
      </w:r>
      <w:r>
        <w:t xml:space="preserve">2. </w:t>
      </w:r>
    </w:p>
  </w:endnote>
  <w:endnote w:id="606">
    <w:p w:rsidRPr="00A509AF" w:rsidR="00740A25" w:rsidP="00740A25" w:rsidRDefault="00740A25" w14:paraId="7E722960" w14:textId="77777777">
      <w:pPr>
        <w:pStyle w:val="EndnoteText"/>
        <w:rPr>
          <w:rFonts w:ascii="Arial" w:hAnsi="Arial" w:cs="Arial"/>
        </w:rPr>
      </w:pPr>
      <w:r w:rsidRPr="00A509AF">
        <w:rPr>
          <w:rStyle w:val="EndnoteReference"/>
          <w:rFonts w:ascii="Arial" w:hAnsi="Arial" w:cs="Arial"/>
        </w:rPr>
        <w:endnoteRef/>
      </w:r>
      <w:r w:rsidRPr="00A509AF">
        <w:rPr>
          <w:rFonts w:ascii="Arial" w:hAnsi="Arial" w:cs="Arial"/>
        </w:rPr>
        <w:t xml:space="preserve"> </w:t>
      </w:r>
      <w:r>
        <w:rPr>
          <w:rFonts w:cs="Open Sans"/>
        </w:rPr>
        <w:t xml:space="preserve">Submission </w:t>
      </w:r>
      <w:r w:rsidRPr="00E74186">
        <w:rPr>
          <w:rFonts w:cs="Open Sans"/>
        </w:rPr>
        <w:t>25</w:t>
      </w:r>
      <w:r>
        <w:rPr>
          <w:rFonts w:cs="Open Sans"/>
        </w:rPr>
        <w:t>,</w:t>
      </w:r>
      <w:r w:rsidRPr="00D011F0">
        <w:rPr>
          <w:rFonts w:cs="Open Sans"/>
          <w:i/>
          <w:iCs/>
        </w:rPr>
        <w:t xml:space="preserve"> </w:t>
      </w:r>
      <w:r w:rsidRPr="00367DC4">
        <w:rPr>
          <w:rFonts w:cs="Open Sans"/>
          <w:i/>
          <w:iCs/>
        </w:rPr>
        <w:t>Intersex Inquiry</w:t>
      </w:r>
      <w:r w:rsidRPr="00367DC4">
        <w:rPr>
          <w:rFonts w:cs="Open Sans"/>
        </w:rPr>
        <w:t>,</w:t>
      </w:r>
      <w:r>
        <w:rPr>
          <w:rFonts w:cs="Open Sans"/>
          <w:i/>
          <w:iCs/>
        </w:rPr>
        <w:t xml:space="preserve"> </w:t>
      </w:r>
      <w:r w:rsidRPr="00E74186">
        <w:rPr>
          <w:rFonts w:cs="Open Sans"/>
        </w:rPr>
        <w:t>2</w:t>
      </w:r>
      <w:r>
        <w:rPr>
          <w:rFonts w:cs="Open Sans"/>
        </w:rPr>
        <w:t>;</w:t>
      </w:r>
      <w:r w:rsidRPr="00E74186">
        <w:rPr>
          <w:rFonts w:cs="Open Sans"/>
        </w:rPr>
        <w:t xml:space="preserve"> </w:t>
      </w:r>
      <w:r>
        <w:rPr>
          <w:rFonts w:cs="Open Sans"/>
        </w:rPr>
        <w:t xml:space="preserve">Submission </w:t>
      </w:r>
      <w:r w:rsidRPr="00E74186">
        <w:rPr>
          <w:rFonts w:cs="Open Sans"/>
        </w:rPr>
        <w:t>32</w:t>
      </w:r>
      <w:r>
        <w:rPr>
          <w:rFonts w:cs="Open Sans"/>
        </w:rPr>
        <w:t>,</w:t>
      </w:r>
      <w:r w:rsidRPr="00D011F0">
        <w:rPr>
          <w:rFonts w:cs="Open Sans"/>
          <w:i/>
          <w:iCs/>
        </w:rPr>
        <w:t xml:space="preserve"> </w:t>
      </w:r>
      <w:r w:rsidRPr="00367DC4">
        <w:rPr>
          <w:rFonts w:cs="Open Sans"/>
          <w:i/>
          <w:iCs/>
        </w:rPr>
        <w:t>Intersex Inquiry</w:t>
      </w:r>
      <w:r w:rsidRPr="00367DC4">
        <w:rPr>
          <w:rFonts w:cs="Open Sans"/>
        </w:rPr>
        <w:t>,</w:t>
      </w:r>
      <w:r>
        <w:rPr>
          <w:rFonts w:cs="Open Sans"/>
          <w:i/>
          <w:iCs/>
        </w:rPr>
        <w:t xml:space="preserve"> </w:t>
      </w:r>
      <w:r w:rsidRPr="00E74186">
        <w:rPr>
          <w:rFonts w:cs="Open Sans"/>
        </w:rPr>
        <w:t>14</w:t>
      </w:r>
      <w:r>
        <w:rPr>
          <w:rFonts w:cs="Open Sans"/>
        </w:rPr>
        <w:t>;</w:t>
      </w:r>
      <w:r w:rsidRPr="00E74186">
        <w:rPr>
          <w:rFonts w:cs="Open Sans"/>
        </w:rPr>
        <w:t xml:space="preserve"> </w:t>
      </w:r>
      <w:r>
        <w:rPr>
          <w:rFonts w:cs="Open Sans"/>
        </w:rPr>
        <w:t xml:space="preserve">Submission </w:t>
      </w:r>
      <w:r w:rsidRPr="00E74186">
        <w:rPr>
          <w:rFonts w:cs="Open Sans"/>
        </w:rPr>
        <w:t>52</w:t>
      </w:r>
      <w:r>
        <w:rPr>
          <w:rFonts w:cs="Open Sans"/>
        </w:rPr>
        <w:t>,</w:t>
      </w:r>
      <w:r w:rsidRPr="00D011F0">
        <w:rPr>
          <w:rFonts w:cs="Open Sans"/>
          <w:i/>
          <w:iCs/>
        </w:rPr>
        <w:t xml:space="preserve"> </w:t>
      </w:r>
      <w:r w:rsidRPr="00367DC4">
        <w:rPr>
          <w:rFonts w:cs="Open Sans"/>
          <w:i/>
          <w:iCs/>
        </w:rPr>
        <w:t>Intersex Inquiry</w:t>
      </w:r>
      <w:r w:rsidRPr="00367DC4">
        <w:rPr>
          <w:rFonts w:cs="Open Sans"/>
        </w:rPr>
        <w:t>,</w:t>
      </w:r>
      <w:r>
        <w:rPr>
          <w:rFonts w:cs="Open Sans"/>
          <w:i/>
          <w:iCs/>
        </w:rPr>
        <w:t xml:space="preserve"> </w:t>
      </w:r>
      <w:r w:rsidRPr="00E74186">
        <w:rPr>
          <w:rFonts w:cs="Open Sans"/>
        </w:rPr>
        <w:t>6</w:t>
      </w:r>
      <w:r>
        <w:rPr>
          <w:rFonts w:cs="Open Sans"/>
        </w:rPr>
        <w:t>;</w:t>
      </w:r>
      <w:r w:rsidRPr="00E74186">
        <w:rPr>
          <w:rFonts w:cs="Open Sans"/>
        </w:rPr>
        <w:t xml:space="preserve"> </w:t>
      </w:r>
      <w:r>
        <w:rPr>
          <w:rFonts w:cs="Open Sans"/>
        </w:rPr>
        <w:t xml:space="preserve">Submission </w:t>
      </w:r>
      <w:r w:rsidRPr="00E74186">
        <w:rPr>
          <w:rFonts w:cs="Open Sans"/>
        </w:rPr>
        <w:t>54</w:t>
      </w:r>
      <w:r>
        <w:rPr>
          <w:rFonts w:cs="Open Sans"/>
        </w:rPr>
        <w:t xml:space="preserve">, </w:t>
      </w:r>
      <w:r w:rsidRPr="00367DC4">
        <w:rPr>
          <w:rFonts w:cs="Open Sans"/>
          <w:i/>
          <w:iCs/>
        </w:rPr>
        <w:t>Intersex Inquiry</w:t>
      </w:r>
      <w:r w:rsidRPr="00367DC4">
        <w:rPr>
          <w:rFonts w:cs="Open Sans"/>
        </w:rPr>
        <w:t>,</w:t>
      </w:r>
      <w:r>
        <w:rPr>
          <w:rFonts w:cs="Open Sans"/>
          <w:i/>
          <w:iCs/>
        </w:rPr>
        <w:t xml:space="preserve"> </w:t>
      </w:r>
      <w:r w:rsidRPr="00E74186">
        <w:rPr>
          <w:rFonts w:cs="Open Sans"/>
        </w:rPr>
        <w:t>4</w:t>
      </w:r>
      <w:r>
        <w:rPr>
          <w:rFonts w:cs="Open Sans"/>
        </w:rPr>
        <w:t xml:space="preserve">; Submission </w:t>
      </w:r>
      <w:r w:rsidRPr="00E74186">
        <w:rPr>
          <w:rFonts w:cs="Open Sans"/>
        </w:rPr>
        <w:t>50</w:t>
      </w:r>
      <w:r>
        <w:rPr>
          <w:rFonts w:cs="Open Sans"/>
        </w:rPr>
        <w:t xml:space="preserve">, </w:t>
      </w:r>
      <w:r w:rsidRPr="00367DC4">
        <w:rPr>
          <w:rFonts w:cs="Open Sans"/>
          <w:i/>
          <w:iCs/>
        </w:rPr>
        <w:t>Intersex Inquiry</w:t>
      </w:r>
      <w:r w:rsidRPr="00367DC4">
        <w:rPr>
          <w:rFonts w:cs="Open Sans"/>
        </w:rPr>
        <w:t>,</w:t>
      </w:r>
      <w:r>
        <w:rPr>
          <w:rFonts w:cs="Open Sans"/>
          <w:i/>
          <w:iCs/>
        </w:rPr>
        <w:t xml:space="preserve"> </w:t>
      </w:r>
      <w:r w:rsidRPr="00E74186">
        <w:rPr>
          <w:rFonts w:cs="Open Sans"/>
        </w:rPr>
        <w:t>3</w:t>
      </w:r>
      <w:r>
        <w:rPr>
          <w:rFonts w:cs="Open Sans"/>
        </w:rPr>
        <w:t>;</w:t>
      </w:r>
      <w:r w:rsidRPr="00E74186">
        <w:rPr>
          <w:rFonts w:cs="Open Sans"/>
        </w:rPr>
        <w:t xml:space="preserve"> </w:t>
      </w:r>
      <w:r>
        <w:rPr>
          <w:rFonts w:cs="Open Sans"/>
        </w:rPr>
        <w:t xml:space="preserve">Submission </w:t>
      </w:r>
      <w:r w:rsidRPr="00E74186">
        <w:rPr>
          <w:rFonts w:cs="Open Sans"/>
        </w:rPr>
        <w:t>60</w:t>
      </w:r>
      <w:r>
        <w:rPr>
          <w:rFonts w:cs="Open Sans"/>
        </w:rPr>
        <w:t>,</w:t>
      </w:r>
      <w:r w:rsidRPr="00AA5617">
        <w:rPr>
          <w:rFonts w:cs="Open Sans"/>
          <w:i/>
          <w:iCs/>
        </w:rPr>
        <w:t xml:space="preserve"> </w:t>
      </w:r>
      <w:r w:rsidRPr="00367DC4">
        <w:rPr>
          <w:rFonts w:cs="Open Sans"/>
          <w:i/>
          <w:iCs/>
        </w:rPr>
        <w:t>Intersex Inquiry</w:t>
      </w:r>
      <w:r>
        <w:rPr>
          <w:rFonts w:cs="Open Sans"/>
        </w:rPr>
        <w:t>;</w:t>
      </w:r>
      <w:r w:rsidRPr="00E74186">
        <w:rPr>
          <w:rFonts w:cs="Open Sans"/>
        </w:rPr>
        <w:t xml:space="preserve"> </w:t>
      </w:r>
      <w:r>
        <w:rPr>
          <w:rFonts w:cs="Open Sans"/>
        </w:rPr>
        <w:t xml:space="preserve">Submission </w:t>
      </w:r>
      <w:r w:rsidRPr="00E74186">
        <w:rPr>
          <w:rFonts w:cs="Open Sans"/>
        </w:rPr>
        <w:t>29</w:t>
      </w:r>
      <w:r>
        <w:rPr>
          <w:rFonts w:cs="Open Sans"/>
        </w:rPr>
        <w:t>,</w:t>
      </w:r>
      <w:r w:rsidRPr="00AA5617">
        <w:rPr>
          <w:rFonts w:cs="Open Sans"/>
          <w:i/>
          <w:iCs/>
        </w:rPr>
        <w:t xml:space="preserve"> </w:t>
      </w:r>
      <w:r w:rsidRPr="00367DC4">
        <w:rPr>
          <w:rFonts w:cs="Open Sans"/>
          <w:i/>
          <w:iCs/>
        </w:rPr>
        <w:t>Intersex Inquiry</w:t>
      </w:r>
      <w:r>
        <w:rPr>
          <w:rFonts w:cs="Open Sans"/>
        </w:rPr>
        <w:t>;</w:t>
      </w:r>
      <w:r w:rsidRPr="00E74186">
        <w:rPr>
          <w:rFonts w:cs="Open Sans"/>
        </w:rPr>
        <w:t xml:space="preserve"> </w:t>
      </w:r>
      <w:r>
        <w:rPr>
          <w:rFonts w:cs="Open Sans"/>
        </w:rPr>
        <w:t>Submission 36,</w:t>
      </w:r>
      <w:r w:rsidRPr="00AA5617">
        <w:rPr>
          <w:rFonts w:cs="Open Sans"/>
          <w:i/>
          <w:iCs/>
        </w:rPr>
        <w:t xml:space="preserve"> </w:t>
      </w:r>
      <w:r w:rsidRPr="00367DC4">
        <w:rPr>
          <w:rFonts w:cs="Open Sans"/>
          <w:i/>
          <w:iCs/>
        </w:rPr>
        <w:t>Intersex Inquiry</w:t>
      </w:r>
      <w:r w:rsidRPr="00367DC4">
        <w:rPr>
          <w:rFonts w:cs="Open Sans"/>
        </w:rPr>
        <w:t>,</w:t>
      </w:r>
      <w:r>
        <w:rPr>
          <w:rFonts w:cs="Open Sans"/>
          <w:i/>
          <w:iCs/>
        </w:rPr>
        <w:t xml:space="preserve"> </w:t>
      </w:r>
      <w:r w:rsidRPr="00E74186">
        <w:rPr>
          <w:rFonts w:cs="Open Sans"/>
        </w:rPr>
        <w:t>15-16, drawing attention to the Darlington Statement, Principle 22.</w:t>
      </w:r>
    </w:p>
  </w:endnote>
  <w:endnote w:id="607">
    <w:p w:rsidR="00740A25" w:rsidP="00740A25" w:rsidRDefault="00740A25" w14:paraId="7CAA521D" w14:textId="77777777">
      <w:pPr>
        <w:pStyle w:val="EndnoteText"/>
      </w:pPr>
      <w:r>
        <w:rPr>
          <w:rStyle w:val="EndnoteReference"/>
        </w:rPr>
        <w:endnoteRef/>
      </w:r>
      <w:r>
        <w:t xml:space="preserve"> </w:t>
      </w:r>
      <w:r>
        <w:rPr>
          <w:rFonts w:cs="Open Sans"/>
        </w:rPr>
        <w:t xml:space="preserve">Submission </w:t>
      </w:r>
      <w:r>
        <w:t>25,</w:t>
      </w:r>
      <w:r w:rsidRPr="002D76DC">
        <w:rPr>
          <w:rFonts w:cs="Open Sans"/>
          <w:i/>
          <w:iCs/>
        </w:rPr>
        <w:t xml:space="preserve"> </w:t>
      </w:r>
      <w:r w:rsidRPr="00367DC4">
        <w:rPr>
          <w:rFonts w:cs="Open Sans"/>
          <w:i/>
          <w:iCs/>
        </w:rPr>
        <w:t>Intersex Inquiry</w:t>
      </w:r>
      <w:r w:rsidRPr="00367DC4">
        <w:rPr>
          <w:rFonts w:cs="Open Sans"/>
        </w:rPr>
        <w:t>,</w:t>
      </w:r>
      <w:r>
        <w:rPr>
          <w:rFonts w:cs="Open Sans"/>
          <w:i/>
          <w:iCs/>
        </w:rPr>
        <w:t xml:space="preserve"> </w:t>
      </w:r>
      <w:r>
        <w:t>2.</w:t>
      </w:r>
    </w:p>
  </w:endnote>
  <w:endnote w:id="608">
    <w:p w:rsidR="00740A25" w:rsidP="00740A25" w:rsidRDefault="00740A25" w14:paraId="2D1D27AF" w14:textId="77777777">
      <w:pPr>
        <w:pStyle w:val="EndnoteText"/>
      </w:pPr>
      <w:r>
        <w:rPr>
          <w:rStyle w:val="EndnoteReference"/>
        </w:rPr>
        <w:endnoteRef/>
      </w:r>
      <w:r>
        <w:t xml:space="preserve"> Submission 61,</w:t>
      </w:r>
      <w:r w:rsidRPr="002D76DC">
        <w:rPr>
          <w:rFonts w:cs="Open Sans"/>
          <w:i/>
          <w:iCs/>
        </w:rPr>
        <w:t xml:space="preserve"> </w:t>
      </w:r>
      <w:r w:rsidRPr="00367DC4">
        <w:rPr>
          <w:rFonts w:cs="Open Sans"/>
          <w:i/>
          <w:iCs/>
        </w:rPr>
        <w:t>Intersex Inquiry</w:t>
      </w:r>
      <w:r w:rsidRPr="00367DC4">
        <w:rPr>
          <w:rFonts w:cs="Open Sans"/>
        </w:rPr>
        <w:t>,</w:t>
      </w:r>
      <w:r>
        <w:rPr>
          <w:rFonts w:cs="Open Sans"/>
          <w:i/>
          <w:iCs/>
        </w:rPr>
        <w:t xml:space="preserve"> </w:t>
      </w:r>
      <w:r>
        <w:t>6.</w:t>
      </w:r>
    </w:p>
  </w:endnote>
  <w:endnote w:id="609">
    <w:p w:rsidR="00740A25" w:rsidP="00740A25" w:rsidRDefault="00740A25" w14:paraId="528835DF" w14:textId="77777777">
      <w:pPr>
        <w:pStyle w:val="EndnoteText"/>
      </w:pPr>
      <w:r>
        <w:rPr>
          <w:rStyle w:val="EndnoteReference"/>
        </w:rPr>
        <w:endnoteRef/>
      </w:r>
      <w:r>
        <w:t xml:space="preserve"> </w:t>
      </w:r>
      <w:r>
        <w:rPr>
          <w:rFonts w:cs="Open Sans"/>
        </w:rPr>
        <w:t xml:space="preserve">Submission </w:t>
      </w:r>
      <w:r>
        <w:t>61,</w:t>
      </w:r>
      <w:r w:rsidRPr="002D76DC">
        <w:rPr>
          <w:rFonts w:cs="Open Sans"/>
          <w:i/>
          <w:iCs/>
        </w:rPr>
        <w:t xml:space="preserve"> </w:t>
      </w:r>
      <w:r w:rsidRPr="00367DC4">
        <w:rPr>
          <w:rFonts w:cs="Open Sans"/>
          <w:i/>
          <w:iCs/>
        </w:rPr>
        <w:t>Intersex Inquiry</w:t>
      </w:r>
      <w:r w:rsidRPr="00367DC4">
        <w:rPr>
          <w:rFonts w:cs="Open Sans"/>
        </w:rPr>
        <w:t>,</w:t>
      </w:r>
      <w:r>
        <w:rPr>
          <w:rFonts w:cs="Open Sans"/>
          <w:i/>
          <w:iCs/>
        </w:rPr>
        <w:t xml:space="preserve"> </w:t>
      </w:r>
      <w:r>
        <w:t>6.</w:t>
      </w:r>
    </w:p>
  </w:endnote>
  <w:endnote w:id="610">
    <w:p w:rsidR="00740A25" w:rsidP="00740A25" w:rsidRDefault="00740A25" w14:paraId="4E8788EC" w14:textId="77777777">
      <w:pPr>
        <w:pStyle w:val="EndnoteText"/>
      </w:pPr>
      <w:r>
        <w:rPr>
          <w:rStyle w:val="EndnoteReference"/>
        </w:rPr>
        <w:endnoteRef/>
      </w:r>
      <w:r>
        <w:t xml:space="preserve"> Submission 20, </w:t>
      </w:r>
      <w:r w:rsidRPr="00367DC4">
        <w:rPr>
          <w:rFonts w:cs="Open Sans"/>
          <w:i/>
          <w:iCs/>
        </w:rPr>
        <w:t>Intersex Inquiry</w:t>
      </w:r>
      <w:r w:rsidRPr="00367DC4">
        <w:rPr>
          <w:rFonts w:cs="Open Sans"/>
        </w:rPr>
        <w:t>,</w:t>
      </w:r>
      <w:r>
        <w:rPr>
          <w:rFonts w:cs="Open Sans"/>
          <w:i/>
          <w:iCs/>
        </w:rPr>
        <w:t xml:space="preserve"> </w:t>
      </w:r>
      <w:r>
        <w:t xml:space="preserve">7. </w:t>
      </w:r>
    </w:p>
  </w:endnote>
  <w:endnote w:id="611">
    <w:p w:rsidRPr="00D83411" w:rsidR="00740A25" w:rsidP="00740A25" w:rsidRDefault="00740A25" w14:paraId="409CA891" w14:textId="77777777">
      <w:pPr>
        <w:pStyle w:val="EndnoteText"/>
        <w:rPr>
          <w:rFonts w:cs="Open Sans"/>
        </w:rPr>
      </w:pPr>
      <w:r w:rsidRPr="00D83411">
        <w:rPr>
          <w:rStyle w:val="EndnoteReference"/>
          <w:rFonts w:cs="Open Sans"/>
        </w:rPr>
        <w:endnoteRef/>
      </w:r>
      <w:r w:rsidRPr="00D83411">
        <w:rPr>
          <w:rFonts w:cs="Open Sans"/>
        </w:rPr>
        <w:t xml:space="preserve"> </w:t>
      </w:r>
      <w:r>
        <w:rPr>
          <w:rFonts w:cs="Open Sans"/>
        </w:rPr>
        <w:t xml:space="preserve">Submission </w:t>
      </w:r>
      <w:r w:rsidRPr="00D83411">
        <w:rPr>
          <w:rFonts w:cs="Open Sans"/>
        </w:rPr>
        <w:t>56</w:t>
      </w:r>
      <w:r>
        <w:rPr>
          <w:rFonts w:cs="Open Sans"/>
        </w:rPr>
        <w:t>,</w:t>
      </w:r>
      <w:r w:rsidRPr="002D76DC">
        <w:rPr>
          <w:rFonts w:cs="Open Sans"/>
          <w:i/>
          <w:iCs/>
        </w:rPr>
        <w:t xml:space="preserve"> </w:t>
      </w:r>
      <w:r w:rsidRPr="00367DC4">
        <w:rPr>
          <w:rFonts w:cs="Open Sans"/>
          <w:i/>
          <w:iCs/>
        </w:rPr>
        <w:t>Intersex Inquiry</w:t>
      </w:r>
      <w:r w:rsidRPr="00367DC4">
        <w:rPr>
          <w:rFonts w:cs="Open Sans"/>
        </w:rPr>
        <w:t>,</w:t>
      </w:r>
      <w:r>
        <w:rPr>
          <w:rFonts w:cs="Open Sans"/>
          <w:i/>
          <w:iCs/>
        </w:rPr>
        <w:t xml:space="preserve"> </w:t>
      </w:r>
      <w:r>
        <w:rPr>
          <w:rFonts w:cs="Open Sans"/>
        </w:rPr>
        <w:t xml:space="preserve"> </w:t>
      </w:r>
      <w:r w:rsidRPr="00D83411">
        <w:rPr>
          <w:rFonts w:cs="Open Sans"/>
        </w:rPr>
        <w:t>8</w:t>
      </w:r>
      <w:r>
        <w:rPr>
          <w:rFonts w:cs="Open Sans"/>
        </w:rPr>
        <w:t>.</w:t>
      </w:r>
    </w:p>
  </w:endnote>
  <w:endnote w:id="612">
    <w:p w:rsidRPr="00D83411" w:rsidR="00740A25" w:rsidP="00740A25" w:rsidRDefault="00740A25" w14:paraId="54FB8C8E" w14:textId="77777777">
      <w:pPr>
        <w:pStyle w:val="EndnoteText"/>
        <w:rPr>
          <w:rFonts w:cs="Open Sans"/>
        </w:rPr>
      </w:pPr>
      <w:r w:rsidRPr="00D83411">
        <w:rPr>
          <w:rStyle w:val="EndnoteReference"/>
          <w:rFonts w:cs="Open Sans"/>
        </w:rPr>
        <w:endnoteRef/>
      </w:r>
      <w:r w:rsidRPr="00D83411">
        <w:rPr>
          <w:rFonts w:cs="Open Sans"/>
        </w:rPr>
        <w:t xml:space="preserve"> </w:t>
      </w:r>
      <w:r>
        <w:rPr>
          <w:rFonts w:cs="Open Sans"/>
        </w:rPr>
        <w:t xml:space="preserve">Submission </w:t>
      </w:r>
      <w:r w:rsidRPr="00D83411">
        <w:rPr>
          <w:rFonts w:cs="Open Sans"/>
        </w:rPr>
        <w:t>25</w:t>
      </w:r>
      <w:r>
        <w:rPr>
          <w:rFonts w:cs="Open Sans"/>
        </w:rPr>
        <w:t>,</w:t>
      </w:r>
      <w:r w:rsidRPr="000E60E1">
        <w:rPr>
          <w:rFonts w:cs="Open Sans"/>
          <w:i/>
          <w:iCs/>
        </w:rPr>
        <w:t xml:space="preserve"> </w:t>
      </w:r>
      <w:r w:rsidRPr="00367DC4">
        <w:rPr>
          <w:rFonts w:cs="Open Sans"/>
          <w:i/>
          <w:iCs/>
        </w:rPr>
        <w:t>Intersex Inquiry</w:t>
      </w:r>
      <w:r>
        <w:rPr>
          <w:rFonts w:cs="Open Sans"/>
        </w:rPr>
        <w:t>.</w:t>
      </w:r>
    </w:p>
  </w:endnote>
  <w:endnote w:id="613">
    <w:p w:rsidRPr="00D83411" w:rsidR="00740A25" w:rsidP="00740A25" w:rsidRDefault="00740A25" w14:paraId="514C012C" w14:textId="77777777">
      <w:pPr>
        <w:pStyle w:val="EndnoteText"/>
        <w:rPr>
          <w:rFonts w:cs="Open Sans"/>
        </w:rPr>
      </w:pPr>
      <w:r w:rsidRPr="00D83411">
        <w:rPr>
          <w:rStyle w:val="EndnoteReference"/>
          <w:rFonts w:cs="Open Sans"/>
        </w:rPr>
        <w:endnoteRef/>
      </w:r>
      <w:r w:rsidRPr="00D83411">
        <w:rPr>
          <w:rFonts w:cs="Open Sans"/>
        </w:rPr>
        <w:t xml:space="preserve"> </w:t>
      </w:r>
      <w:r>
        <w:rPr>
          <w:rFonts w:cs="Open Sans"/>
        </w:rPr>
        <w:t xml:space="preserve">Royal Australian and New Zealand College of Psychiatrists, Submission </w:t>
      </w:r>
      <w:r w:rsidRPr="00D83411">
        <w:rPr>
          <w:rFonts w:cs="Open Sans"/>
        </w:rPr>
        <w:t>26</w:t>
      </w:r>
      <w:r>
        <w:rPr>
          <w:rFonts w:cs="Open Sans"/>
        </w:rPr>
        <w:t>,</w:t>
      </w:r>
      <w:r w:rsidRPr="000E60E1">
        <w:rPr>
          <w:rFonts w:cs="Open Sans"/>
          <w:i/>
          <w:iCs/>
        </w:rPr>
        <w:t xml:space="preserve"> </w:t>
      </w:r>
      <w:r w:rsidRPr="00367DC4">
        <w:rPr>
          <w:rFonts w:cs="Open Sans"/>
          <w:i/>
          <w:iCs/>
        </w:rPr>
        <w:t>Intersex Inquiry</w:t>
      </w:r>
      <w:r w:rsidRPr="00367DC4">
        <w:rPr>
          <w:rFonts w:cs="Open Sans"/>
        </w:rPr>
        <w:t>,</w:t>
      </w:r>
      <w:r>
        <w:rPr>
          <w:rFonts w:cs="Open Sans"/>
          <w:i/>
          <w:iCs/>
        </w:rPr>
        <w:t xml:space="preserve"> </w:t>
      </w:r>
      <w:r w:rsidRPr="00D83411">
        <w:rPr>
          <w:rFonts w:cs="Open Sans"/>
        </w:rPr>
        <w:t>2</w:t>
      </w:r>
      <w:r>
        <w:rPr>
          <w:rFonts w:cs="Open Sans"/>
        </w:rPr>
        <w:t xml:space="preserve">. </w:t>
      </w:r>
    </w:p>
  </w:endnote>
  <w:endnote w:id="614">
    <w:p w:rsidRPr="00D83411" w:rsidR="00740A25" w:rsidP="00740A25" w:rsidRDefault="00740A25" w14:paraId="6BD5C9CD" w14:textId="77777777">
      <w:pPr>
        <w:pStyle w:val="EndnoteText"/>
        <w:rPr>
          <w:rFonts w:cs="Open Sans"/>
        </w:rPr>
      </w:pPr>
      <w:r w:rsidRPr="00D83411">
        <w:rPr>
          <w:rStyle w:val="EndnoteReference"/>
          <w:rFonts w:cs="Open Sans"/>
        </w:rPr>
        <w:endnoteRef/>
      </w:r>
      <w:r w:rsidRPr="00D83411">
        <w:rPr>
          <w:rFonts w:cs="Open Sans"/>
        </w:rPr>
        <w:t xml:space="preserve"> </w:t>
      </w:r>
      <w:r>
        <w:rPr>
          <w:rFonts w:cs="Open Sans"/>
        </w:rPr>
        <w:t xml:space="preserve">Submission </w:t>
      </w:r>
      <w:r w:rsidRPr="00D83411">
        <w:rPr>
          <w:rFonts w:cs="Open Sans"/>
        </w:rPr>
        <w:t>54</w:t>
      </w:r>
      <w:r>
        <w:rPr>
          <w:rFonts w:cs="Open Sans"/>
        </w:rPr>
        <w:t>,</w:t>
      </w:r>
      <w:r w:rsidRPr="000E60E1">
        <w:rPr>
          <w:rFonts w:cs="Open Sans"/>
          <w:i/>
          <w:iCs/>
        </w:rPr>
        <w:t xml:space="preserve"> </w:t>
      </w:r>
      <w:r w:rsidRPr="00367DC4">
        <w:rPr>
          <w:rFonts w:cs="Open Sans"/>
          <w:i/>
          <w:iCs/>
        </w:rPr>
        <w:t>Intersex Inquiry</w:t>
      </w:r>
      <w:r w:rsidRPr="00367DC4">
        <w:rPr>
          <w:rFonts w:cs="Open Sans"/>
        </w:rPr>
        <w:t>,</w:t>
      </w:r>
      <w:r>
        <w:rPr>
          <w:rFonts w:cs="Open Sans"/>
          <w:i/>
          <w:iCs/>
        </w:rPr>
        <w:t xml:space="preserve"> </w:t>
      </w:r>
      <w:r w:rsidRPr="00D83411">
        <w:rPr>
          <w:rFonts w:cs="Open Sans"/>
        </w:rPr>
        <w:t>5</w:t>
      </w:r>
      <w:r>
        <w:rPr>
          <w:rFonts w:cs="Open Sans"/>
        </w:rPr>
        <w:t>.</w:t>
      </w:r>
    </w:p>
  </w:endnote>
  <w:endnote w:id="615">
    <w:p w:rsidRPr="00D83411" w:rsidR="00740A25" w:rsidP="00740A25" w:rsidRDefault="00740A25" w14:paraId="03ABAEFE" w14:textId="77777777">
      <w:pPr>
        <w:pStyle w:val="EndnoteText"/>
        <w:rPr>
          <w:rFonts w:cs="Open Sans"/>
        </w:rPr>
      </w:pPr>
      <w:r w:rsidRPr="00D83411">
        <w:rPr>
          <w:rStyle w:val="EndnoteReference"/>
          <w:rFonts w:cs="Open Sans"/>
        </w:rPr>
        <w:endnoteRef/>
      </w:r>
      <w:r w:rsidRPr="00D83411">
        <w:rPr>
          <w:rFonts w:cs="Open Sans"/>
        </w:rPr>
        <w:t xml:space="preserve"> </w:t>
      </w:r>
      <w:r>
        <w:rPr>
          <w:rFonts w:cs="Open Sans"/>
        </w:rPr>
        <w:t>Royal Australian and New Zealand College of Psychiatrists,</w:t>
      </w:r>
      <w:r w:rsidRPr="00D83411">
        <w:rPr>
          <w:rFonts w:cs="Open Sans"/>
        </w:rPr>
        <w:t xml:space="preserve"> </w:t>
      </w:r>
      <w:r>
        <w:rPr>
          <w:rFonts w:cs="Open Sans"/>
        </w:rPr>
        <w:t xml:space="preserve">Submission </w:t>
      </w:r>
      <w:r w:rsidRPr="00D83411">
        <w:rPr>
          <w:rFonts w:cs="Open Sans"/>
        </w:rPr>
        <w:t>26</w:t>
      </w:r>
      <w:r>
        <w:rPr>
          <w:rFonts w:cs="Open Sans"/>
        </w:rPr>
        <w:t>,</w:t>
      </w:r>
      <w:r w:rsidRPr="000E60E1">
        <w:rPr>
          <w:rFonts w:cs="Open Sans"/>
          <w:i/>
          <w:iCs/>
        </w:rPr>
        <w:t xml:space="preserve"> </w:t>
      </w:r>
      <w:r w:rsidRPr="00367DC4">
        <w:rPr>
          <w:rFonts w:cs="Open Sans"/>
          <w:i/>
          <w:iCs/>
        </w:rPr>
        <w:t>Intersex Inquiry</w:t>
      </w:r>
      <w:r w:rsidRPr="00367DC4">
        <w:rPr>
          <w:rFonts w:cs="Open Sans"/>
        </w:rPr>
        <w:t>,</w:t>
      </w:r>
      <w:r>
        <w:rPr>
          <w:rFonts w:cs="Open Sans"/>
          <w:i/>
          <w:iCs/>
        </w:rPr>
        <w:t xml:space="preserve"> </w:t>
      </w:r>
      <w:r w:rsidRPr="00D83411">
        <w:rPr>
          <w:rFonts w:cs="Open Sans"/>
        </w:rPr>
        <w:t>2</w:t>
      </w:r>
      <w:r>
        <w:rPr>
          <w:rFonts w:cs="Open Sans"/>
        </w:rPr>
        <w:t>;</w:t>
      </w:r>
      <w:r w:rsidRPr="00D83411">
        <w:rPr>
          <w:rFonts w:cs="Open Sans"/>
        </w:rPr>
        <w:t xml:space="preserve"> </w:t>
      </w:r>
      <w:r>
        <w:rPr>
          <w:rFonts w:cs="Open Sans"/>
        </w:rPr>
        <w:t xml:space="preserve">Submission </w:t>
      </w:r>
      <w:r w:rsidRPr="00D83411">
        <w:rPr>
          <w:rFonts w:cs="Open Sans"/>
        </w:rPr>
        <w:t>36</w:t>
      </w:r>
      <w:r>
        <w:rPr>
          <w:rFonts w:cs="Open Sans"/>
        </w:rPr>
        <w:t xml:space="preserve">, </w:t>
      </w:r>
      <w:r w:rsidRPr="00367DC4">
        <w:rPr>
          <w:rFonts w:cs="Open Sans"/>
          <w:i/>
          <w:iCs/>
        </w:rPr>
        <w:t>Intersex Inquiry</w:t>
      </w:r>
      <w:r w:rsidRPr="00367DC4">
        <w:rPr>
          <w:rFonts w:cs="Open Sans"/>
        </w:rPr>
        <w:t>,</w:t>
      </w:r>
      <w:r>
        <w:rPr>
          <w:rFonts w:cs="Open Sans"/>
          <w:i/>
          <w:iCs/>
        </w:rPr>
        <w:t xml:space="preserve"> </w:t>
      </w:r>
      <w:r>
        <w:rPr>
          <w:rFonts w:cs="Open Sans"/>
        </w:rPr>
        <w:t xml:space="preserve">15; Submission </w:t>
      </w:r>
      <w:r w:rsidRPr="00D83411">
        <w:rPr>
          <w:rFonts w:cs="Open Sans"/>
        </w:rPr>
        <w:t>56</w:t>
      </w:r>
      <w:r>
        <w:rPr>
          <w:rFonts w:cs="Open Sans"/>
        </w:rPr>
        <w:t>,</w:t>
      </w:r>
      <w:r w:rsidRPr="000E60E1">
        <w:rPr>
          <w:rFonts w:cs="Open Sans"/>
          <w:i/>
          <w:iCs/>
        </w:rPr>
        <w:t xml:space="preserve"> </w:t>
      </w:r>
      <w:r w:rsidRPr="00367DC4">
        <w:rPr>
          <w:rFonts w:cs="Open Sans"/>
          <w:i/>
          <w:iCs/>
        </w:rPr>
        <w:t>Intersex Inquiry</w:t>
      </w:r>
      <w:r w:rsidRPr="00367DC4">
        <w:rPr>
          <w:rFonts w:cs="Open Sans"/>
        </w:rPr>
        <w:t>,</w:t>
      </w:r>
      <w:r>
        <w:rPr>
          <w:rFonts w:cs="Open Sans"/>
          <w:i/>
          <w:iCs/>
        </w:rPr>
        <w:t xml:space="preserve"> </w:t>
      </w:r>
      <w:r w:rsidRPr="00D83411">
        <w:rPr>
          <w:rFonts w:cs="Open Sans"/>
        </w:rPr>
        <w:t>3</w:t>
      </w:r>
      <w:r>
        <w:rPr>
          <w:rFonts w:cs="Open Sans"/>
        </w:rPr>
        <w:t>; Submission</w:t>
      </w:r>
      <w:r w:rsidRPr="00D83411">
        <w:rPr>
          <w:rFonts w:cs="Open Sans"/>
        </w:rPr>
        <w:t xml:space="preserve"> 32</w:t>
      </w:r>
      <w:r>
        <w:rPr>
          <w:rFonts w:cs="Open Sans"/>
        </w:rPr>
        <w:t>,</w:t>
      </w:r>
      <w:r w:rsidRPr="003B023C">
        <w:rPr>
          <w:rFonts w:cs="Open Sans"/>
          <w:i/>
          <w:iCs/>
        </w:rPr>
        <w:t xml:space="preserve"> </w:t>
      </w:r>
      <w:r w:rsidRPr="00367DC4">
        <w:rPr>
          <w:rFonts w:cs="Open Sans"/>
          <w:i/>
          <w:iCs/>
        </w:rPr>
        <w:t>Intersex Inquiry</w:t>
      </w:r>
      <w:r w:rsidRPr="00367DC4">
        <w:rPr>
          <w:rFonts w:cs="Open Sans"/>
        </w:rPr>
        <w:t>,</w:t>
      </w:r>
      <w:r>
        <w:rPr>
          <w:rFonts w:cs="Open Sans"/>
          <w:i/>
          <w:iCs/>
        </w:rPr>
        <w:t xml:space="preserve"> </w:t>
      </w:r>
      <w:r w:rsidRPr="00D83411">
        <w:rPr>
          <w:rFonts w:cs="Open Sans"/>
        </w:rPr>
        <w:t>14</w:t>
      </w:r>
      <w:r>
        <w:rPr>
          <w:rFonts w:cs="Open Sans"/>
        </w:rPr>
        <w:t>; Submission</w:t>
      </w:r>
      <w:r w:rsidRPr="00D83411">
        <w:rPr>
          <w:rFonts w:cs="Open Sans"/>
        </w:rPr>
        <w:t xml:space="preserve"> 60</w:t>
      </w:r>
      <w:r>
        <w:rPr>
          <w:rFonts w:cs="Open Sans"/>
        </w:rPr>
        <w:t>,</w:t>
      </w:r>
      <w:r w:rsidRPr="003B023C">
        <w:rPr>
          <w:rFonts w:cs="Open Sans"/>
          <w:i/>
          <w:iCs/>
        </w:rPr>
        <w:t xml:space="preserve"> </w:t>
      </w:r>
      <w:r w:rsidRPr="00367DC4">
        <w:rPr>
          <w:rFonts w:cs="Open Sans"/>
          <w:i/>
          <w:iCs/>
        </w:rPr>
        <w:t>Intersex Inquiry</w:t>
      </w:r>
      <w:r w:rsidRPr="792F2983">
        <w:rPr>
          <w:rFonts w:cs="Open Sans"/>
        </w:rPr>
        <w:t>;</w:t>
      </w:r>
      <w:r w:rsidRPr="00D83411">
        <w:rPr>
          <w:rFonts w:cs="Open Sans"/>
        </w:rPr>
        <w:t xml:space="preserve"> </w:t>
      </w:r>
      <w:r>
        <w:rPr>
          <w:rFonts w:cs="Open Sans"/>
        </w:rPr>
        <w:t xml:space="preserve">Submission </w:t>
      </w:r>
      <w:r w:rsidRPr="00D83411">
        <w:rPr>
          <w:rFonts w:cs="Open Sans"/>
        </w:rPr>
        <w:t>61</w:t>
      </w:r>
      <w:r>
        <w:rPr>
          <w:rFonts w:cs="Open Sans"/>
        </w:rPr>
        <w:t>,</w:t>
      </w:r>
      <w:r w:rsidRPr="003B023C">
        <w:rPr>
          <w:rFonts w:cs="Open Sans"/>
          <w:i/>
          <w:iCs/>
        </w:rPr>
        <w:t xml:space="preserve"> </w:t>
      </w:r>
      <w:r w:rsidRPr="00367DC4">
        <w:rPr>
          <w:rFonts w:cs="Open Sans"/>
          <w:i/>
          <w:iCs/>
        </w:rPr>
        <w:t>Intersex Inquiry</w:t>
      </w:r>
      <w:r w:rsidRPr="00367DC4">
        <w:rPr>
          <w:rFonts w:cs="Open Sans"/>
        </w:rPr>
        <w:t>,</w:t>
      </w:r>
      <w:r>
        <w:rPr>
          <w:rFonts w:cs="Open Sans"/>
          <w:i/>
          <w:iCs/>
        </w:rPr>
        <w:t xml:space="preserve"> </w:t>
      </w:r>
      <w:r w:rsidRPr="00D83411">
        <w:rPr>
          <w:rFonts w:cs="Open Sans"/>
        </w:rPr>
        <w:t xml:space="preserve">7. </w:t>
      </w:r>
    </w:p>
  </w:endnote>
  <w:endnote w:id="616">
    <w:p w:rsidRPr="00AB38B2" w:rsidR="00740A25" w:rsidP="00740A25" w:rsidRDefault="00740A25" w14:paraId="6C6500F1" w14:textId="77777777">
      <w:pPr>
        <w:pStyle w:val="EndnoteText"/>
        <w:rPr>
          <w:lang w:val="en-US"/>
        </w:rPr>
      </w:pPr>
      <w:r>
        <w:rPr>
          <w:rStyle w:val="EndnoteReference"/>
        </w:rPr>
        <w:endnoteRef/>
      </w:r>
      <w:r>
        <w:t xml:space="preserve"> </w:t>
      </w:r>
      <w:r>
        <w:rPr>
          <w:lang w:val="en-US"/>
        </w:rPr>
        <w:t>Submission 35,</w:t>
      </w:r>
      <w:r w:rsidRPr="003B023C">
        <w:rPr>
          <w:rFonts w:cs="Open Sans"/>
          <w:i/>
          <w:iCs/>
        </w:rPr>
        <w:t xml:space="preserve"> </w:t>
      </w:r>
      <w:r w:rsidRPr="00367DC4">
        <w:rPr>
          <w:rFonts w:cs="Open Sans"/>
          <w:i/>
          <w:iCs/>
        </w:rPr>
        <w:t>Intersex Inquiry</w:t>
      </w:r>
      <w:r w:rsidRPr="00367DC4">
        <w:rPr>
          <w:rFonts w:cs="Open Sans"/>
        </w:rPr>
        <w:t>,</w:t>
      </w:r>
      <w:r>
        <w:rPr>
          <w:rFonts w:cs="Open Sans"/>
          <w:i/>
          <w:iCs/>
        </w:rPr>
        <w:t xml:space="preserve"> </w:t>
      </w:r>
      <w:r>
        <w:rPr>
          <w:lang w:val="en-US"/>
        </w:rPr>
        <w:t xml:space="preserve">3. </w:t>
      </w:r>
    </w:p>
  </w:endnote>
  <w:endnote w:id="617">
    <w:p w:rsidRPr="006C2437" w:rsidR="00740A25" w:rsidP="00740A25" w:rsidRDefault="00740A25" w14:paraId="79E20001" w14:textId="77777777">
      <w:pPr>
        <w:pStyle w:val="EndnoteText"/>
        <w:rPr>
          <w:lang w:val="en-US"/>
        </w:rPr>
      </w:pPr>
      <w:r>
        <w:rPr>
          <w:rStyle w:val="EndnoteReference"/>
        </w:rPr>
        <w:endnoteRef/>
      </w:r>
      <w:r>
        <w:t xml:space="preserve"> </w:t>
      </w:r>
      <w:r>
        <w:rPr>
          <w:lang w:val="en-US"/>
        </w:rPr>
        <w:t>Royal Australia and New Zealand College of Psychiatrists, Submission 26,</w:t>
      </w:r>
      <w:r w:rsidRPr="003B023C">
        <w:rPr>
          <w:rFonts w:cs="Open Sans"/>
          <w:i/>
          <w:iCs/>
        </w:rPr>
        <w:t xml:space="preserve"> </w:t>
      </w:r>
      <w:r w:rsidRPr="00367DC4">
        <w:rPr>
          <w:rFonts w:cs="Open Sans"/>
          <w:i/>
          <w:iCs/>
        </w:rPr>
        <w:t>Intersex Inquiry</w:t>
      </w:r>
      <w:r w:rsidRPr="00367DC4">
        <w:rPr>
          <w:rFonts w:cs="Open Sans"/>
        </w:rPr>
        <w:t>,</w:t>
      </w:r>
      <w:r>
        <w:rPr>
          <w:rFonts w:cs="Open Sans"/>
          <w:i/>
          <w:iCs/>
        </w:rPr>
        <w:t xml:space="preserve"> </w:t>
      </w:r>
      <w:r>
        <w:rPr>
          <w:lang w:val="en-US"/>
        </w:rPr>
        <w:t>2; Submission 60,</w:t>
      </w:r>
      <w:r w:rsidRPr="003B023C">
        <w:rPr>
          <w:rFonts w:cs="Open Sans"/>
          <w:i/>
          <w:iCs/>
        </w:rPr>
        <w:t xml:space="preserve"> </w:t>
      </w:r>
      <w:r w:rsidRPr="00367DC4">
        <w:rPr>
          <w:rFonts w:cs="Open Sans"/>
          <w:i/>
          <w:iCs/>
        </w:rPr>
        <w:t>Intersex Inquiry</w:t>
      </w:r>
      <w:r>
        <w:rPr>
          <w:lang w:val="en-US"/>
        </w:rPr>
        <w:t>.</w:t>
      </w:r>
    </w:p>
  </w:endnote>
  <w:endnote w:id="618">
    <w:p w:rsidRPr="006C2437" w:rsidR="00740A25" w:rsidP="00740A25" w:rsidRDefault="00740A25" w14:paraId="6E271A46" w14:textId="77777777">
      <w:pPr>
        <w:pStyle w:val="EndnoteText"/>
        <w:rPr>
          <w:lang w:val="en-US"/>
        </w:rPr>
      </w:pPr>
      <w:r>
        <w:rPr>
          <w:rStyle w:val="EndnoteReference"/>
        </w:rPr>
        <w:endnoteRef/>
      </w:r>
      <w:r>
        <w:t xml:space="preserve"> </w:t>
      </w:r>
      <w:r>
        <w:rPr>
          <w:lang w:val="en-US"/>
        </w:rPr>
        <w:t xml:space="preserve">Submission 56, </w:t>
      </w:r>
      <w:r w:rsidRPr="00367DC4">
        <w:rPr>
          <w:rFonts w:cs="Open Sans"/>
          <w:i/>
          <w:iCs/>
        </w:rPr>
        <w:t>Intersex Inquiry</w:t>
      </w:r>
      <w:r w:rsidRPr="00367DC4">
        <w:rPr>
          <w:rFonts w:cs="Open Sans"/>
        </w:rPr>
        <w:t>,</w:t>
      </w:r>
      <w:r>
        <w:rPr>
          <w:rFonts w:cs="Open Sans"/>
          <w:i/>
          <w:iCs/>
        </w:rPr>
        <w:t xml:space="preserve"> </w:t>
      </w:r>
      <w:r>
        <w:rPr>
          <w:lang w:val="en-US"/>
        </w:rPr>
        <w:t>8; Intersex Human Rights Australia, Submission 40,</w:t>
      </w:r>
      <w:r w:rsidRPr="003B023C">
        <w:rPr>
          <w:rFonts w:cs="Open Sans"/>
          <w:i/>
          <w:iCs/>
        </w:rPr>
        <w:t xml:space="preserve"> </w:t>
      </w:r>
      <w:r w:rsidRPr="00367DC4">
        <w:rPr>
          <w:rFonts w:cs="Open Sans"/>
          <w:i/>
          <w:iCs/>
        </w:rPr>
        <w:t>Intersex Inquiry</w:t>
      </w:r>
      <w:r w:rsidRPr="00367DC4">
        <w:rPr>
          <w:rFonts w:cs="Open Sans"/>
        </w:rPr>
        <w:t>,</w:t>
      </w:r>
      <w:r>
        <w:rPr>
          <w:rFonts w:cs="Open Sans"/>
          <w:i/>
          <w:iCs/>
        </w:rPr>
        <w:t xml:space="preserve"> </w:t>
      </w:r>
      <w:r>
        <w:rPr>
          <w:lang w:val="en-US"/>
        </w:rPr>
        <w:t>55; Royal Australia and New Zealand College of Psychiatrists, Submission 26,</w:t>
      </w:r>
      <w:r w:rsidRPr="003B023C">
        <w:rPr>
          <w:rFonts w:cs="Open Sans"/>
          <w:i/>
          <w:iCs/>
        </w:rPr>
        <w:t xml:space="preserve"> </w:t>
      </w:r>
      <w:r w:rsidRPr="00367DC4">
        <w:rPr>
          <w:rFonts w:cs="Open Sans"/>
          <w:i/>
          <w:iCs/>
        </w:rPr>
        <w:t>Intersex Inquiry</w:t>
      </w:r>
      <w:r w:rsidRPr="00367DC4">
        <w:rPr>
          <w:rFonts w:cs="Open Sans"/>
        </w:rPr>
        <w:t>,</w:t>
      </w:r>
      <w:r>
        <w:rPr>
          <w:rFonts w:cs="Open Sans"/>
          <w:i/>
          <w:iCs/>
        </w:rPr>
        <w:t xml:space="preserve"> </w:t>
      </w:r>
      <w:r>
        <w:rPr>
          <w:lang w:val="en-US"/>
        </w:rPr>
        <w:t>2; Submission 60,</w:t>
      </w:r>
      <w:r w:rsidRPr="003B023C">
        <w:rPr>
          <w:rFonts w:cs="Open Sans"/>
          <w:i/>
          <w:iCs/>
        </w:rPr>
        <w:t xml:space="preserve"> </w:t>
      </w:r>
      <w:r w:rsidRPr="00367DC4">
        <w:rPr>
          <w:rFonts w:cs="Open Sans"/>
          <w:i/>
          <w:iCs/>
        </w:rPr>
        <w:t>Intersex Inquiry</w:t>
      </w:r>
      <w:r>
        <w:rPr>
          <w:lang w:val="en-US"/>
        </w:rPr>
        <w:t xml:space="preserve">; Submission 36, </w:t>
      </w:r>
      <w:r w:rsidRPr="00367DC4">
        <w:rPr>
          <w:rFonts w:cs="Open Sans"/>
          <w:i/>
          <w:iCs/>
        </w:rPr>
        <w:t>Intersex Inquiry</w:t>
      </w:r>
      <w:r w:rsidRPr="00367DC4">
        <w:rPr>
          <w:rFonts w:cs="Open Sans"/>
        </w:rPr>
        <w:t>,</w:t>
      </w:r>
      <w:r>
        <w:rPr>
          <w:rFonts w:cs="Open Sans"/>
          <w:i/>
          <w:iCs/>
        </w:rPr>
        <w:t xml:space="preserve"> </w:t>
      </w:r>
      <w:r>
        <w:rPr>
          <w:lang w:val="en-US"/>
        </w:rPr>
        <w:t>23.</w:t>
      </w:r>
    </w:p>
  </w:endnote>
  <w:endnote w:id="619">
    <w:p w:rsidRPr="006C2437" w:rsidR="00740A25" w:rsidP="00740A25" w:rsidRDefault="00740A25" w14:paraId="6D27EFA1" w14:textId="77777777">
      <w:pPr>
        <w:pStyle w:val="EndnoteText"/>
        <w:rPr>
          <w:lang w:val="en-US"/>
        </w:rPr>
      </w:pPr>
      <w:r>
        <w:rPr>
          <w:rStyle w:val="EndnoteReference"/>
        </w:rPr>
        <w:endnoteRef/>
      </w:r>
      <w:r>
        <w:t xml:space="preserve"> </w:t>
      </w:r>
      <w:r>
        <w:rPr>
          <w:lang w:val="en-US"/>
        </w:rPr>
        <w:t>Submission 36,</w:t>
      </w:r>
      <w:r w:rsidRPr="00A347AD">
        <w:rPr>
          <w:rFonts w:cs="Open Sans"/>
          <w:i/>
          <w:iCs/>
        </w:rPr>
        <w:t xml:space="preserve"> </w:t>
      </w:r>
      <w:r w:rsidRPr="00367DC4">
        <w:rPr>
          <w:rFonts w:cs="Open Sans"/>
          <w:i/>
          <w:iCs/>
        </w:rPr>
        <w:t>Intersex Inquiry</w:t>
      </w:r>
      <w:r w:rsidRPr="00367DC4">
        <w:rPr>
          <w:rFonts w:cs="Open Sans"/>
        </w:rPr>
        <w:t>,</w:t>
      </w:r>
      <w:r>
        <w:rPr>
          <w:rFonts w:cs="Open Sans"/>
          <w:i/>
          <w:iCs/>
        </w:rPr>
        <w:t xml:space="preserve"> </w:t>
      </w:r>
      <w:r>
        <w:rPr>
          <w:lang w:val="en-US"/>
        </w:rPr>
        <w:t xml:space="preserve">23. </w:t>
      </w:r>
    </w:p>
  </w:endnote>
  <w:endnote w:id="620">
    <w:p w:rsidRPr="006C2437" w:rsidR="00740A25" w:rsidP="00740A25" w:rsidRDefault="00740A25" w14:paraId="3020EB9A" w14:textId="77777777">
      <w:pPr>
        <w:pStyle w:val="EndnoteText"/>
        <w:rPr>
          <w:lang w:val="en-US"/>
        </w:rPr>
      </w:pPr>
      <w:r>
        <w:rPr>
          <w:rStyle w:val="EndnoteReference"/>
        </w:rPr>
        <w:endnoteRef/>
      </w:r>
      <w:r>
        <w:t xml:space="preserve"> </w:t>
      </w:r>
      <w:r>
        <w:rPr>
          <w:lang w:val="en-US"/>
        </w:rPr>
        <w:t>Submission 60,</w:t>
      </w:r>
      <w:r w:rsidRPr="00A347AD">
        <w:rPr>
          <w:rFonts w:cs="Open Sans"/>
          <w:i/>
          <w:iCs/>
        </w:rPr>
        <w:t xml:space="preserve"> </w:t>
      </w:r>
      <w:r w:rsidRPr="00367DC4">
        <w:rPr>
          <w:rFonts w:cs="Open Sans"/>
          <w:i/>
          <w:iCs/>
        </w:rPr>
        <w:t>Intersex Inquiry</w:t>
      </w:r>
      <w:r>
        <w:rPr>
          <w:lang w:val="en-US"/>
        </w:rPr>
        <w:t xml:space="preserve">. </w:t>
      </w:r>
    </w:p>
  </w:endnote>
  <w:endnote w:id="621">
    <w:p w:rsidRPr="006C2437" w:rsidR="00740A25" w:rsidP="00740A25" w:rsidRDefault="00740A25" w14:paraId="79FB2D03" w14:textId="77777777">
      <w:pPr>
        <w:pStyle w:val="EndnoteText"/>
        <w:rPr>
          <w:lang w:val="en-US"/>
        </w:rPr>
      </w:pPr>
      <w:r>
        <w:rPr>
          <w:rStyle w:val="EndnoteReference"/>
        </w:rPr>
        <w:endnoteRef/>
      </w:r>
      <w:r>
        <w:t xml:space="preserve"> </w:t>
      </w:r>
      <w:r>
        <w:rPr>
          <w:lang w:val="en-US"/>
        </w:rPr>
        <w:t>Submission 56,</w:t>
      </w:r>
      <w:r w:rsidRPr="00A347AD">
        <w:rPr>
          <w:rFonts w:cs="Open Sans"/>
          <w:i/>
          <w:iCs/>
        </w:rPr>
        <w:t xml:space="preserve"> </w:t>
      </w:r>
      <w:r w:rsidRPr="00367DC4">
        <w:rPr>
          <w:rFonts w:cs="Open Sans"/>
          <w:i/>
          <w:iCs/>
        </w:rPr>
        <w:t>Intersex Inquiry</w:t>
      </w:r>
      <w:r w:rsidRPr="00367DC4">
        <w:rPr>
          <w:rFonts w:cs="Open Sans"/>
        </w:rPr>
        <w:t>,</w:t>
      </w:r>
      <w:r>
        <w:rPr>
          <w:rFonts w:cs="Open Sans"/>
          <w:i/>
          <w:iCs/>
        </w:rPr>
        <w:t xml:space="preserve"> </w:t>
      </w:r>
      <w:r>
        <w:rPr>
          <w:lang w:val="en-US"/>
        </w:rPr>
        <w:t xml:space="preserve">8; Intersex Human Rights Australia, Submission 40, </w:t>
      </w:r>
      <w:r w:rsidRPr="00367DC4">
        <w:rPr>
          <w:rFonts w:cs="Open Sans"/>
          <w:i/>
          <w:iCs/>
        </w:rPr>
        <w:t>Intersex Inquiry</w:t>
      </w:r>
      <w:r w:rsidRPr="00367DC4">
        <w:rPr>
          <w:rFonts w:cs="Open Sans"/>
        </w:rPr>
        <w:t>,</w:t>
      </w:r>
      <w:r>
        <w:rPr>
          <w:rFonts w:cs="Open Sans"/>
          <w:i/>
          <w:iCs/>
        </w:rPr>
        <w:t xml:space="preserve"> </w:t>
      </w:r>
      <w:r>
        <w:rPr>
          <w:lang w:val="en-US"/>
        </w:rPr>
        <w:t>55; Submission 60,</w:t>
      </w:r>
      <w:r w:rsidRPr="00A347AD">
        <w:rPr>
          <w:rFonts w:cs="Open Sans"/>
          <w:i/>
          <w:iCs/>
        </w:rPr>
        <w:t xml:space="preserve"> </w:t>
      </w:r>
      <w:r w:rsidRPr="00367DC4">
        <w:rPr>
          <w:rFonts w:cs="Open Sans"/>
          <w:i/>
          <w:iCs/>
        </w:rPr>
        <w:t>Intersex Inquiry</w:t>
      </w:r>
      <w:r>
        <w:rPr>
          <w:lang w:val="en-US"/>
        </w:rPr>
        <w:t>.</w:t>
      </w:r>
    </w:p>
  </w:endnote>
  <w:endnote w:id="622">
    <w:p w:rsidR="00740A25" w:rsidP="00740A25" w:rsidRDefault="00740A25" w14:paraId="33FAC387" w14:textId="77777777">
      <w:pPr>
        <w:pStyle w:val="EndnoteText"/>
      </w:pPr>
      <w:r>
        <w:rPr>
          <w:rStyle w:val="EndnoteReference"/>
        </w:rPr>
        <w:endnoteRef/>
      </w:r>
      <w:r>
        <w:t xml:space="preserve"> </w:t>
      </w:r>
      <w:r w:rsidRPr="00F77177">
        <w:rPr>
          <w:bCs/>
        </w:rPr>
        <w:t>Submission 36,</w:t>
      </w:r>
      <w:r w:rsidRPr="002C10BB">
        <w:rPr>
          <w:rFonts w:cs="Open Sans"/>
          <w:i/>
          <w:iCs/>
        </w:rPr>
        <w:t xml:space="preserve"> </w:t>
      </w:r>
      <w:r w:rsidRPr="00367DC4">
        <w:rPr>
          <w:rFonts w:cs="Open Sans"/>
          <w:i/>
          <w:iCs/>
        </w:rPr>
        <w:t>Intersex Inquiry</w:t>
      </w:r>
      <w:r w:rsidRPr="00367DC4">
        <w:rPr>
          <w:rFonts w:cs="Open Sans"/>
        </w:rPr>
        <w:t>,</w:t>
      </w:r>
      <w:r>
        <w:rPr>
          <w:rFonts w:cs="Open Sans"/>
          <w:i/>
          <w:iCs/>
        </w:rPr>
        <w:t xml:space="preserve"> </w:t>
      </w:r>
      <w:r w:rsidRPr="00F77177">
        <w:rPr>
          <w:bCs/>
        </w:rPr>
        <w:t>23.</w:t>
      </w:r>
    </w:p>
  </w:endnote>
  <w:endnote w:id="623">
    <w:p w:rsidRPr="00A509AF" w:rsidR="00740A25" w:rsidP="00740A25" w:rsidRDefault="00740A25" w14:paraId="362BDA33" w14:textId="77777777">
      <w:pPr>
        <w:pStyle w:val="EndnoteText"/>
        <w:rPr>
          <w:rFonts w:ascii="Arial" w:hAnsi="Arial" w:cs="Arial"/>
        </w:rPr>
      </w:pPr>
      <w:r w:rsidRPr="00D83411">
        <w:rPr>
          <w:rStyle w:val="EndnoteReference"/>
          <w:rFonts w:cs="Open Sans"/>
        </w:rPr>
        <w:endnoteRef/>
      </w:r>
      <w:r w:rsidRPr="00D83411">
        <w:rPr>
          <w:rFonts w:cs="Open Sans"/>
        </w:rPr>
        <w:t xml:space="preserve"> </w:t>
      </w:r>
      <w:r>
        <w:rPr>
          <w:rFonts w:cs="Open Sans"/>
        </w:rPr>
        <w:t xml:space="preserve">Submission </w:t>
      </w:r>
      <w:r w:rsidRPr="00D83411">
        <w:rPr>
          <w:rFonts w:cs="Open Sans"/>
        </w:rPr>
        <w:t>60</w:t>
      </w:r>
      <w:r>
        <w:rPr>
          <w:rFonts w:cs="Open Sans"/>
        </w:rPr>
        <w:t>,</w:t>
      </w:r>
      <w:r w:rsidRPr="002C10BB">
        <w:rPr>
          <w:rFonts w:cs="Open Sans"/>
          <w:i/>
          <w:iCs/>
        </w:rPr>
        <w:t xml:space="preserve"> </w:t>
      </w:r>
      <w:r w:rsidRPr="00367DC4">
        <w:rPr>
          <w:rFonts w:cs="Open Sans"/>
          <w:i/>
          <w:iCs/>
        </w:rPr>
        <w:t>Intersex Inquiry</w:t>
      </w:r>
      <w:r>
        <w:rPr>
          <w:rFonts w:cs="Open Sans"/>
        </w:rPr>
        <w:t>.</w:t>
      </w:r>
    </w:p>
  </w:endnote>
  <w:endnote w:id="624">
    <w:p w:rsidRPr="00CA5F94" w:rsidR="00740A25" w:rsidP="00740A25" w:rsidRDefault="00740A25" w14:paraId="4B5EAD4B" w14:textId="77777777">
      <w:pPr>
        <w:pStyle w:val="EndnoteText"/>
        <w:rPr>
          <w:lang w:val="en-US"/>
        </w:rPr>
      </w:pPr>
      <w:r>
        <w:rPr>
          <w:rStyle w:val="EndnoteReference"/>
        </w:rPr>
        <w:endnoteRef/>
      </w:r>
      <w:r>
        <w:t xml:space="preserve"> For example, see </w:t>
      </w:r>
      <w:r w:rsidRPr="00CA5F94">
        <w:rPr>
          <w:i/>
          <w:iCs/>
        </w:rPr>
        <w:t>Children and Young Persons (Care and Protection) Act 1998</w:t>
      </w:r>
      <w:r w:rsidRPr="00D33ADD">
        <w:t xml:space="preserve"> (NSW)</w:t>
      </w:r>
      <w:r>
        <w:t xml:space="preserve"> </w:t>
      </w:r>
      <w:r w:rsidRPr="00D33ADD">
        <w:t>s</w:t>
      </w:r>
      <w:r>
        <w:t> </w:t>
      </w:r>
      <w:r w:rsidRPr="00D33ADD">
        <w:t>17</w:t>
      </w:r>
      <w:r>
        <w:t>4(1).</w:t>
      </w:r>
    </w:p>
  </w:endnote>
  <w:endnote w:id="625">
    <w:p w:rsidR="00740A25" w:rsidP="00740A25" w:rsidRDefault="00740A25" w14:paraId="0A2AFD20" w14:textId="77777777">
      <w:pPr>
        <w:pStyle w:val="EndnoteText"/>
      </w:pPr>
      <w:r>
        <w:rPr>
          <w:rStyle w:val="EndnoteReference"/>
        </w:rPr>
        <w:endnoteRef/>
      </w:r>
      <w:r>
        <w:t xml:space="preserve"> </w:t>
      </w:r>
      <w:r w:rsidRPr="00A412BB">
        <w:t xml:space="preserve">See, eg, </w:t>
      </w:r>
      <w:r w:rsidRPr="006C07A2">
        <w:rPr>
          <w:i/>
          <w:iCs/>
        </w:rPr>
        <w:t>Guardianship Act 1987</w:t>
      </w:r>
      <w:r w:rsidRPr="00A412BB">
        <w:t xml:space="preserve"> (NSW) pt 5 </w:t>
      </w:r>
      <w:r>
        <w:t>‘</w:t>
      </w:r>
      <w:r w:rsidRPr="00A412BB">
        <w:t>Medical and dental treatment</w:t>
      </w:r>
      <w:r>
        <w:t>’</w:t>
      </w:r>
      <w:r w:rsidRPr="00A412BB">
        <w:t>.</w:t>
      </w:r>
    </w:p>
  </w:endnote>
  <w:endnote w:id="626">
    <w:p w:rsidR="00740A25" w:rsidP="00740A25" w:rsidRDefault="00740A25" w14:paraId="07114520" w14:textId="77777777">
      <w:pPr>
        <w:pStyle w:val="EndnoteText"/>
      </w:pPr>
      <w:r w:rsidRPr="03223B69">
        <w:rPr>
          <w:rStyle w:val="EndnoteReference"/>
        </w:rPr>
        <w:endnoteRef/>
      </w:r>
      <w:r>
        <w:t xml:space="preserve"> Australasian Paediatric Endocrine Group, Submission 20,</w:t>
      </w:r>
      <w:r w:rsidRPr="003C2C86">
        <w:rPr>
          <w:rFonts w:cs="Open Sans"/>
          <w:i/>
          <w:iCs/>
        </w:rPr>
        <w:t xml:space="preserve"> </w:t>
      </w:r>
      <w:r w:rsidRPr="00367DC4">
        <w:rPr>
          <w:rFonts w:cs="Open Sans"/>
          <w:i/>
          <w:iCs/>
        </w:rPr>
        <w:t>Intersex Inquiry</w:t>
      </w:r>
      <w:r w:rsidRPr="00367DC4">
        <w:rPr>
          <w:rFonts w:cs="Open Sans"/>
        </w:rPr>
        <w:t>,</w:t>
      </w:r>
      <w:r>
        <w:rPr>
          <w:rFonts w:cs="Open Sans"/>
          <w:i/>
          <w:iCs/>
        </w:rPr>
        <w:t xml:space="preserve"> </w:t>
      </w:r>
      <w:r>
        <w:t>6.</w:t>
      </w:r>
    </w:p>
  </w:endnote>
  <w:endnote w:id="627">
    <w:p w:rsidR="00740A25" w:rsidP="00740A25" w:rsidRDefault="00740A25" w14:paraId="3C959F50" w14:textId="77777777">
      <w:pPr>
        <w:pStyle w:val="EndnoteText"/>
        <w:rPr>
          <w:lang w:val="en-US"/>
        </w:rPr>
      </w:pPr>
      <w:r w:rsidRPr="03223B69">
        <w:rPr>
          <w:rStyle w:val="EndnoteReference"/>
        </w:rPr>
        <w:endnoteRef/>
      </w:r>
      <w:r>
        <w:t xml:space="preserve"> Senate Community Affairs References Committee, Parliament of Australia</w:t>
      </w:r>
      <w:r w:rsidRPr="03223B69">
        <w:rPr>
          <w:i/>
          <w:iCs/>
        </w:rPr>
        <w:t>, Involuntary or coerced sterilisation of intersex people in Australia</w:t>
      </w:r>
      <w:r>
        <w:t xml:space="preserve"> (2013), 101, Rec 10. </w:t>
      </w:r>
    </w:p>
  </w:endnote>
  <w:endnote w:id="628">
    <w:p w:rsidR="00740A25" w:rsidP="00740A25" w:rsidRDefault="00740A25" w14:paraId="530D8CDD" w14:textId="77777777">
      <w:pPr>
        <w:pStyle w:val="EndnoteText"/>
        <w:rPr>
          <w:lang w:val="en-US"/>
        </w:rPr>
      </w:pPr>
      <w:r w:rsidRPr="03223B69">
        <w:rPr>
          <w:rStyle w:val="EndnoteReference"/>
        </w:rPr>
        <w:endnoteRef/>
      </w:r>
      <w:r>
        <w:t xml:space="preserve"> Senate Community Affairs References Committee, Parliament of Australia</w:t>
      </w:r>
      <w:r w:rsidRPr="03223B69">
        <w:rPr>
          <w:i/>
          <w:iCs/>
        </w:rPr>
        <w:t>, Involuntary or coerced sterilisation of intersex people in Australia</w:t>
      </w:r>
      <w:r>
        <w:t xml:space="preserve"> (2013), 101. </w:t>
      </w:r>
    </w:p>
  </w:endnote>
  <w:endnote w:id="629">
    <w:p w:rsidR="00740A25" w:rsidP="00740A25" w:rsidRDefault="00740A25" w14:paraId="49E1DB18" w14:textId="77777777">
      <w:pPr>
        <w:pStyle w:val="EndnoteText"/>
      </w:pPr>
      <w:r w:rsidRPr="03223B69">
        <w:rPr>
          <w:rStyle w:val="EndnoteReference"/>
        </w:rPr>
        <w:endnoteRef/>
      </w:r>
      <w:r>
        <w:t xml:space="preserve"> </w:t>
      </w:r>
      <w:r w:rsidRPr="03223B69">
        <w:rPr>
          <w:i/>
          <w:iCs/>
        </w:rPr>
        <w:t>Australian Human Rights Commission Act 1986</w:t>
      </w:r>
      <w:r>
        <w:t xml:space="preserve"> (Cth) s 11(1)(o). </w:t>
      </w:r>
    </w:p>
  </w:endnote>
  <w:endnote w:id="630">
    <w:p w:rsidR="00740A25" w:rsidP="00740A25" w:rsidRDefault="00740A25" w14:paraId="789EF544" w14:textId="77777777">
      <w:pPr>
        <w:pStyle w:val="EndnoteText"/>
      </w:pPr>
      <w:r w:rsidRPr="03223B69">
        <w:rPr>
          <w:rStyle w:val="EndnoteReference"/>
        </w:rPr>
        <w:endnoteRef/>
      </w:r>
      <w:r>
        <w:t xml:space="preserve"> Family Law Rules 2004 (Cth) r 15.71. </w:t>
      </w:r>
    </w:p>
  </w:endnote>
  <w:endnote w:id="631">
    <w:p w:rsidR="00740A25" w:rsidP="00740A25" w:rsidRDefault="00740A25" w14:paraId="053431D6" w14:textId="77777777">
      <w:pPr>
        <w:pStyle w:val="EndnoteText"/>
      </w:pPr>
      <w:r w:rsidRPr="03223B69">
        <w:rPr>
          <w:rStyle w:val="EndnoteReference"/>
        </w:rPr>
        <w:endnoteRef/>
      </w:r>
      <w:r>
        <w:t xml:space="preserve"> Family Law Rules 2004 (Cth) pt 15.4. </w:t>
      </w:r>
    </w:p>
  </w:endnote>
  <w:endnote w:id="632">
    <w:p w:rsidR="00740A25" w:rsidP="00740A25" w:rsidRDefault="00740A25" w14:paraId="3E68833C" w14:textId="77777777">
      <w:pPr>
        <w:pStyle w:val="EndnoteText"/>
      </w:pPr>
      <w:r w:rsidRPr="03223B69">
        <w:rPr>
          <w:rStyle w:val="EndnoteReference"/>
        </w:rPr>
        <w:endnoteRef/>
      </w:r>
      <w:r>
        <w:t xml:space="preserve"> The Family Court and the Federal Circuit Court of Australia are to be merged into a unified administrative structure to be called the Federal Circuit and Family Court of Australia, commencing by 1 September 2021: </w:t>
      </w:r>
      <w:r w:rsidRPr="03223B69">
        <w:rPr>
          <w:i/>
          <w:iCs/>
        </w:rPr>
        <w:t>Federal Circuit and Family Court of Australia Act 2021</w:t>
      </w:r>
      <w:r>
        <w:t xml:space="preserve"> (Cth); </w:t>
      </w:r>
      <w:r w:rsidRPr="03223B69">
        <w:rPr>
          <w:i/>
          <w:iCs/>
        </w:rPr>
        <w:t>Federal Circuit and Family Court of Australia (Consequential Amendments and Transitional Arrangements) Act 2021</w:t>
      </w:r>
      <w:r>
        <w:t xml:space="preserve"> (Cth).</w:t>
      </w:r>
    </w:p>
  </w:endnote>
  <w:endnote w:id="633">
    <w:p w:rsidRPr="00E2364A" w:rsidR="00452E54" w:rsidP="00452E54" w:rsidRDefault="00452E54" w14:paraId="1F8102FF" w14:textId="77777777">
      <w:pPr>
        <w:pStyle w:val="EndnoteText"/>
        <w:rPr>
          <w:rFonts w:cs="Open Sans"/>
        </w:rPr>
      </w:pPr>
      <w:r w:rsidRPr="00E2364A">
        <w:rPr>
          <w:rStyle w:val="EndnoteReference"/>
          <w:rFonts w:cs="Open Sans"/>
        </w:rPr>
        <w:endnoteRef/>
      </w:r>
      <w:r w:rsidRPr="00E2364A">
        <w:rPr>
          <w:rFonts w:cs="Open Sans"/>
        </w:rPr>
        <w:t xml:space="preserve"> F Garland and M Travis, ‘Legislating Intersex Equality: Building the Resilience of Intersex People through Law’ (2018) 38(4) </w:t>
      </w:r>
      <w:r w:rsidRPr="00E2364A">
        <w:rPr>
          <w:rFonts w:cs="Open Sans"/>
          <w:i/>
          <w:iCs/>
        </w:rPr>
        <w:t>Legal Studies</w:t>
      </w:r>
      <w:r w:rsidRPr="00E2364A">
        <w:rPr>
          <w:rFonts w:cs="Open Sans"/>
        </w:rPr>
        <w:t xml:space="preserve"> 587.</w:t>
      </w:r>
    </w:p>
  </w:endnote>
  <w:endnote w:id="634">
    <w:p w:rsidRPr="00E2364A" w:rsidR="00452E54" w:rsidP="00452E54" w:rsidRDefault="00452E54" w14:paraId="335CAC22" w14:textId="77777777">
      <w:pPr>
        <w:pStyle w:val="EndnoteText"/>
        <w:rPr>
          <w:rFonts w:cs="Open Sans"/>
        </w:rPr>
      </w:pPr>
      <w:r w:rsidRPr="00E2364A">
        <w:rPr>
          <w:rStyle w:val="EndnoteReference"/>
          <w:rFonts w:cs="Open Sans"/>
        </w:rPr>
        <w:endnoteRef/>
      </w:r>
      <w:r w:rsidRPr="00E2364A">
        <w:rPr>
          <w:rStyle w:val="EndnoteReference"/>
          <w:rFonts w:cs="Open Sans"/>
        </w:rPr>
        <w:endnoteRef/>
      </w:r>
      <w:r w:rsidRPr="00E2364A">
        <w:rPr>
          <w:rFonts w:cs="Open Sans"/>
        </w:rPr>
        <w:t xml:space="preserve"> Submission 52,</w:t>
      </w:r>
      <w:r w:rsidRPr="00A62281">
        <w:rPr>
          <w:rFonts w:cs="Open Sans"/>
          <w:i/>
          <w:iCs/>
        </w:rPr>
        <w:t xml:space="preserve"> </w:t>
      </w:r>
      <w:bookmarkStart w:name="_Hlk80101066" w:id="495"/>
      <w:r w:rsidRPr="00A62281">
        <w:rPr>
          <w:rFonts w:cs="Open Sans"/>
          <w:i/>
          <w:iCs/>
        </w:rPr>
        <w:t>Intersex Inquiry</w:t>
      </w:r>
      <w:r w:rsidRPr="00A62281">
        <w:rPr>
          <w:rFonts w:cs="Open Sans"/>
        </w:rPr>
        <w:t>,</w:t>
      </w:r>
      <w:r>
        <w:rPr>
          <w:rFonts w:cs="Open Sans"/>
          <w:i/>
          <w:iCs/>
        </w:rPr>
        <w:t xml:space="preserve"> </w:t>
      </w:r>
      <w:bookmarkEnd w:id="495"/>
      <w:r w:rsidRPr="00E2364A">
        <w:rPr>
          <w:rFonts w:cs="Open Sans"/>
        </w:rPr>
        <w:t>8.</w:t>
      </w:r>
    </w:p>
  </w:endnote>
  <w:endnote w:id="635">
    <w:p w:rsidRPr="00E2364A" w:rsidR="00452E54" w:rsidP="00452E54" w:rsidRDefault="00452E54" w14:paraId="0544505F" w14:textId="77777777">
      <w:pPr>
        <w:pStyle w:val="EndnoteText"/>
        <w:rPr>
          <w:rFonts w:cs="Open Sans"/>
          <w:lang w:val="en-US"/>
        </w:rPr>
      </w:pPr>
      <w:r w:rsidRPr="00E2364A">
        <w:rPr>
          <w:rStyle w:val="EndnoteReference"/>
          <w:rFonts w:cs="Open Sans"/>
        </w:rPr>
        <w:endnoteRef/>
      </w:r>
      <w:r w:rsidRPr="00E2364A">
        <w:rPr>
          <w:rFonts w:cs="Open Sans"/>
        </w:rPr>
        <w:t xml:space="preserve"> Submission 24,</w:t>
      </w:r>
      <w:r w:rsidRPr="00A62281">
        <w:rPr>
          <w:rFonts w:cs="Open Sans"/>
          <w:i/>
          <w:iCs/>
        </w:rPr>
        <w:t xml:space="preserve"> Intersex Inquiry</w:t>
      </w:r>
      <w:r w:rsidRPr="00A62281">
        <w:rPr>
          <w:rFonts w:cs="Open Sans"/>
        </w:rPr>
        <w:t>,</w:t>
      </w:r>
      <w:r>
        <w:rPr>
          <w:rFonts w:cs="Open Sans"/>
          <w:i/>
          <w:iCs/>
        </w:rPr>
        <w:t xml:space="preserve"> </w:t>
      </w:r>
      <w:r w:rsidRPr="00E2364A">
        <w:rPr>
          <w:rFonts w:cs="Open Sans"/>
        </w:rPr>
        <w:t>5; Submission 36,</w:t>
      </w:r>
      <w:r w:rsidRPr="00A62281">
        <w:rPr>
          <w:rFonts w:cs="Open Sans"/>
          <w:i/>
          <w:iCs/>
        </w:rPr>
        <w:t xml:space="preserve"> Intersex Inquiry</w:t>
      </w:r>
      <w:r w:rsidRPr="00A62281">
        <w:rPr>
          <w:rFonts w:cs="Open Sans"/>
        </w:rPr>
        <w:t>,</w:t>
      </w:r>
      <w:r>
        <w:rPr>
          <w:rFonts w:cs="Open Sans"/>
          <w:i/>
          <w:iCs/>
        </w:rPr>
        <w:t xml:space="preserve"> </w:t>
      </w:r>
      <w:r w:rsidRPr="00E2364A">
        <w:rPr>
          <w:rFonts w:cs="Open Sans"/>
        </w:rPr>
        <w:t xml:space="preserve">21. </w:t>
      </w:r>
    </w:p>
  </w:endnote>
  <w:endnote w:id="636">
    <w:p w:rsidRPr="00E2364A" w:rsidR="00452E54" w:rsidP="00452E54" w:rsidRDefault="00452E54" w14:paraId="28CC12F2" w14:textId="77777777">
      <w:pPr>
        <w:pStyle w:val="EndnoteText"/>
        <w:rPr>
          <w:rFonts w:cs="Open Sans"/>
          <w:lang w:val="en-US"/>
        </w:rPr>
      </w:pPr>
      <w:r w:rsidRPr="00E2364A">
        <w:rPr>
          <w:rStyle w:val="EndnoteReference"/>
          <w:rFonts w:cs="Open Sans"/>
        </w:rPr>
        <w:endnoteRef/>
      </w:r>
      <w:r w:rsidRPr="00E2364A">
        <w:rPr>
          <w:rFonts w:cs="Open Sans"/>
        </w:rPr>
        <w:t xml:space="preserve"> </w:t>
      </w:r>
      <w:r w:rsidRPr="00E2364A">
        <w:rPr>
          <w:rFonts w:cs="Open Sans"/>
          <w:lang w:val="en-US"/>
        </w:rPr>
        <w:t xml:space="preserve">Submission 56, </w:t>
      </w:r>
      <w:r w:rsidRPr="00A62281">
        <w:rPr>
          <w:rFonts w:cs="Open Sans"/>
          <w:i/>
          <w:iCs/>
        </w:rPr>
        <w:t>Intersex Inquiry</w:t>
      </w:r>
      <w:r w:rsidRPr="00A62281">
        <w:rPr>
          <w:rFonts w:cs="Open Sans"/>
        </w:rPr>
        <w:t>,</w:t>
      </w:r>
      <w:r>
        <w:rPr>
          <w:rFonts w:cs="Open Sans"/>
          <w:i/>
          <w:iCs/>
        </w:rPr>
        <w:t xml:space="preserve"> </w:t>
      </w:r>
      <w:r w:rsidRPr="00E2364A">
        <w:rPr>
          <w:rFonts w:cs="Open Sans"/>
          <w:lang w:val="en-US"/>
        </w:rPr>
        <w:t>6; Submission 61,</w:t>
      </w:r>
      <w:r w:rsidRPr="00A62281">
        <w:rPr>
          <w:rFonts w:cs="Open Sans"/>
          <w:i/>
          <w:iCs/>
        </w:rPr>
        <w:t xml:space="preserve"> Intersex Inquiry</w:t>
      </w:r>
      <w:r w:rsidRPr="00A62281">
        <w:rPr>
          <w:rFonts w:cs="Open Sans"/>
        </w:rPr>
        <w:t>,</w:t>
      </w:r>
      <w:r>
        <w:rPr>
          <w:rFonts w:cs="Open Sans"/>
          <w:i/>
          <w:iCs/>
        </w:rPr>
        <w:t xml:space="preserve"> </w:t>
      </w:r>
      <w:r w:rsidRPr="00E2364A">
        <w:rPr>
          <w:rFonts w:cs="Open Sans"/>
          <w:lang w:val="en-US"/>
        </w:rPr>
        <w:t>6; A Gender Agenda, Submission 52,</w:t>
      </w:r>
      <w:r w:rsidRPr="00A62281">
        <w:rPr>
          <w:rFonts w:cs="Open Sans"/>
          <w:i/>
          <w:iCs/>
        </w:rPr>
        <w:t xml:space="preserve"> Intersex Inquiry</w:t>
      </w:r>
      <w:r w:rsidRPr="00A62281">
        <w:rPr>
          <w:rFonts w:cs="Open Sans"/>
        </w:rPr>
        <w:t>,</w:t>
      </w:r>
      <w:r>
        <w:rPr>
          <w:rFonts w:cs="Open Sans"/>
          <w:i/>
          <w:iCs/>
        </w:rPr>
        <w:t xml:space="preserve"> </w:t>
      </w:r>
      <w:r w:rsidRPr="00E2364A">
        <w:rPr>
          <w:rFonts w:cs="Open Sans"/>
          <w:lang w:val="en-US"/>
        </w:rPr>
        <w:t>6.</w:t>
      </w:r>
    </w:p>
  </w:endnote>
  <w:endnote w:id="637">
    <w:p w:rsidRPr="00E2364A" w:rsidR="00452E54" w:rsidP="00452E54" w:rsidRDefault="00452E54" w14:paraId="37FF9DDD" w14:textId="77777777">
      <w:pPr>
        <w:pStyle w:val="EndnoteText"/>
        <w:rPr>
          <w:rFonts w:cs="Open Sans"/>
          <w:lang w:val="en-US"/>
        </w:rPr>
      </w:pPr>
      <w:r w:rsidRPr="00E2364A">
        <w:rPr>
          <w:rStyle w:val="EndnoteReference"/>
          <w:rFonts w:cs="Open Sans"/>
        </w:rPr>
        <w:endnoteRef/>
      </w:r>
      <w:r w:rsidRPr="00E2364A">
        <w:rPr>
          <w:rFonts w:cs="Open Sans"/>
        </w:rPr>
        <w:t xml:space="preserve"> </w:t>
      </w:r>
      <w:r w:rsidRPr="00E2364A">
        <w:rPr>
          <w:rFonts w:cs="Open Sans"/>
          <w:lang w:val="en-US"/>
        </w:rPr>
        <w:t xml:space="preserve">Submission 36, </w:t>
      </w:r>
      <w:r w:rsidRPr="00A62281">
        <w:rPr>
          <w:rFonts w:cs="Open Sans"/>
          <w:i/>
          <w:iCs/>
        </w:rPr>
        <w:t>Intersex Inquiry</w:t>
      </w:r>
      <w:r w:rsidRPr="00A62281">
        <w:rPr>
          <w:rFonts w:cs="Open Sans"/>
        </w:rPr>
        <w:t>,</w:t>
      </w:r>
      <w:r>
        <w:rPr>
          <w:rFonts w:cs="Open Sans"/>
          <w:i/>
          <w:iCs/>
        </w:rPr>
        <w:t xml:space="preserve"> </w:t>
      </w:r>
      <w:r w:rsidRPr="00E2364A">
        <w:rPr>
          <w:rFonts w:cs="Open Sans"/>
          <w:lang w:val="en-US"/>
        </w:rPr>
        <w:t xml:space="preserve">18. </w:t>
      </w:r>
    </w:p>
  </w:endnote>
  <w:endnote w:id="638">
    <w:p w:rsidRPr="00E2364A" w:rsidR="00452E54" w:rsidP="00452E54" w:rsidRDefault="00452E54" w14:paraId="6457F9DB" w14:textId="77777777">
      <w:pPr>
        <w:pStyle w:val="EndnoteText"/>
        <w:rPr>
          <w:rFonts w:cs="Open Sans"/>
          <w:lang w:val="en-US"/>
        </w:rPr>
      </w:pPr>
      <w:r w:rsidRPr="00E2364A">
        <w:rPr>
          <w:rStyle w:val="EndnoteReference"/>
          <w:rFonts w:cs="Open Sans"/>
        </w:rPr>
        <w:endnoteRef/>
      </w:r>
      <w:r w:rsidRPr="00E2364A">
        <w:rPr>
          <w:rFonts w:cs="Open Sans"/>
        </w:rPr>
        <w:t xml:space="preserve"> </w:t>
      </w:r>
      <w:r w:rsidRPr="00E2364A">
        <w:rPr>
          <w:rFonts w:cs="Open Sans"/>
          <w:lang w:val="en-US"/>
        </w:rPr>
        <w:t xml:space="preserve">Submission 36, </w:t>
      </w:r>
      <w:r w:rsidRPr="00A62281">
        <w:rPr>
          <w:rFonts w:cs="Open Sans"/>
          <w:i/>
          <w:iCs/>
        </w:rPr>
        <w:t>Intersex Inquiry</w:t>
      </w:r>
      <w:r w:rsidRPr="00A62281">
        <w:rPr>
          <w:rFonts w:cs="Open Sans"/>
        </w:rPr>
        <w:t>,</w:t>
      </w:r>
      <w:r>
        <w:rPr>
          <w:rFonts w:cs="Open Sans"/>
          <w:i/>
          <w:iCs/>
        </w:rPr>
        <w:t xml:space="preserve"> </w:t>
      </w:r>
      <w:r w:rsidRPr="00E2364A">
        <w:rPr>
          <w:rFonts w:cs="Open Sans"/>
          <w:lang w:val="en-US"/>
        </w:rPr>
        <w:t xml:space="preserve">19. </w:t>
      </w:r>
    </w:p>
  </w:endnote>
  <w:endnote w:id="639">
    <w:p w:rsidRPr="00E2364A" w:rsidR="00452E54" w:rsidP="00452E54" w:rsidRDefault="00452E54" w14:paraId="1E1926D8" w14:textId="77777777">
      <w:pPr>
        <w:pStyle w:val="EndnoteText"/>
        <w:rPr>
          <w:rFonts w:cs="Open Sans"/>
          <w:lang w:val="en-US"/>
        </w:rPr>
      </w:pPr>
      <w:r w:rsidRPr="00E2364A">
        <w:rPr>
          <w:rStyle w:val="EndnoteReference"/>
          <w:rFonts w:cs="Open Sans"/>
        </w:rPr>
        <w:endnoteRef/>
      </w:r>
      <w:r w:rsidRPr="00E2364A">
        <w:rPr>
          <w:rFonts w:cs="Open Sans"/>
        </w:rPr>
        <w:t xml:space="preserve"> </w:t>
      </w:r>
      <w:r w:rsidRPr="00E2364A">
        <w:rPr>
          <w:rFonts w:cs="Open Sans"/>
          <w:lang w:val="en-US"/>
        </w:rPr>
        <w:t xml:space="preserve">Submission 36, </w:t>
      </w:r>
      <w:r w:rsidRPr="00A62281">
        <w:rPr>
          <w:rFonts w:cs="Open Sans"/>
          <w:i/>
          <w:iCs/>
        </w:rPr>
        <w:t>Intersex Inquiry</w:t>
      </w:r>
      <w:r w:rsidRPr="00A62281">
        <w:rPr>
          <w:rFonts w:cs="Open Sans"/>
        </w:rPr>
        <w:t>,</w:t>
      </w:r>
      <w:r>
        <w:rPr>
          <w:rFonts w:cs="Open Sans"/>
          <w:i/>
          <w:iCs/>
        </w:rPr>
        <w:t xml:space="preserve"> </w:t>
      </w:r>
      <w:r w:rsidRPr="00E2364A">
        <w:rPr>
          <w:rFonts w:cs="Open Sans"/>
          <w:lang w:val="en-US"/>
        </w:rPr>
        <w:t>18.</w:t>
      </w:r>
    </w:p>
  </w:endnote>
  <w:endnote w:id="640">
    <w:p w:rsidRPr="00E2364A" w:rsidR="00452E54" w:rsidP="00452E54" w:rsidRDefault="00452E54" w14:paraId="45F3EF9B" w14:textId="77777777">
      <w:pPr>
        <w:pStyle w:val="EndnoteText"/>
        <w:rPr>
          <w:rFonts w:cs="Open Sans"/>
        </w:rPr>
      </w:pPr>
      <w:r w:rsidRPr="00E2364A">
        <w:rPr>
          <w:rStyle w:val="EndnoteReference"/>
          <w:rFonts w:cs="Open Sans"/>
        </w:rPr>
        <w:endnoteRef/>
      </w:r>
      <w:r w:rsidRPr="00E2364A">
        <w:rPr>
          <w:rFonts w:cs="Open Sans"/>
        </w:rPr>
        <w:t xml:space="preserve"> </w:t>
      </w:r>
      <w:r w:rsidRPr="00E2364A">
        <w:rPr>
          <w:rFonts w:cs="Open Sans"/>
          <w:lang w:val="en-US"/>
        </w:rPr>
        <w:t xml:space="preserve">Submission 36, </w:t>
      </w:r>
      <w:r w:rsidRPr="00A62281">
        <w:rPr>
          <w:rFonts w:cs="Open Sans"/>
          <w:i/>
          <w:iCs/>
        </w:rPr>
        <w:t>Intersex Inquiry</w:t>
      </w:r>
      <w:r w:rsidRPr="00A62281">
        <w:rPr>
          <w:rFonts w:cs="Open Sans"/>
        </w:rPr>
        <w:t>,</w:t>
      </w:r>
      <w:r>
        <w:rPr>
          <w:rFonts w:cs="Open Sans"/>
          <w:i/>
          <w:iCs/>
        </w:rPr>
        <w:t xml:space="preserve"> </w:t>
      </w:r>
      <w:r w:rsidRPr="00E2364A">
        <w:rPr>
          <w:rFonts w:cs="Open Sans"/>
          <w:lang w:val="en-US"/>
        </w:rPr>
        <w:t xml:space="preserve">18; </w:t>
      </w:r>
      <w:r w:rsidRPr="00E2364A">
        <w:rPr>
          <w:rFonts w:cs="Open Sans"/>
        </w:rPr>
        <w:t xml:space="preserve">Submission 56, </w:t>
      </w:r>
      <w:r w:rsidRPr="00A62281">
        <w:rPr>
          <w:rFonts w:cs="Open Sans"/>
          <w:i/>
          <w:iCs/>
        </w:rPr>
        <w:t>Intersex Inquiry</w:t>
      </w:r>
      <w:r w:rsidRPr="00A62281">
        <w:rPr>
          <w:rFonts w:cs="Open Sans"/>
        </w:rPr>
        <w:t>,</w:t>
      </w:r>
      <w:r>
        <w:rPr>
          <w:rFonts w:cs="Open Sans"/>
          <w:i/>
          <w:iCs/>
        </w:rPr>
        <w:t xml:space="preserve"> </w:t>
      </w:r>
      <w:r w:rsidRPr="00E2364A">
        <w:rPr>
          <w:rFonts w:cs="Open Sans"/>
        </w:rPr>
        <w:t xml:space="preserve">8 referring to Malta as an example of a legislative approach that adequately upholds all human rights. Submission 41, </w:t>
      </w:r>
      <w:r w:rsidRPr="00A62281">
        <w:rPr>
          <w:rFonts w:cs="Open Sans"/>
          <w:i/>
          <w:iCs/>
        </w:rPr>
        <w:t>Intersex Inquiry</w:t>
      </w:r>
      <w:r w:rsidRPr="00A62281">
        <w:rPr>
          <w:rFonts w:cs="Open Sans"/>
        </w:rPr>
        <w:t>,</w:t>
      </w:r>
      <w:r>
        <w:rPr>
          <w:rFonts w:cs="Open Sans"/>
          <w:i/>
          <w:iCs/>
        </w:rPr>
        <w:t xml:space="preserve"> </w:t>
      </w:r>
      <w:r w:rsidRPr="00E2364A">
        <w:rPr>
          <w:rFonts w:cs="Open Sans"/>
        </w:rPr>
        <w:t>8; Submission 60</w:t>
      </w:r>
      <w:r>
        <w:rPr>
          <w:rFonts w:cs="Open Sans"/>
          <w:i/>
          <w:iCs/>
        </w:rPr>
        <w:t>,</w:t>
      </w:r>
      <w:r w:rsidRPr="00A62281">
        <w:rPr>
          <w:rFonts w:cs="Open Sans"/>
          <w:i/>
          <w:iCs/>
        </w:rPr>
        <w:t>Intersex Inquiry</w:t>
      </w:r>
      <w:r w:rsidRPr="00E2364A">
        <w:rPr>
          <w:rFonts w:cs="Open Sans"/>
        </w:rPr>
        <w:t xml:space="preserve">. </w:t>
      </w:r>
    </w:p>
  </w:endnote>
  <w:endnote w:id="641">
    <w:p w:rsidRPr="00E2364A" w:rsidR="00452E54" w:rsidP="00452E54" w:rsidRDefault="00452E54" w14:paraId="3A3BDD8F" w14:textId="77777777">
      <w:pPr>
        <w:pStyle w:val="EndnoteText"/>
        <w:rPr>
          <w:rFonts w:cs="Open Sans"/>
        </w:rPr>
      </w:pPr>
      <w:r w:rsidRPr="00E2364A">
        <w:rPr>
          <w:rStyle w:val="EndnoteReference"/>
          <w:rFonts w:cs="Open Sans"/>
        </w:rPr>
        <w:endnoteRef/>
      </w:r>
      <w:r w:rsidRPr="00E2364A">
        <w:rPr>
          <w:rFonts w:cs="Open Sans"/>
        </w:rPr>
        <w:t xml:space="preserve"> Submission 36, </w:t>
      </w:r>
      <w:r w:rsidRPr="00A62281">
        <w:rPr>
          <w:rFonts w:cs="Open Sans"/>
          <w:i/>
          <w:iCs/>
        </w:rPr>
        <w:t>Intersex Inquiry</w:t>
      </w:r>
      <w:r w:rsidRPr="00A62281">
        <w:rPr>
          <w:rFonts w:cs="Open Sans"/>
        </w:rPr>
        <w:t>,</w:t>
      </w:r>
      <w:r>
        <w:rPr>
          <w:rFonts w:cs="Open Sans"/>
          <w:i/>
          <w:iCs/>
        </w:rPr>
        <w:t xml:space="preserve"> </w:t>
      </w:r>
      <w:r w:rsidRPr="00E2364A">
        <w:rPr>
          <w:rFonts w:cs="Open Sans"/>
        </w:rPr>
        <w:t>20.</w:t>
      </w:r>
    </w:p>
  </w:endnote>
  <w:endnote w:id="642">
    <w:p w:rsidRPr="00E2364A" w:rsidR="00452E54" w:rsidP="00452E54" w:rsidRDefault="00452E54" w14:paraId="25AF7F08" w14:textId="77777777">
      <w:pPr>
        <w:pStyle w:val="EndnoteText"/>
        <w:rPr>
          <w:rFonts w:cs="Open Sans"/>
          <w:lang w:val="en-US"/>
        </w:rPr>
      </w:pPr>
      <w:r w:rsidRPr="00E2364A">
        <w:rPr>
          <w:rStyle w:val="EndnoteReference"/>
          <w:rFonts w:cs="Open Sans"/>
        </w:rPr>
        <w:endnoteRef/>
      </w:r>
      <w:r w:rsidRPr="00E2364A">
        <w:rPr>
          <w:rFonts w:cs="Open Sans"/>
        </w:rPr>
        <w:t xml:space="preserve"> Submission 56,</w:t>
      </w:r>
      <w:r w:rsidRPr="00015691">
        <w:rPr>
          <w:rFonts w:cs="Open Sans"/>
          <w:i/>
          <w:iCs/>
        </w:rPr>
        <w:t xml:space="preserve"> </w:t>
      </w:r>
      <w:r w:rsidRPr="00A62281">
        <w:rPr>
          <w:rFonts w:cs="Open Sans"/>
          <w:i/>
          <w:iCs/>
        </w:rPr>
        <w:t>Intersex Inquiry</w:t>
      </w:r>
      <w:r w:rsidRPr="00A62281">
        <w:rPr>
          <w:rFonts w:cs="Open Sans"/>
        </w:rPr>
        <w:t>,</w:t>
      </w:r>
      <w:r>
        <w:rPr>
          <w:rFonts w:cs="Open Sans"/>
          <w:i/>
          <w:iCs/>
        </w:rPr>
        <w:t xml:space="preserve"> </w:t>
      </w:r>
      <w:r w:rsidRPr="00E2364A">
        <w:rPr>
          <w:rFonts w:cs="Open Sans"/>
        </w:rPr>
        <w:t xml:space="preserve">8; Submission 41, </w:t>
      </w:r>
      <w:r w:rsidRPr="00A62281">
        <w:rPr>
          <w:rFonts w:cs="Open Sans"/>
          <w:i/>
          <w:iCs/>
        </w:rPr>
        <w:t>Intersex Inquiry</w:t>
      </w:r>
      <w:r w:rsidRPr="00A62281">
        <w:rPr>
          <w:rFonts w:cs="Open Sans"/>
        </w:rPr>
        <w:t>,</w:t>
      </w:r>
      <w:r>
        <w:rPr>
          <w:rFonts w:cs="Open Sans"/>
          <w:i/>
          <w:iCs/>
        </w:rPr>
        <w:t xml:space="preserve"> </w:t>
      </w:r>
      <w:r w:rsidRPr="00E2364A">
        <w:rPr>
          <w:rFonts w:cs="Open Sans"/>
        </w:rPr>
        <w:t>8; Submission 60</w:t>
      </w:r>
      <w:r>
        <w:rPr>
          <w:rFonts w:cs="Open Sans"/>
        </w:rPr>
        <w:t>,</w:t>
      </w:r>
      <w:r w:rsidRPr="00015691">
        <w:rPr>
          <w:rFonts w:cs="Open Sans"/>
          <w:i/>
          <w:iCs/>
        </w:rPr>
        <w:t xml:space="preserve"> </w:t>
      </w:r>
      <w:r w:rsidRPr="00A62281">
        <w:rPr>
          <w:rFonts w:cs="Open Sans"/>
          <w:i/>
          <w:iCs/>
        </w:rPr>
        <w:t>Intersex Inquiry</w:t>
      </w:r>
      <w:r w:rsidRPr="00E2364A">
        <w:rPr>
          <w:rFonts w:cs="Open Sans"/>
        </w:rPr>
        <w:t xml:space="preserve">. </w:t>
      </w:r>
    </w:p>
  </w:endnote>
  <w:endnote w:id="643">
    <w:p w:rsidRPr="00E2364A" w:rsidR="00452E54" w:rsidP="00452E54" w:rsidRDefault="00452E54" w14:paraId="58A925B4" w14:textId="77777777">
      <w:pPr>
        <w:pStyle w:val="EndnoteText"/>
        <w:rPr>
          <w:rFonts w:cs="Open Sans"/>
        </w:rPr>
      </w:pPr>
      <w:r w:rsidRPr="00E2364A">
        <w:rPr>
          <w:rStyle w:val="EndnoteReference"/>
          <w:rFonts w:cs="Open Sans"/>
        </w:rPr>
        <w:endnoteRef/>
      </w:r>
      <w:r w:rsidRPr="00E2364A">
        <w:rPr>
          <w:rFonts w:cs="Open Sans"/>
        </w:rPr>
        <w:t xml:space="preserve"> See Yogyakarta Principles, [32], [37].</w:t>
      </w:r>
    </w:p>
  </w:endnote>
  <w:endnote w:id="644">
    <w:p w:rsidRPr="00E2364A" w:rsidR="00452E54" w:rsidP="00452E54" w:rsidRDefault="00452E54" w14:paraId="6C185563" w14:textId="77777777">
      <w:pPr>
        <w:pStyle w:val="EndnoteText"/>
        <w:rPr>
          <w:rFonts w:cs="Open Sans"/>
        </w:rPr>
      </w:pPr>
      <w:r w:rsidRPr="00E2364A">
        <w:rPr>
          <w:rStyle w:val="EndnoteReference"/>
          <w:rFonts w:cs="Open Sans"/>
        </w:rPr>
        <w:endnoteRef/>
      </w:r>
      <w:r w:rsidRPr="00E2364A">
        <w:rPr>
          <w:rFonts w:cs="Open Sans"/>
        </w:rPr>
        <w:t xml:space="preserve"> Submission 60</w:t>
      </w:r>
      <w:r>
        <w:rPr>
          <w:rFonts w:cs="Open Sans"/>
        </w:rPr>
        <w:t>,</w:t>
      </w:r>
      <w:r w:rsidRPr="00B552EF">
        <w:rPr>
          <w:rFonts w:cs="Open Sans"/>
          <w:i/>
          <w:iCs/>
        </w:rPr>
        <w:t xml:space="preserve"> </w:t>
      </w:r>
      <w:r w:rsidRPr="00A62281">
        <w:rPr>
          <w:rFonts w:cs="Open Sans"/>
          <w:i/>
          <w:iCs/>
        </w:rPr>
        <w:t>Intersex Inquiry</w:t>
      </w:r>
      <w:r w:rsidRPr="00E2364A">
        <w:rPr>
          <w:rFonts w:cs="Open Sans"/>
        </w:rPr>
        <w:t>; Submission 36,</w:t>
      </w:r>
      <w:r w:rsidRPr="00B552EF">
        <w:rPr>
          <w:rFonts w:cs="Open Sans"/>
          <w:i/>
          <w:iCs/>
        </w:rPr>
        <w:t xml:space="preserve"> </w:t>
      </w:r>
      <w:r w:rsidRPr="00A62281">
        <w:rPr>
          <w:rFonts w:cs="Open Sans"/>
          <w:i/>
          <w:iCs/>
        </w:rPr>
        <w:t>Intersex Inquiry</w:t>
      </w:r>
      <w:r w:rsidRPr="00A62281">
        <w:rPr>
          <w:rFonts w:cs="Open Sans"/>
        </w:rPr>
        <w:t>,</w:t>
      </w:r>
      <w:r>
        <w:rPr>
          <w:rFonts w:cs="Open Sans"/>
          <w:i/>
          <w:iCs/>
        </w:rPr>
        <w:t xml:space="preserve"> </w:t>
      </w:r>
      <w:r w:rsidRPr="00E2364A">
        <w:rPr>
          <w:rFonts w:cs="Open Sans"/>
        </w:rPr>
        <w:t xml:space="preserve">19; Submission 35, </w:t>
      </w:r>
      <w:r w:rsidRPr="00A62281">
        <w:rPr>
          <w:rFonts w:cs="Open Sans"/>
          <w:i/>
          <w:iCs/>
        </w:rPr>
        <w:t>Intersex Inquiry</w:t>
      </w:r>
      <w:r w:rsidRPr="00A62281">
        <w:rPr>
          <w:rFonts w:cs="Open Sans"/>
        </w:rPr>
        <w:t>,</w:t>
      </w:r>
      <w:r>
        <w:rPr>
          <w:rFonts w:cs="Open Sans"/>
          <w:i/>
          <w:iCs/>
        </w:rPr>
        <w:t xml:space="preserve"> </w:t>
      </w:r>
      <w:r w:rsidRPr="00E2364A">
        <w:rPr>
          <w:rFonts w:cs="Open Sans"/>
        </w:rPr>
        <w:t xml:space="preserve">3; Submission 56, </w:t>
      </w:r>
      <w:r w:rsidRPr="00A62281">
        <w:rPr>
          <w:rFonts w:cs="Open Sans"/>
          <w:i/>
          <w:iCs/>
        </w:rPr>
        <w:t>Intersex Inquiry</w:t>
      </w:r>
      <w:r w:rsidRPr="00A62281">
        <w:rPr>
          <w:rFonts w:cs="Open Sans"/>
        </w:rPr>
        <w:t>,</w:t>
      </w:r>
      <w:r>
        <w:rPr>
          <w:rFonts w:cs="Open Sans"/>
          <w:i/>
          <w:iCs/>
        </w:rPr>
        <w:t xml:space="preserve"> </w:t>
      </w:r>
      <w:r w:rsidRPr="00E2364A">
        <w:rPr>
          <w:rFonts w:cs="Open Sans"/>
        </w:rPr>
        <w:t>3; Submission 57</w:t>
      </w:r>
      <w:r>
        <w:rPr>
          <w:rFonts w:cs="Open Sans"/>
        </w:rPr>
        <w:t>,</w:t>
      </w:r>
      <w:r w:rsidRPr="00DE4831">
        <w:rPr>
          <w:rFonts w:cs="Open Sans"/>
          <w:i/>
          <w:iCs/>
        </w:rPr>
        <w:t xml:space="preserve"> </w:t>
      </w:r>
      <w:r w:rsidRPr="00A62281">
        <w:rPr>
          <w:rFonts w:cs="Open Sans"/>
          <w:i/>
          <w:iCs/>
        </w:rPr>
        <w:t>Intersex Inquiry</w:t>
      </w:r>
      <w:r w:rsidRPr="00E2364A">
        <w:rPr>
          <w:rFonts w:cs="Open Sans"/>
        </w:rPr>
        <w:t>; Submission 32,</w:t>
      </w:r>
      <w:r w:rsidRPr="00DE4831">
        <w:rPr>
          <w:rFonts w:cs="Open Sans"/>
          <w:i/>
          <w:iCs/>
        </w:rPr>
        <w:t xml:space="preserve"> </w:t>
      </w:r>
      <w:r w:rsidRPr="00A62281">
        <w:rPr>
          <w:rFonts w:cs="Open Sans"/>
          <w:i/>
          <w:iCs/>
        </w:rPr>
        <w:t>Intersex Inquiry</w:t>
      </w:r>
      <w:r w:rsidRPr="00A62281">
        <w:rPr>
          <w:rFonts w:cs="Open Sans"/>
        </w:rPr>
        <w:t>,</w:t>
      </w:r>
      <w:r>
        <w:rPr>
          <w:rFonts w:cs="Open Sans"/>
          <w:i/>
          <w:iCs/>
        </w:rPr>
        <w:t xml:space="preserve"> </w:t>
      </w:r>
      <w:r w:rsidRPr="00E2364A">
        <w:rPr>
          <w:rFonts w:cs="Open Sans"/>
        </w:rPr>
        <w:t xml:space="preserve">8; Submission 61, </w:t>
      </w:r>
      <w:r w:rsidRPr="00A62281">
        <w:rPr>
          <w:rFonts w:cs="Open Sans"/>
          <w:i/>
          <w:iCs/>
        </w:rPr>
        <w:t>Intersex Inquiry</w:t>
      </w:r>
      <w:r w:rsidRPr="00A62281">
        <w:rPr>
          <w:rFonts w:cs="Open Sans"/>
        </w:rPr>
        <w:t>,</w:t>
      </w:r>
      <w:r>
        <w:rPr>
          <w:rFonts w:cs="Open Sans"/>
          <w:i/>
          <w:iCs/>
        </w:rPr>
        <w:t xml:space="preserve"> </w:t>
      </w:r>
      <w:r w:rsidRPr="00E2364A">
        <w:rPr>
          <w:rFonts w:cs="Open Sans"/>
        </w:rPr>
        <w:t>6.</w:t>
      </w:r>
    </w:p>
  </w:endnote>
  <w:endnote w:id="645">
    <w:p w:rsidRPr="00E2364A" w:rsidR="00452E54" w:rsidP="00452E54" w:rsidRDefault="00452E54" w14:paraId="7C909F7D" w14:textId="77777777">
      <w:pPr>
        <w:pStyle w:val="EndnoteText"/>
        <w:rPr>
          <w:rFonts w:cs="Open Sans"/>
        </w:rPr>
      </w:pPr>
      <w:r w:rsidRPr="00E2364A">
        <w:rPr>
          <w:rStyle w:val="EndnoteReference"/>
          <w:rFonts w:cs="Open Sans"/>
        </w:rPr>
        <w:endnoteRef/>
      </w:r>
      <w:r w:rsidRPr="00E2364A">
        <w:rPr>
          <w:rFonts w:cs="Open Sans"/>
        </w:rPr>
        <w:t xml:space="preserve"> Submission 52,</w:t>
      </w:r>
      <w:r w:rsidRPr="00DE4831">
        <w:rPr>
          <w:rFonts w:cs="Open Sans"/>
          <w:i/>
          <w:iCs/>
        </w:rPr>
        <w:t xml:space="preserve"> </w:t>
      </w:r>
      <w:r w:rsidRPr="00A62281">
        <w:rPr>
          <w:rFonts w:cs="Open Sans"/>
          <w:i/>
          <w:iCs/>
        </w:rPr>
        <w:t>Intersex Inquiry</w:t>
      </w:r>
      <w:r w:rsidRPr="00A62281">
        <w:rPr>
          <w:rFonts w:cs="Open Sans"/>
        </w:rPr>
        <w:t>,</w:t>
      </w:r>
      <w:r>
        <w:rPr>
          <w:rFonts w:cs="Open Sans"/>
          <w:i/>
          <w:iCs/>
        </w:rPr>
        <w:t xml:space="preserve"> </w:t>
      </w:r>
      <w:r w:rsidRPr="00E2364A">
        <w:rPr>
          <w:rFonts w:cs="Open Sans"/>
        </w:rPr>
        <w:t xml:space="preserve">6. </w:t>
      </w:r>
    </w:p>
  </w:endnote>
  <w:endnote w:id="646">
    <w:p w:rsidRPr="00E2364A" w:rsidR="00452E54" w:rsidP="00452E54" w:rsidRDefault="00452E54" w14:paraId="5343673C" w14:textId="77777777">
      <w:pPr>
        <w:pStyle w:val="EndnoteText"/>
        <w:rPr>
          <w:rFonts w:cs="Open Sans"/>
        </w:rPr>
      </w:pPr>
      <w:r w:rsidRPr="00E2364A">
        <w:rPr>
          <w:rStyle w:val="EndnoteReference"/>
          <w:rFonts w:cs="Open Sans"/>
        </w:rPr>
        <w:endnoteRef/>
      </w:r>
      <w:r w:rsidRPr="00E2364A">
        <w:rPr>
          <w:rFonts w:cs="Open Sans"/>
        </w:rPr>
        <w:t xml:space="preserve"> Submission 32,</w:t>
      </w:r>
      <w:r w:rsidRPr="00DE4831">
        <w:rPr>
          <w:rFonts w:cs="Open Sans"/>
          <w:i/>
          <w:iCs/>
        </w:rPr>
        <w:t xml:space="preserve"> </w:t>
      </w:r>
      <w:r w:rsidRPr="00A62281">
        <w:rPr>
          <w:rFonts w:cs="Open Sans"/>
          <w:i/>
          <w:iCs/>
        </w:rPr>
        <w:t>Intersex Inquiry</w:t>
      </w:r>
      <w:r w:rsidRPr="00A62281">
        <w:rPr>
          <w:rFonts w:cs="Open Sans"/>
        </w:rPr>
        <w:t>,</w:t>
      </w:r>
      <w:r>
        <w:rPr>
          <w:rFonts w:cs="Open Sans"/>
          <w:i/>
          <w:iCs/>
        </w:rPr>
        <w:t xml:space="preserve"> </w:t>
      </w:r>
      <w:r w:rsidRPr="00E2364A">
        <w:rPr>
          <w:rFonts w:cs="Open Sans"/>
        </w:rPr>
        <w:t xml:space="preserve">6, 8. </w:t>
      </w:r>
    </w:p>
  </w:endnote>
  <w:endnote w:id="647">
    <w:p w:rsidRPr="00E2364A" w:rsidR="00452E54" w:rsidP="00452E54" w:rsidRDefault="00452E54" w14:paraId="5BDC4721" w14:textId="77777777">
      <w:pPr>
        <w:pStyle w:val="EndnoteText"/>
        <w:rPr>
          <w:rFonts w:cs="Open Sans"/>
          <w:lang w:val="en-US"/>
        </w:rPr>
      </w:pPr>
      <w:r w:rsidRPr="00E2364A">
        <w:rPr>
          <w:rStyle w:val="EndnoteReference"/>
          <w:rFonts w:cs="Open Sans"/>
        </w:rPr>
        <w:endnoteRef/>
      </w:r>
      <w:r w:rsidRPr="00E2364A">
        <w:rPr>
          <w:rFonts w:cs="Open Sans"/>
        </w:rPr>
        <w:t xml:space="preserve"> </w:t>
      </w:r>
      <w:r w:rsidRPr="00E2364A">
        <w:rPr>
          <w:rFonts w:cs="Open Sans"/>
          <w:lang w:val="en-US"/>
        </w:rPr>
        <w:t xml:space="preserve">Submission 36, </w:t>
      </w:r>
      <w:r w:rsidRPr="00A62281">
        <w:rPr>
          <w:rFonts w:cs="Open Sans"/>
          <w:i/>
          <w:iCs/>
        </w:rPr>
        <w:t>Intersex Inquiry</w:t>
      </w:r>
      <w:r w:rsidRPr="00A62281">
        <w:rPr>
          <w:rFonts w:cs="Open Sans"/>
        </w:rPr>
        <w:t>,</w:t>
      </w:r>
      <w:r>
        <w:rPr>
          <w:rFonts w:cs="Open Sans"/>
          <w:i/>
          <w:iCs/>
        </w:rPr>
        <w:t xml:space="preserve"> </w:t>
      </w:r>
      <w:r w:rsidRPr="00E2364A">
        <w:rPr>
          <w:rFonts w:cs="Open Sans"/>
          <w:lang w:val="en-US"/>
        </w:rPr>
        <w:t xml:space="preserve">3. </w:t>
      </w:r>
    </w:p>
  </w:endnote>
  <w:endnote w:id="648">
    <w:p w:rsidRPr="00E2364A" w:rsidR="00452E54" w:rsidP="00452E54" w:rsidRDefault="00452E54" w14:paraId="2CA1B121" w14:textId="77777777">
      <w:pPr>
        <w:pStyle w:val="EndnoteText"/>
        <w:rPr>
          <w:rFonts w:cs="Open Sans"/>
          <w:lang w:val="en-US"/>
        </w:rPr>
      </w:pPr>
      <w:r w:rsidRPr="00E2364A">
        <w:rPr>
          <w:rStyle w:val="EndnoteReference"/>
          <w:rFonts w:cs="Open Sans"/>
        </w:rPr>
        <w:endnoteRef/>
      </w:r>
      <w:r w:rsidRPr="00E2364A">
        <w:rPr>
          <w:rFonts w:cs="Open Sans"/>
        </w:rPr>
        <w:t xml:space="preserve"> Principle 7 of the Darlington Statement.</w:t>
      </w:r>
    </w:p>
  </w:endnote>
  <w:endnote w:id="649">
    <w:p w:rsidRPr="00E2364A" w:rsidR="00452E54" w:rsidP="00452E54" w:rsidRDefault="00452E54" w14:paraId="5215074B" w14:textId="77777777">
      <w:pPr>
        <w:pStyle w:val="EndnoteText"/>
        <w:rPr>
          <w:rFonts w:cs="Open Sans"/>
        </w:rPr>
      </w:pPr>
      <w:r w:rsidRPr="00E2364A">
        <w:rPr>
          <w:rStyle w:val="EndnoteReference"/>
          <w:rFonts w:cs="Open Sans"/>
        </w:rPr>
        <w:endnoteRef/>
      </w:r>
      <w:r w:rsidRPr="00E2364A">
        <w:rPr>
          <w:rFonts w:cs="Open Sans"/>
        </w:rPr>
        <w:t xml:space="preserve"> Submission 32, </w:t>
      </w:r>
      <w:r w:rsidRPr="00A62281">
        <w:rPr>
          <w:rFonts w:cs="Open Sans"/>
          <w:i/>
          <w:iCs/>
        </w:rPr>
        <w:t>Intersex Inquiry</w:t>
      </w:r>
      <w:r w:rsidRPr="00A62281">
        <w:rPr>
          <w:rFonts w:cs="Open Sans"/>
        </w:rPr>
        <w:t>,</w:t>
      </w:r>
      <w:r>
        <w:rPr>
          <w:rFonts w:cs="Open Sans"/>
          <w:i/>
          <w:iCs/>
        </w:rPr>
        <w:t xml:space="preserve"> </w:t>
      </w:r>
      <w:r w:rsidRPr="00E2364A">
        <w:rPr>
          <w:rFonts w:cs="Open Sans"/>
        </w:rPr>
        <w:t xml:space="preserve">8. </w:t>
      </w:r>
    </w:p>
  </w:endnote>
  <w:endnote w:id="650">
    <w:p w:rsidRPr="00E2364A" w:rsidR="00452E54" w:rsidP="00452E54" w:rsidRDefault="00452E54" w14:paraId="0BC5ACF4" w14:textId="77777777">
      <w:pPr>
        <w:pStyle w:val="EndnoteText"/>
        <w:rPr>
          <w:rFonts w:cs="Open Sans"/>
        </w:rPr>
      </w:pPr>
      <w:r w:rsidRPr="00E2364A">
        <w:rPr>
          <w:rStyle w:val="EndnoteReference"/>
          <w:rFonts w:cs="Open Sans"/>
        </w:rPr>
        <w:endnoteRef/>
      </w:r>
      <w:r w:rsidRPr="00E2364A">
        <w:rPr>
          <w:rFonts w:cs="Open Sans"/>
        </w:rPr>
        <w:t xml:space="preserve"> Submission 70, </w:t>
      </w:r>
      <w:r w:rsidRPr="00A62281">
        <w:rPr>
          <w:rFonts w:cs="Open Sans"/>
          <w:i/>
          <w:iCs/>
        </w:rPr>
        <w:t>Intersex Inquiry</w:t>
      </w:r>
      <w:r w:rsidRPr="00A62281">
        <w:rPr>
          <w:rFonts w:cs="Open Sans"/>
        </w:rPr>
        <w:t>,</w:t>
      </w:r>
      <w:r>
        <w:rPr>
          <w:rFonts w:cs="Open Sans"/>
          <w:i/>
          <w:iCs/>
        </w:rPr>
        <w:t xml:space="preserve"> </w:t>
      </w:r>
      <w:r w:rsidRPr="00E2364A">
        <w:rPr>
          <w:rFonts w:cs="Open Sans"/>
        </w:rPr>
        <w:t>2; Submission 60</w:t>
      </w:r>
      <w:r>
        <w:rPr>
          <w:rFonts w:cs="Open Sans"/>
        </w:rPr>
        <w:t>,</w:t>
      </w:r>
      <w:r w:rsidRPr="00DE4831">
        <w:rPr>
          <w:rFonts w:cs="Open Sans"/>
          <w:i/>
          <w:iCs/>
        </w:rPr>
        <w:t xml:space="preserve"> </w:t>
      </w:r>
      <w:r w:rsidRPr="00A62281">
        <w:rPr>
          <w:rFonts w:cs="Open Sans"/>
          <w:i/>
          <w:iCs/>
        </w:rPr>
        <w:t>Intersex Inquiry</w:t>
      </w:r>
      <w:r w:rsidRPr="00E2364A">
        <w:rPr>
          <w:rFonts w:cs="Open Sans"/>
        </w:rPr>
        <w:t xml:space="preserve">; Submission 56, </w:t>
      </w:r>
      <w:r w:rsidRPr="00A62281">
        <w:rPr>
          <w:rFonts w:cs="Open Sans"/>
          <w:i/>
          <w:iCs/>
        </w:rPr>
        <w:t>Intersex Inquiry</w:t>
      </w:r>
      <w:r w:rsidRPr="00A62281">
        <w:rPr>
          <w:rFonts w:cs="Open Sans"/>
        </w:rPr>
        <w:t>,</w:t>
      </w:r>
      <w:r>
        <w:rPr>
          <w:rFonts w:cs="Open Sans"/>
          <w:i/>
          <w:iCs/>
        </w:rPr>
        <w:t xml:space="preserve"> </w:t>
      </w:r>
      <w:r w:rsidRPr="00E2364A">
        <w:rPr>
          <w:rFonts w:cs="Open Sans"/>
        </w:rPr>
        <w:t xml:space="preserve">6; Submission 59, </w:t>
      </w:r>
      <w:r w:rsidRPr="00A62281">
        <w:rPr>
          <w:rFonts w:cs="Open Sans"/>
          <w:i/>
          <w:iCs/>
        </w:rPr>
        <w:t>Intersex Inquiry</w:t>
      </w:r>
      <w:r w:rsidRPr="00A62281">
        <w:rPr>
          <w:rFonts w:cs="Open Sans"/>
        </w:rPr>
        <w:t>,</w:t>
      </w:r>
      <w:r>
        <w:rPr>
          <w:rFonts w:cs="Open Sans"/>
          <w:i/>
          <w:iCs/>
        </w:rPr>
        <w:t xml:space="preserve"> </w:t>
      </w:r>
      <w:r w:rsidRPr="00E2364A">
        <w:rPr>
          <w:rFonts w:cs="Open Sans"/>
        </w:rPr>
        <w:t>3; Submission 32,</w:t>
      </w:r>
      <w:r w:rsidRPr="00DE4831">
        <w:rPr>
          <w:rFonts w:cs="Open Sans"/>
          <w:i/>
          <w:iCs/>
        </w:rPr>
        <w:t xml:space="preserve"> </w:t>
      </w:r>
      <w:r w:rsidRPr="00A62281">
        <w:rPr>
          <w:rFonts w:cs="Open Sans"/>
          <w:i/>
          <w:iCs/>
        </w:rPr>
        <w:t>Intersex Inquiry</w:t>
      </w:r>
      <w:r w:rsidRPr="00A62281">
        <w:rPr>
          <w:rFonts w:cs="Open Sans"/>
        </w:rPr>
        <w:t>,</w:t>
      </w:r>
      <w:r>
        <w:rPr>
          <w:rFonts w:cs="Open Sans"/>
          <w:i/>
          <w:iCs/>
        </w:rPr>
        <w:t xml:space="preserve"> </w:t>
      </w:r>
      <w:r w:rsidRPr="00E2364A">
        <w:rPr>
          <w:rFonts w:cs="Open Sans"/>
        </w:rPr>
        <w:t>8; Submission 36</w:t>
      </w:r>
      <w:r>
        <w:rPr>
          <w:rFonts w:cs="Open Sans"/>
        </w:rPr>
        <w:t>,</w:t>
      </w:r>
      <w:r w:rsidRPr="00DE4831">
        <w:rPr>
          <w:rFonts w:cs="Open Sans"/>
          <w:i/>
          <w:iCs/>
        </w:rPr>
        <w:t xml:space="preserve"> </w:t>
      </w:r>
      <w:r w:rsidRPr="00A62281">
        <w:rPr>
          <w:rFonts w:cs="Open Sans"/>
          <w:i/>
          <w:iCs/>
        </w:rPr>
        <w:t>Intersex Inquiry</w:t>
      </w:r>
      <w:r w:rsidRPr="00E2364A">
        <w:rPr>
          <w:rFonts w:cs="Open Sans"/>
        </w:rPr>
        <w:t>; Submission 52,</w:t>
      </w:r>
      <w:r w:rsidRPr="00DE4831">
        <w:rPr>
          <w:rFonts w:cs="Open Sans"/>
          <w:i/>
          <w:iCs/>
        </w:rPr>
        <w:t xml:space="preserve"> </w:t>
      </w:r>
      <w:r w:rsidRPr="00A62281">
        <w:rPr>
          <w:rFonts w:cs="Open Sans"/>
          <w:i/>
          <w:iCs/>
        </w:rPr>
        <w:t>Intersex Inquiry</w:t>
      </w:r>
      <w:r w:rsidRPr="00A62281">
        <w:rPr>
          <w:rFonts w:cs="Open Sans"/>
        </w:rPr>
        <w:t>,</w:t>
      </w:r>
      <w:r>
        <w:rPr>
          <w:rFonts w:cs="Open Sans"/>
          <w:i/>
          <w:iCs/>
        </w:rPr>
        <w:t xml:space="preserve"> </w:t>
      </w:r>
      <w:r w:rsidRPr="00E2364A">
        <w:rPr>
          <w:rFonts w:cs="Open Sans"/>
        </w:rPr>
        <w:t xml:space="preserve">6, 8, citing Garland and Travis, 2018; Submission 61, </w:t>
      </w:r>
      <w:r w:rsidRPr="00A62281">
        <w:rPr>
          <w:rFonts w:cs="Open Sans"/>
          <w:i/>
          <w:iCs/>
        </w:rPr>
        <w:t>Intersex Inquiry</w:t>
      </w:r>
      <w:r w:rsidRPr="00A62281">
        <w:rPr>
          <w:rFonts w:cs="Open Sans"/>
        </w:rPr>
        <w:t>,</w:t>
      </w:r>
      <w:r>
        <w:rPr>
          <w:rFonts w:cs="Open Sans"/>
          <w:i/>
          <w:iCs/>
        </w:rPr>
        <w:t xml:space="preserve"> </w:t>
      </w:r>
      <w:r w:rsidRPr="00E2364A">
        <w:rPr>
          <w:rFonts w:cs="Open Sans"/>
        </w:rPr>
        <w:t xml:space="preserve">6, citing the Darlington Statement, Principle 7, and Y+10 (specifically Principle 32(d); Submission 54, </w:t>
      </w:r>
      <w:r w:rsidRPr="00A62281">
        <w:rPr>
          <w:rFonts w:cs="Open Sans"/>
          <w:i/>
          <w:iCs/>
        </w:rPr>
        <w:t>Intersex Inquiry</w:t>
      </w:r>
      <w:r w:rsidRPr="00A62281">
        <w:rPr>
          <w:rFonts w:cs="Open Sans"/>
        </w:rPr>
        <w:t>,</w:t>
      </w:r>
      <w:r>
        <w:rPr>
          <w:rFonts w:cs="Open Sans"/>
          <w:i/>
          <w:iCs/>
        </w:rPr>
        <w:t xml:space="preserve"> </w:t>
      </w:r>
      <w:r w:rsidRPr="00E2364A">
        <w:rPr>
          <w:rFonts w:cs="Open Sans"/>
        </w:rPr>
        <w:t>1;</w:t>
      </w:r>
      <w:r w:rsidRPr="00E2364A">
        <w:rPr>
          <w:rFonts w:cs="Open Sans"/>
          <w:bCs/>
        </w:rPr>
        <w:t xml:space="preserve"> </w:t>
      </w:r>
      <w:r w:rsidRPr="00E2364A">
        <w:rPr>
          <w:rFonts w:cs="Open Sans"/>
        </w:rPr>
        <w:t xml:space="preserve">Submission 32, </w:t>
      </w:r>
      <w:r w:rsidRPr="00A62281">
        <w:rPr>
          <w:rFonts w:cs="Open Sans"/>
          <w:i/>
          <w:iCs/>
        </w:rPr>
        <w:t>Intersex Inquiry</w:t>
      </w:r>
      <w:r w:rsidRPr="00A62281">
        <w:rPr>
          <w:rFonts w:cs="Open Sans"/>
        </w:rPr>
        <w:t>,</w:t>
      </w:r>
      <w:r>
        <w:rPr>
          <w:rFonts w:cs="Open Sans"/>
          <w:i/>
          <w:iCs/>
        </w:rPr>
        <w:t xml:space="preserve"> </w:t>
      </w:r>
      <w:r w:rsidRPr="00E2364A">
        <w:rPr>
          <w:rFonts w:cs="Open Sans"/>
        </w:rPr>
        <w:t xml:space="preserve">6. </w:t>
      </w:r>
    </w:p>
  </w:endnote>
  <w:endnote w:id="651">
    <w:p w:rsidRPr="00E2364A" w:rsidR="00452E54" w:rsidP="00452E54" w:rsidRDefault="00452E54" w14:paraId="3988C4EA" w14:textId="77777777">
      <w:pPr>
        <w:pStyle w:val="EndnoteText"/>
        <w:rPr>
          <w:rFonts w:cs="Open Sans"/>
        </w:rPr>
      </w:pPr>
      <w:r w:rsidRPr="00E2364A">
        <w:rPr>
          <w:rStyle w:val="EndnoteReference"/>
          <w:rFonts w:cs="Open Sans"/>
        </w:rPr>
        <w:endnoteRef/>
      </w:r>
      <w:r w:rsidRPr="00E2364A">
        <w:rPr>
          <w:rFonts w:cs="Open Sans"/>
        </w:rPr>
        <w:t xml:space="preserve"> Submission 54,</w:t>
      </w:r>
      <w:r w:rsidRPr="006514BB">
        <w:rPr>
          <w:rFonts w:cs="Open Sans"/>
          <w:i/>
          <w:iCs/>
        </w:rPr>
        <w:t xml:space="preserve"> </w:t>
      </w:r>
      <w:r w:rsidRPr="00A62281">
        <w:rPr>
          <w:rFonts w:cs="Open Sans"/>
          <w:i/>
          <w:iCs/>
        </w:rPr>
        <w:t>Intersex Inquiry</w:t>
      </w:r>
      <w:r w:rsidRPr="00A62281">
        <w:rPr>
          <w:rFonts w:cs="Open Sans"/>
        </w:rPr>
        <w:t>,</w:t>
      </w:r>
      <w:r>
        <w:rPr>
          <w:rFonts w:cs="Open Sans"/>
          <w:i/>
          <w:iCs/>
        </w:rPr>
        <w:t xml:space="preserve"> </w:t>
      </w:r>
      <w:r w:rsidRPr="00E2364A">
        <w:rPr>
          <w:rFonts w:cs="Open Sans"/>
        </w:rPr>
        <w:t>1, 6, 10.</w:t>
      </w:r>
    </w:p>
  </w:endnote>
  <w:endnote w:id="652">
    <w:p w:rsidRPr="00E2364A" w:rsidR="00452E54" w:rsidP="00452E54" w:rsidRDefault="00452E54" w14:paraId="4EF7084B" w14:textId="77777777">
      <w:pPr>
        <w:pStyle w:val="EndnoteText"/>
        <w:rPr>
          <w:rFonts w:cs="Open Sans"/>
        </w:rPr>
      </w:pPr>
      <w:r w:rsidRPr="00E2364A">
        <w:rPr>
          <w:rStyle w:val="EndnoteReference"/>
          <w:rFonts w:cs="Open Sans"/>
        </w:rPr>
        <w:endnoteRef/>
      </w:r>
      <w:r w:rsidRPr="00E2364A">
        <w:rPr>
          <w:rFonts w:cs="Open Sans"/>
        </w:rPr>
        <w:t xml:space="preserve"> Submission 54,</w:t>
      </w:r>
      <w:r w:rsidRPr="006514BB">
        <w:rPr>
          <w:rFonts w:cs="Open Sans"/>
          <w:i/>
          <w:iCs/>
        </w:rPr>
        <w:t xml:space="preserve"> </w:t>
      </w:r>
      <w:r w:rsidRPr="00A62281">
        <w:rPr>
          <w:rFonts w:cs="Open Sans"/>
          <w:i/>
          <w:iCs/>
        </w:rPr>
        <w:t>Intersex Inquiry</w:t>
      </w:r>
      <w:r w:rsidRPr="00A62281">
        <w:rPr>
          <w:rFonts w:cs="Open Sans"/>
        </w:rPr>
        <w:t>,</w:t>
      </w:r>
      <w:r>
        <w:rPr>
          <w:rFonts w:cs="Open Sans"/>
          <w:i/>
          <w:iCs/>
        </w:rPr>
        <w:t xml:space="preserve"> </w:t>
      </w:r>
      <w:r w:rsidRPr="00E2364A">
        <w:rPr>
          <w:rFonts w:cs="Open Sans"/>
        </w:rPr>
        <w:t xml:space="preserve">1. </w:t>
      </w:r>
    </w:p>
  </w:endnote>
  <w:endnote w:id="653">
    <w:p w:rsidRPr="00E2364A" w:rsidR="00452E54" w:rsidP="00452E54" w:rsidRDefault="00452E54" w14:paraId="7606036E" w14:textId="77777777">
      <w:pPr>
        <w:pStyle w:val="EndnoteText"/>
        <w:rPr>
          <w:rFonts w:cs="Open Sans"/>
        </w:rPr>
      </w:pPr>
      <w:r w:rsidRPr="00E2364A">
        <w:rPr>
          <w:rStyle w:val="EndnoteReference"/>
          <w:rFonts w:cs="Open Sans"/>
        </w:rPr>
        <w:endnoteRef/>
      </w:r>
      <w:r w:rsidRPr="00E2364A">
        <w:rPr>
          <w:rFonts w:cs="Open Sans"/>
        </w:rPr>
        <w:t xml:space="preserve"> Submission 54,</w:t>
      </w:r>
      <w:r w:rsidRPr="006514BB">
        <w:rPr>
          <w:rFonts w:cs="Open Sans"/>
          <w:i/>
          <w:iCs/>
        </w:rPr>
        <w:t xml:space="preserve"> </w:t>
      </w:r>
      <w:r w:rsidRPr="00A62281">
        <w:rPr>
          <w:rFonts w:cs="Open Sans"/>
          <w:i/>
          <w:iCs/>
        </w:rPr>
        <w:t>Intersex Inquiry</w:t>
      </w:r>
      <w:r w:rsidRPr="00A62281">
        <w:rPr>
          <w:rFonts w:cs="Open Sans"/>
        </w:rPr>
        <w:t>,</w:t>
      </w:r>
      <w:r>
        <w:rPr>
          <w:rFonts w:cs="Open Sans"/>
          <w:i/>
          <w:iCs/>
        </w:rPr>
        <w:t xml:space="preserve"> </w:t>
      </w:r>
      <w:r w:rsidRPr="00E2364A">
        <w:rPr>
          <w:rFonts w:cs="Open Sans"/>
        </w:rPr>
        <w:t>4; Submission 25,</w:t>
      </w:r>
      <w:r w:rsidRPr="006514BB">
        <w:rPr>
          <w:rFonts w:cs="Open Sans"/>
          <w:i/>
          <w:iCs/>
        </w:rPr>
        <w:t xml:space="preserve"> </w:t>
      </w:r>
      <w:r w:rsidRPr="00A62281">
        <w:rPr>
          <w:rFonts w:cs="Open Sans"/>
          <w:i/>
          <w:iCs/>
        </w:rPr>
        <w:t>Intersex Inquiry</w:t>
      </w:r>
      <w:r w:rsidRPr="00A62281">
        <w:rPr>
          <w:rFonts w:cs="Open Sans"/>
        </w:rPr>
        <w:t>,</w:t>
      </w:r>
      <w:r>
        <w:rPr>
          <w:rFonts w:cs="Open Sans"/>
          <w:i/>
          <w:iCs/>
        </w:rPr>
        <w:t xml:space="preserve"> </w:t>
      </w:r>
      <w:r w:rsidRPr="00E2364A">
        <w:rPr>
          <w:rFonts w:cs="Open Sans"/>
        </w:rPr>
        <w:t>4.</w:t>
      </w:r>
    </w:p>
  </w:endnote>
  <w:endnote w:id="654">
    <w:p w:rsidRPr="00E2364A" w:rsidR="00452E54" w:rsidP="00452E54" w:rsidRDefault="00452E54" w14:paraId="5FBE7929" w14:textId="77777777">
      <w:pPr>
        <w:pStyle w:val="EndnoteText"/>
        <w:rPr>
          <w:rFonts w:cs="Open Sans"/>
        </w:rPr>
      </w:pPr>
      <w:r w:rsidRPr="00E2364A">
        <w:rPr>
          <w:rStyle w:val="EndnoteReference"/>
          <w:rFonts w:cs="Open Sans"/>
        </w:rPr>
        <w:endnoteRef/>
      </w:r>
      <w:r w:rsidRPr="00E2364A">
        <w:rPr>
          <w:rFonts w:cs="Open Sans"/>
        </w:rPr>
        <w:t xml:space="preserve"> Submission 25,</w:t>
      </w:r>
      <w:r w:rsidRPr="006514BB">
        <w:rPr>
          <w:rFonts w:cs="Open Sans"/>
          <w:i/>
          <w:iCs/>
        </w:rPr>
        <w:t xml:space="preserve"> </w:t>
      </w:r>
      <w:r w:rsidRPr="00A62281">
        <w:rPr>
          <w:rFonts w:cs="Open Sans"/>
          <w:i/>
          <w:iCs/>
        </w:rPr>
        <w:t>Intersex Inquiry</w:t>
      </w:r>
      <w:r w:rsidRPr="00A62281">
        <w:rPr>
          <w:rFonts w:cs="Open Sans"/>
        </w:rPr>
        <w:t>,</w:t>
      </w:r>
      <w:r>
        <w:rPr>
          <w:rFonts w:cs="Open Sans"/>
          <w:i/>
          <w:iCs/>
        </w:rPr>
        <w:t xml:space="preserve"> </w:t>
      </w:r>
      <w:r w:rsidRPr="00E2364A">
        <w:rPr>
          <w:rFonts w:cs="Open Sans"/>
        </w:rPr>
        <w:t>4-5.</w:t>
      </w:r>
    </w:p>
  </w:endnote>
  <w:endnote w:id="655">
    <w:p w:rsidRPr="00E2364A" w:rsidR="00452E54" w:rsidP="00452E54" w:rsidRDefault="00452E54" w14:paraId="293B10CF" w14:textId="77777777">
      <w:pPr>
        <w:pStyle w:val="EndnoteText"/>
        <w:rPr>
          <w:rFonts w:cs="Open Sans"/>
        </w:rPr>
      </w:pPr>
      <w:r w:rsidRPr="00E2364A">
        <w:rPr>
          <w:rStyle w:val="EndnoteReference"/>
          <w:rFonts w:cs="Open Sans"/>
        </w:rPr>
        <w:endnoteRef/>
      </w:r>
      <w:r w:rsidRPr="00E2364A">
        <w:rPr>
          <w:rFonts w:cs="Open Sans"/>
        </w:rPr>
        <w:t xml:space="preserve"> Submission 32,</w:t>
      </w:r>
      <w:r w:rsidRPr="006514BB">
        <w:rPr>
          <w:rFonts w:cs="Open Sans"/>
          <w:i/>
          <w:iCs/>
        </w:rPr>
        <w:t xml:space="preserve"> </w:t>
      </w:r>
      <w:r w:rsidRPr="00A62281">
        <w:rPr>
          <w:rFonts w:cs="Open Sans"/>
          <w:i/>
          <w:iCs/>
        </w:rPr>
        <w:t>Intersex Inquiry</w:t>
      </w:r>
      <w:r w:rsidRPr="00A62281">
        <w:rPr>
          <w:rFonts w:cs="Open Sans"/>
        </w:rPr>
        <w:t>,</w:t>
      </w:r>
      <w:r>
        <w:rPr>
          <w:rFonts w:cs="Open Sans"/>
          <w:i/>
          <w:iCs/>
        </w:rPr>
        <w:t xml:space="preserve"> </w:t>
      </w:r>
      <w:r w:rsidRPr="00E2364A">
        <w:rPr>
          <w:rFonts w:cs="Open Sans"/>
        </w:rPr>
        <w:t>8.</w:t>
      </w:r>
    </w:p>
  </w:endnote>
  <w:endnote w:id="656">
    <w:p w:rsidRPr="00E2364A" w:rsidR="00452E54" w:rsidP="00452E54" w:rsidRDefault="00452E54" w14:paraId="5A0092CA" w14:textId="77777777">
      <w:pPr>
        <w:pStyle w:val="EndnoteText"/>
        <w:rPr>
          <w:rFonts w:cs="Open Sans"/>
        </w:rPr>
      </w:pPr>
      <w:r w:rsidRPr="00E2364A">
        <w:rPr>
          <w:rStyle w:val="EndnoteReference"/>
          <w:rFonts w:cs="Open Sans"/>
        </w:rPr>
        <w:endnoteRef/>
      </w:r>
      <w:r w:rsidRPr="00E2364A">
        <w:rPr>
          <w:rFonts w:cs="Open Sans"/>
        </w:rPr>
        <w:t xml:space="preserve"> Submission 60,</w:t>
      </w:r>
      <w:r w:rsidRPr="00B55FC6">
        <w:rPr>
          <w:rFonts w:cs="Open Sans"/>
          <w:i/>
          <w:iCs/>
        </w:rPr>
        <w:t xml:space="preserve"> </w:t>
      </w:r>
      <w:r w:rsidRPr="00A62281">
        <w:rPr>
          <w:rFonts w:cs="Open Sans"/>
          <w:i/>
          <w:iCs/>
        </w:rPr>
        <w:t>Intersex Inquiry</w:t>
      </w:r>
      <w:r>
        <w:rPr>
          <w:rFonts w:cs="Open Sans"/>
        </w:rPr>
        <w:t xml:space="preserve">; </w:t>
      </w:r>
      <w:r w:rsidRPr="00E2364A">
        <w:rPr>
          <w:rFonts w:cs="Open Sans"/>
        </w:rPr>
        <w:t xml:space="preserve">The Human Rights Law Centre; Submission 71, </w:t>
      </w:r>
      <w:r w:rsidRPr="00A62281">
        <w:rPr>
          <w:rFonts w:cs="Open Sans"/>
          <w:i/>
          <w:iCs/>
        </w:rPr>
        <w:t>Intersex Inquiry</w:t>
      </w:r>
      <w:r w:rsidRPr="00A62281">
        <w:rPr>
          <w:rFonts w:cs="Open Sans"/>
        </w:rPr>
        <w:t>,</w:t>
      </w:r>
      <w:r>
        <w:rPr>
          <w:rFonts w:cs="Open Sans"/>
          <w:i/>
          <w:iCs/>
        </w:rPr>
        <w:t xml:space="preserve"> </w:t>
      </w:r>
      <w:r w:rsidRPr="00E2364A">
        <w:rPr>
          <w:rFonts w:cs="Open Sans"/>
        </w:rPr>
        <w:t xml:space="preserve">23, which noted also that a prohibition would be consistent with CEDAW. </w:t>
      </w:r>
    </w:p>
  </w:endnote>
  <w:endnote w:id="657">
    <w:p w:rsidRPr="00E2364A" w:rsidR="00452E54" w:rsidP="00452E54" w:rsidRDefault="00452E54" w14:paraId="630C350F" w14:textId="77777777">
      <w:pPr>
        <w:pStyle w:val="EndnoteText"/>
        <w:rPr>
          <w:rFonts w:cs="Open Sans"/>
        </w:rPr>
      </w:pPr>
      <w:r w:rsidRPr="00E2364A">
        <w:rPr>
          <w:rStyle w:val="EndnoteReference"/>
          <w:rFonts w:cs="Open Sans"/>
        </w:rPr>
        <w:endnoteRef/>
      </w:r>
      <w:r w:rsidRPr="00E2364A">
        <w:rPr>
          <w:rFonts w:cs="Open Sans"/>
        </w:rPr>
        <w:t xml:space="preserve"> Submission 36, </w:t>
      </w:r>
      <w:r w:rsidRPr="00A62281">
        <w:rPr>
          <w:rFonts w:cs="Open Sans"/>
          <w:i/>
          <w:iCs/>
        </w:rPr>
        <w:t>Intersex Inquiry</w:t>
      </w:r>
      <w:r w:rsidRPr="00A62281">
        <w:rPr>
          <w:rFonts w:cs="Open Sans"/>
        </w:rPr>
        <w:t>,</w:t>
      </w:r>
      <w:r>
        <w:rPr>
          <w:rFonts w:cs="Open Sans"/>
          <w:i/>
          <w:iCs/>
        </w:rPr>
        <w:t xml:space="preserve"> </w:t>
      </w:r>
      <w:r w:rsidRPr="00E2364A">
        <w:rPr>
          <w:rFonts w:cs="Open Sans"/>
        </w:rPr>
        <w:t>17.</w:t>
      </w:r>
    </w:p>
  </w:endnote>
  <w:endnote w:id="658">
    <w:p w:rsidRPr="00E2364A" w:rsidR="00452E54" w:rsidP="00452E54" w:rsidRDefault="00452E54" w14:paraId="665C6CF2" w14:textId="77777777">
      <w:pPr>
        <w:pStyle w:val="EndnoteText"/>
        <w:rPr>
          <w:rFonts w:cs="Open Sans"/>
        </w:rPr>
      </w:pPr>
      <w:r w:rsidRPr="00E2364A">
        <w:rPr>
          <w:rStyle w:val="EndnoteReference"/>
          <w:rFonts w:cs="Open Sans"/>
        </w:rPr>
        <w:endnoteRef/>
      </w:r>
      <w:r w:rsidRPr="00E2364A">
        <w:rPr>
          <w:rFonts w:cs="Open Sans"/>
        </w:rPr>
        <w:t xml:space="preserve"> Western Australian Multidisciplinary DSD Team, Submission 23,</w:t>
      </w:r>
      <w:r w:rsidRPr="00D457A3">
        <w:rPr>
          <w:rFonts w:cs="Open Sans"/>
          <w:i/>
          <w:iCs/>
        </w:rPr>
        <w:t xml:space="preserve"> </w:t>
      </w:r>
      <w:r w:rsidRPr="00A62281">
        <w:rPr>
          <w:rFonts w:cs="Open Sans"/>
          <w:i/>
          <w:iCs/>
        </w:rPr>
        <w:t>Intersex Inquiry</w:t>
      </w:r>
      <w:r w:rsidRPr="00A62281">
        <w:rPr>
          <w:rFonts w:cs="Open Sans"/>
        </w:rPr>
        <w:t>,</w:t>
      </w:r>
      <w:r>
        <w:rPr>
          <w:rFonts w:cs="Open Sans"/>
          <w:i/>
          <w:iCs/>
        </w:rPr>
        <w:t xml:space="preserve"> </w:t>
      </w:r>
      <w:r w:rsidRPr="00E2364A">
        <w:rPr>
          <w:rFonts w:cs="Open Sans"/>
        </w:rPr>
        <w:t>4.</w:t>
      </w:r>
    </w:p>
  </w:endnote>
  <w:endnote w:id="659">
    <w:p w:rsidRPr="00E2364A" w:rsidR="00452E54" w:rsidP="00452E54" w:rsidRDefault="00452E54" w14:paraId="02CC5A5B" w14:textId="77777777">
      <w:pPr>
        <w:pStyle w:val="EndnoteText"/>
        <w:rPr>
          <w:rFonts w:cs="Open Sans"/>
        </w:rPr>
      </w:pPr>
      <w:r w:rsidRPr="00E2364A">
        <w:rPr>
          <w:rStyle w:val="EndnoteReference"/>
          <w:rFonts w:cs="Open Sans"/>
        </w:rPr>
        <w:endnoteRef/>
      </w:r>
      <w:r w:rsidRPr="00E2364A">
        <w:rPr>
          <w:rFonts w:cs="Open Sans"/>
        </w:rPr>
        <w:t xml:space="preserve"> Western Australian Multidisciplinary DSD Team, Submission 23,</w:t>
      </w:r>
      <w:r w:rsidRPr="00D457A3">
        <w:rPr>
          <w:rFonts w:cs="Open Sans"/>
          <w:i/>
          <w:iCs/>
        </w:rPr>
        <w:t xml:space="preserve"> </w:t>
      </w:r>
      <w:r w:rsidRPr="00A62281">
        <w:rPr>
          <w:rFonts w:cs="Open Sans"/>
          <w:i/>
          <w:iCs/>
        </w:rPr>
        <w:t>Intersex Inquiry</w:t>
      </w:r>
      <w:r w:rsidRPr="00A62281">
        <w:rPr>
          <w:rFonts w:cs="Open Sans"/>
        </w:rPr>
        <w:t>,</w:t>
      </w:r>
      <w:r>
        <w:rPr>
          <w:rFonts w:cs="Open Sans"/>
          <w:i/>
          <w:iCs/>
        </w:rPr>
        <w:t xml:space="preserve"> </w:t>
      </w:r>
      <w:r w:rsidRPr="00E2364A">
        <w:rPr>
          <w:rFonts w:cs="Open Sans"/>
        </w:rPr>
        <w:t>4; Submission 67</w:t>
      </w:r>
      <w:r>
        <w:rPr>
          <w:rFonts w:cs="Open Sans"/>
        </w:rPr>
        <w:t>,</w:t>
      </w:r>
      <w:r w:rsidRPr="00D457A3">
        <w:rPr>
          <w:rFonts w:cs="Open Sans"/>
          <w:i/>
          <w:iCs/>
        </w:rPr>
        <w:t xml:space="preserve"> </w:t>
      </w:r>
      <w:r w:rsidRPr="00A62281">
        <w:rPr>
          <w:rFonts w:cs="Open Sans"/>
          <w:i/>
          <w:iCs/>
        </w:rPr>
        <w:t>Intersex Inquiry</w:t>
      </w:r>
      <w:r w:rsidRPr="00E2364A">
        <w:rPr>
          <w:rFonts w:cs="Open Sans"/>
        </w:rPr>
        <w:t>.</w:t>
      </w:r>
    </w:p>
  </w:endnote>
  <w:endnote w:id="660">
    <w:p w:rsidRPr="00E2364A" w:rsidR="00452E54" w:rsidP="00452E54" w:rsidRDefault="00452E54" w14:paraId="74B311BF" w14:textId="77777777">
      <w:pPr>
        <w:pStyle w:val="EndnoteText"/>
        <w:rPr>
          <w:rFonts w:cs="Open Sans"/>
        </w:rPr>
      </w:pPr>
      <w:r w:rsidRPr="00E2364A">
        <w:rPr>
          <w:rStyle w:val="EndnoteReference"/>
          <w:rFonts w:cs="Open Sans"/>
        </w:rPr>
        <w:endnoteRef/>
      </w:r>
      <w:r w:rsidRPr="00E2364A">
        <w:rPr>
          <w:rFonts w:cs="Open Sans"/>
        </w:rPr>
        <w:t xml:space="preserve"> Australasian Paediatric Endocrine Group, Submission 20,</w:t>
      </w:r>
      <w:r w:rsidRPr="00D457A3">
        <w:rPr>
          <w:rFonts w:cs="Open Sans"/>
          <w:i/>
          <w:iCs/>
        </w:rPr>
        <w:t xml:space="preserve"> </w:t>
      </w:r>
      <w:r w:rsidRPr="00A62281">
        <w:rPr>
          <w:rFonts w:cs="Open Sans"/>
          <w:i/>
          <w:iCs/>
        </w:rPr>
        <w:t>Intersex Inquiry</w:t>
      </w:r>
      <w:r w:rsidRPr="00A62281">
        <w:rPr>
          <w:rFonts w:cs="Open Sans"/>
        </w:rPr>
        <w:t>,</w:t>
      </w:r>
      <w:r>
        <w:rPr>
          <w:rFonts w:cs="Open Sans"/>
          <w:i/>
          <w:iCs/>
        </w:rPr>
        <w:t xml:space="preserve"> </w:t>
      </w:r>
      <w:r w:rsidRPr="00E2364A">
        <w:rPr>
          <w:rFonts w:cs="Open Sans"/>
        </w:rPr>
        <w:t>7.</w:t>
      </w:r>
    </w:p>
  </w:endnote>
  <w:endnote w:id="661">
    <w:p w:rsidRPr="00E2364A" w:rsidR="00452E54" w:rsidP="00452E54" w:rsidRDefault="00452E54" w14:paraId="14BCD18A" w14:textId="77777777">
      <w:pPr>
        <w:pStyle w:val="EndnoteText"/>
        <w:rPr>
          <w:rFonts w:cs="Open Sans"/>
        </w:rPr>
      </w:pPr>
      <w:r w:rsidRPr="00E2364A">
        <w:rPr>
          <w:rStyle w:val="EndnoteReference"/>
          <w:rFonts w:cs="Open Sans"/>
        </w:rPr>
        <w:endnoteRef/>
      </w:r>
      <w:r w:rsidRPr="00E2364A">
        <w:rPr>
          <w:rFonts w:cs="Open Sans"/>
        </w:rPr>
        <w:t xml:space="preserve"> Western Australian Multidisciplinary DSD </w:t>
      </w:r>
      <w:r w:rsidRPr="00C324BE">
        <w:rPr>
          <w:rFonts w:cs="Open Sans"/>
        </w:rPr>
        <w:t>Team,</w:t>
      </w:r>
      <w:r>
        <w:rPr>
          <w:rFonts w:cs="Open Sans"/>
        </w:rPr>
        <w:t xml:space="preserve"> Submission</w:t>
      </w:r>
      <w:r w:rsidRPr="00C324BE">
        <w:rPr>
          <w:rFonts w:cs="Open Sans"/>
        </w:rPr>
        <w:t xml:space="preserve"> 23,</w:t>
      </w:r>
      <w:r w:rsidRPr="00C324BE">
        <w:rPr>
          <w:rFonts w:cs="Open Sans"/>
          <w:i/>
          <w:iCs/>
        </w:rPr>
        <w:t xml:space="preserve"> </w:t>
      </w:r>
      <w:r w:rsidRPr="00A62281">
        <w:rPr>
          <w:rFonts w:cs="Open Sans"/>
          <w:i/>
          <w:iCs/>
        </w:rPr>
        <w:t>Intersex Inquiry</w:t>
      </w:r>
      <w:r w:rsidRPr="00A62281">
        <w:rPr>
          <w:rFonts w:cs="Open Sans"/>
        </w:rPr>
        <w:t>,</w:t>
      </w:r>
      <w:r>
        <w:rPr>
          <w:rFonts w:cs="Open Sans"/>
          <w:i/>
          <w:iCs/>
        </w:rPr>
        <w:t xml:space="preserve"> </w:t>
      </w:r>
      <w:r w:rsidRPr="00E2364A">
        <w:rPr>
          <w:rFonts w:cs="Open Sans"/>
        </w:rPr>
        <w:t xml:space="preserve">4; Australasian Paediatric Endocrine Group, Submission 20, </w:t>
      </w:r>
      <w:r w:rsidRPr="00A62281">
        <w:rPr>
          <w:rFonts w:cs="Open Sans"/>
          <w:i/>
          <w:iCs/>
        </w:rPr>
        <w:t>Intersex Inquiry</w:t>
      </w:r>
      <w:r w:rsidRPr="00A62281">
        <w:rPr>
          <w:rFonts w:cs="Open Sans"/>
        </w:rPr>
        <w:t>,</w:t>
      </w:r>
      <w:r>
        <w:rPr>
          <w:rFonts w:cs="Open Sans"/>
          <w:i/>
          <w:iCs/>
        </w:rPr>
        <w:t xml:space="preserve"> </w:t>
      </w:r>
      <w:r w:rsidRPr="00E2364A">
        <w:rPr>
          <w:rFonts w:cs="Open Sans"/>
        </w:rPr>
        <w:t xml:space="preserve">2; Endocrine Society of Australia, Submission 39, </w:t>
      </w:r>
      <w:r w:rsidRPr="00A62281">
        <w:rPr>
          <w:rFonts w:cs="Open Sans"/>
          <w:i/>
          <w:iCs/>
        </w:rPr>
        <w:t>Intersex Inquiry</w:t>
      </w:r>
      <w:r w:rsidRPr="00A62281">
        <w:rPr>
          <w:rFonts w:cs="Open Sans"/>
        </w:rPr>
        <w:t>,</w:t>
      </w:r>
      <w:r>
        <w:rPr>
          <w:rFonts w:cs="Open Sans"/>
          <w:i/>
          <w:iCs/>
        </w:rPr>
        <w:t xml:space="preserve"> </w:t>
      </w:r>
      <w:r w:rsidRPr="00E2364A">
        <w:rPr>
          <w:rFonts w:cs="Open Sans"/>
        </w:rPr>
        <w:t xml:space="preserve">3. </w:t>
      </w:r>
    </w:p>
  </w:endnote>
  <w:endnote w:id="662">
    <w:p w:rsidRPr="00E2364A" w:rsidR="00452E54" w:rsidP="00452E54" w:rsidRDefault="00452E54" w14:paraId="2ABF5CFF" w14:textId="77777777">
      <w:pPr>
        <w:pStyle w:val="EndnoteText"/>
        <w:rPr>
          <w:rFonts w:cs="Open Sans"/>
        </w:rPr>
      </w:pPr>
      <w:r w:rsidRPr="00E2364A">
        <w:rPr>
          <w:rStyle w:val="EndnoteReference"/>
          <w:rFonts w:cs="Open Sans"/>
        </w:rPr>
        <w:endnoteRef/>
      </w:r>
      <w:r w:rsidRPr="00E2364A">
        <w:rPr>
          <w:rFonts w:cs="Open Sans"/>
        </w:rPr>
        <w:t xml:space="preserve"> The Chilean Ministry of Health sought to guide how medical interventions take place by issuing instructions called a ‘Circular’, which are not legally binding. In December 2015, the Ministry issued Circular No. 18 instructing health care providers to stop unnecessary ‘normalising’ medical treatment on intersex children and defer them until the child reaches an age where they can give their own consent: </w:t>
      </w:r>
      <w:r>
        <w:rPr>
          <w:rFonts w:cs="Open Sans"/>
        </w:rPr>
        <w:t>&lt;</w:t>
      </w:r>
      <w:hyperlink w:history="1" r:id="rId54">
        <w:r w:rsidRPr="005F129D">
          <w:rPr>
            <w:rStyle w:val="Hyperlink"/>
            <w:rFonts w:cs="Open Sans"/>
          </w:rPr>
          <w:t>https://diprece.minsal.cl/wrdprss_minsal/wp-content/uploads/2018/03/Circular-08-22-12-15-Instruye-Sobre-Ciertos-Aspectos-de-la-atenci%C3%B3n-de....pdf</w:t>
        </w:r>
      </w:hyperlink>
      <w:r>
        <w:rPr>
          <w:rStyle w:val="Hyperlink"/>
          <w:rFonts w:cs="Open Sans"/>
        </w:rPr>
        <w:t>&gt;</w:t>
      </w:r>
      <w:r w:rsidRPr="00E2364A">
        <w:rPr>
          <w:rFonts w:cs="Open Sans"/>
        </w:rPr>
        <w:t xml:space="preserve">. This Circular was replaced in August 2016 with Circular No. 7, which removed the blanket prohibition on unnecessary treatments. It states that the recommendation not to perform unnecessary surgery does not apply where ‘there is a clearly defined sex’ and gives guidance on when interventions should occur for other variations. The Circular states that decision making may require the opinion of an ethics committee and that the possibility of deferring surgery until the child reaches an age where they can demonstrate their own tendencies of sexual identity should be explained to parents. </w:t>
      </w:r>
    </w:p>
  </w:endnote>
  <w:endnote w:id="663">
    <w:p w:rsidRPr="00E2364A" w:rsidR="00452E54" w:rsidP="00452E54" w:rsidRDefault="00452E54" w14:paraId="0A5F6F84" w14:textId="77777777">
      <w:pPr>
        <w:pStyle w:val="EndnoteText"/>
        <w:rPr>
          <w:rFonts w:cs="Open Sans"/>
        </w:rPr>
      </w:pPr>
      <w:r w:rsidRPr="00E2364A">
        <w:rPr>
          <w:rStyle w:val="EndnoteReference"/>
          <w:rFonts w:cs="Open Sans"/>
        </w:rPr>
        <w:endnoteRef/>
      </w:r>
      <w:r w:rsidRPr="00E2364A">
        <w:rPr>
          <w:rFonts w:cs="Open Sans"/>
        </w:rPr>
        <w:t xml:space="preserve"> Western Australian Multidisciplinary DSD Team, Submission 23, </w:t>
      </w:r>
      <w:r w:rsidRPr="00A62281">
        <w:rPr>
          <w:rFonts w:cs="Open Sans"/>
          <w:i/>
          <w:iCs/>
        </w:rPr>
        <w:t>Intersex Inquiry</w:t>
      </w:r>
      <w:r w:rsidRPr="00A62281">
        <w:rPr>
          <w:rFonts w:cs="Open Sans"/>
        </w:rPr>
        <w:t>,</w:t>
      </w:r>
      <w:r>
        <w:rPr>
          <w:rFonts w:cs="Open Sans"/>
          <w:i/>
          <w:iCs/>
        </w:rPr>
        <w:t xml:space="preserve"> </w:t>
      </w:r>
      <w:r w:rsidRPr="00E2364A">
        <w:rPr>
          <w:rFonts w:cs="Open Sans"/>
        </w:rPr>
        <w:t xml:space="preserve">5. </w:t>
      </w:r>
    </w:p>
  </w:endnote>
  <w:endnote w:id="664">
    <w:p w:rsidRPr="00E2364A" w:rsidR="00452E54" w:rsidP="00452E54" w:rsidRDefault="00452E54" w14:paraId="0A45DC5E" w14:textId="77777777">
      <w:pPr>
        <w:pStyle w:val="EndnoteText"/>
        <w:rPr>
          <w:rFonts w:cs="Open Sans"/>
        </w:rPr>
      </w:pPr>
      <w:r w:rsidRPr="00E2364A">
        <w:rPr>
          <w:rStyle w:val="EndnoteReference"/>
          <w:rFonts w:cs="Open Sans"/>
        </w:rPr>
        <w:endnoteRef/>
      </w:r>
      <w:r w:rsidRPr="00E2364A">
        <w:rPr>
          <w:rFonts w:cs="Open Sans"/>
        </w:rPr>
        <w:t xml:space="preserve"> Australasian Paediatric Endocrine Group</w:t>
      </w:r>
      <w:r>
        <w:rPr>
          <w:rFonts w:cs="Open Sans"/>
        </w:rPr>
        <w:t>, Submission</w:t>
      </w:r>
      <w:r w:rsidRPr="00E2364A">
        <w:rPr>
          <w:rFonts w:cs="Open Sans"/>
        </w:rPr>
        <w:t xml:space="preserve"> 20, </w:t>
      </w:r>
      <w:r w:rsidRPr="00A62281">
        <w:rPr>
          <w:rFonts w:cs="Open Sans"/>
          <w:i/>
          <w:iCs/>
        </w:rPr>
        <w:t>Intersex Inquiry</w:t>
      </w:r>
      <w:r w:rsidRPr="00A62281">
        <w:rPr>
          <w:rFonts w:cs="Open Sans"/>
        </w:rPr>
        <w:t>,</w:t>
      </w:r>
      <w:r>
        <w:rPr>
          <w:rFonts w:cs="Open Sans"/>
          <w:i/>
          <w:iCs/>
        </w:rPr>
        <w:t xml:space="preserve"> </w:t>
      </w:r>
      <w:r w:rsidRPr="00E2364A">
        <w:rPr>
          <w:rFonts w:cs="Open Sans"/>
        </w:rPr>
        <w:t xml:space="preserve">2. </w:t>
      </w:r>
    </w:p>
  </w:endnote>
  <w:endnote w:id="665">
    <w:p w:rsidRPr="00E2364A" w:rsidR="00452E54" w:rsidP="00452E54" w:rsidRDefault="00452E54" w14:paraId="3523CB94" w14:textId="77777777">
      <w:pPr>
        <w:pStyle w:val="EndnoteText"/>
        <w:rPr>
          <w:rFonts w:cs="Open Sans"/>
        </w:rPr>
      </w:pPr>
      <w:r w:rsidRPr="00E2364A">
        <w:rPr>
          <w:rStyle w:val="EndnoteReference"/>
          <w:rFonts w:cs="Open Sans"/>
        </w:rPr>
        <w:endnoteRef/>
      </w:r>
      <w:r w:rsidRPr="00E2364A">
        <w:rPr>
          <w:rFonts w:cs="Open Sans"/>
        </w:rPr>
        <w:t xml:space="preserve"> Submission 68,</w:t>
      </w:r>
      <w:r w:rsidRPr="004C3186">
        <w:rPr>
          <w:rFonts w:cs="Open Sans"/>
          <w:i/>
          <w:iCs/>
        </w:rPr>
        <w:t xml:space="preserve"> </w:t>
      </w:r>
      <w:r w:rsidRPr="00A62281">
        <w:rPr>
          <w:rFonts w:cs="Open Sans"/>
          <w:i/>
          <w:iCs/>
        </w:rPr>
        <w:t>Intersex Inquiry</w:t>
      </w:r>
      <w:r w:rsidRPr="00A62281">
        <w:rPr>
          <w:rFonts w:cs="Open Sans"/>
        </w:rPr>
        <w:t>,</w:t>
      </w:r>
      <w:r>
        <w:rPr>
          <w:rFonts w:cs="Open Sans"/>
          <w:i/>
          <w:iCs/>
        </w:rPr>
        <w:t xml:space="preserve"> </w:t>
      </w:r>
      <w:r w:rsidRPr="00E2364A">
        <w:rPr>
          <w:rFonts w:cs="Open Sans"/>
        </w:rPr>
        <w:t xml:space="preserve">6; Australasian Paediatric Endocrine Group, Submission 20, </w:t>
      </w:r>
      <w:r w:rsidRPr="00A62281">
        <w:rPr>
          <w:rFonts w:cs="Open Sans"/>
          <w:i/>
          <w:iCs/>
        </w:rPr>
        <w:t>Intersex Inquiry</w:t>
      </w:r>
      <w:r w:rsidRPr="00A62281">
        <w:rPr>
          <w:rFonts w:cs="Open Sans"/>
        </w:rPr>
        <w:t>,</w:t>
      </w:r>
      <w:r>
        <w:rPr>
          <w:rFonts w:cs="Open Sans"/>
          <w:i/>
          <w:iCs/>
        </w:rPr>
        <w:t xml:space="preserve"> </w:t>
      </w:r>
      <w:r w:rsidRPr="00E2364A">
        <w:rPr>
          <w:rFonts w:cs="Open Sans"/>
        </w:rPr>
        <w:t xml:space="preserve">2. </w:t>
      </w:r>
    </w:p>
  </w:endnote>
  <w:endnote w:id="666">
    <w:p w:rsidRPr="00E2364A" w:rsidR="00452E54" w:rsidP="00452E54" w:rsidRDefault="00452E54" w14:paraId="3945C6E8" w14:textId="77777777">
      <w:pPr>
        <w:pStyle w:val="EndnoteText"/>
        <w:rPr>
          <w:rFonts w:cs="Open Sans"/>
        </w:rPr>
      </w:pPr>
      <w:r w:rsidRPr="00E2364A">
        <w:rPr>
          <w:rStyle w:val="EndnoteReference"/>
          <w:rFonts w:cs="Open Sans"/>
        </w:rPr>
        <w:endnoteRef/>
      </w:r>
      <w:r w:rsidRPr="00E2364A">
        <w:rPr>
          <w:rFonts w:cs="Open Sans"/>
        </w:rPr>
        <w:t xml:space="preserve"> Submission 55,</w:t>
      </w:r>
      <w:r w:rsidRPr="004C3186">
        <w:rPr>
          <w:rFonts w:cs="Open Sans"/>
          <w:i/>
          <w:iCs/>
        </w:rPr>
        <w:t xml:space="preserve"> </w:t>
      </w:r>
      <w:r w:rsidRPr="00A62281">
        <w:rPr>
          <w:rFonts w:cs="Open Sans"/>
          <w:i/>
          <w:iCs/>
        </w:rPr>
        <w:t>Intersex Inquiry</w:t>
      </w:r>
      <w:r w:rsidRPr="00A62281">
        <w:rPr>
          <w:rFonts w:cs="Open Sans"/>
        </w:rPr>
        <w:t>,</w:t>
      </w:r>
      <w:r>
        <w:rPr>
          <w:rFonts w:cs="Open Sans"/>
          <w:i/>
          <w:iCs/>
        </w:rPr>
        <w:t xml:space="preserve"> </w:t>
      </w:r>
      <w:r w:rsidRPr="00E2364A">
        <w:rPr>
          <w:rFonts w:cs="Open Sans"/>
        </w:rPr>
        <w:t>9</w:t>
      </w:r>
      <w:r>
        <w:rPr>
          <w:rFonts w:cs="Open Sans"/>
        </w:rPr>
        <w:t>–</w:t>
      </w:r>
      <w:r w:rsidRPr="00E2364A">
        <w:rPr>
          <w:rFonts w:cs="Open Sans"/>
        </w:rPr>
        <w:t xml:space="preserve">10; Australasian Paediatric Endocrine Group, Submission 20, </w:t>
      </w:r>
      <w:r w:rsidRPr="00A62281">
        <w:rPr>
          <w:rFonts w:cs="Open Sans"/>
          <w:i/>
          <w:iCs/>
        </w:rPr>
        <w:t>Intersex Inquiry</w:t>
      </w:r>
      <w:r w:rsidRPr="00A62281">
        <w:rPr>
          <w:rFonts w:cs="Open Sans"/>
        </w:rPr>
        <w:t>,</w:t>
      </w:r>
      <w:r>
        <w:rPr>
          <w:rFonts w:cs="Open Sans"/>
          <w:i/>
          <w:iCs/>
        </w:rPr>
        <w:t xml:space="preserve"> </w:t>
      </w:r>
      <w:r w:rsidRPr="00E2364A">
        <w:rPr>
          <w:rFonts w:cs="Open Sans"/>
        </w:rPr>
        <w:t>2; Submission 67</w:t>
      </w:r>
      <w:r>
        <w:rPr>
          <w:rFonts w:cs="Open Sans"/>
          <w:i/>
          <w:iCs/>
        </w:rPr>
        <w:t>,</w:t>
      </w:r>
      <w:r w:rsidRPr="00A62281">
        <w:rPr>
          <w:rFonts w:cs="Open Sans"/>
          <w:i/>
          <w:iCs/>
        </w:rPr>
        <w:t>Intersex Inquiry</w:t>
      </w:r>
      <w:r w:rsidRPr="00E2364A">
        <w:rPr>
          <w:rFonts w:cs="Open Sans"/>
        </w:rPr>
        <w:t xml:space="preserve">. </w:t>
      </w:r>
    </w:p>
  </w:endnote>
  <w:endnote w:id="667">
    <w:p w:rsidRPr="00E2364A" w:rsidR="00452E54" w:rsidP="00452E54" w:rsidRDefault="00452E54" w14:paraId="44EC7977" w14:textId="77777777">
      <w:pPr>
        <w:pStyle w:val="EndnoteText"/>
        <w:rPr>
          <w:rFonts w:cs="Open Sans"/>
        </w:rPr>
      </w:pPr>
      <w:r w:rsidRPr="00E2364A">
        <w:rPr>
          <w:rStyle w:val="EndnoteReference"/>
          <w:rFonts w:cs="Open Sans"/>
        </w:rPr>
        <w:endnoteRef/>
      </w:r>
      <w:r w:rsidRPr="00E2364A">
        <w:rPr>
          <w:rFonts w:cs="Open Sans"/>
        </w:rPr>
        <w:t xml:space="preserve"> Submission 55, </w:t>
      </w:r>
      <w:r w:rsidRPr="00A62281">
        <w:rPr>
          <w:rFonts w:cs="Open Sans"/>
          <w:i/>
          <w:iCs/>
        </w:rPr>
        <w:t>Intersex Inquiry</w:t>
      </w:r>
      <w:r w:rsidRPr="00A62281">
        <w:rPr>
          <w:rFonts w:cs="Open Sans"/>
        </w:rPr>
        <w:t>,</w:t>
      </w:r>
      <w:r>
        <w:rPr>
          <w:rFonts w:cs="Open Sans"/>
          <w:i/>
          <w:iCs/>
        </w:rPr>
        <w:t xml:space="preserve"> </w:t>
      </w:r>
      <w:r w:rsidRPr="00E2364A">
        <w:rPr>
          <w:rFonts w:cs="Open Sans"/>
        </w:rPr>
        <w:t>10.</w:t>
      </w:r>
    </w:p>
  </w:endnote>
  <w:endnote w:id="668">
    <w:p w:rsidRPr="00E2364A" w:rsidR="00452E54" w:rsidP="00452E54" w:rsidRDefault="00452E54" w14:paraId="3EFC9323" w14:textId="77777777">
      <w:pPr>
        <w:pStyle w:val="EndnoteText"/>
        <w:rPr>
          <w:rFonts w:cs="Open Sans"/>
        </w:rPr>
      </w:pPr>
      <w:r w:rsidRPr="00E2364A">
        <w:rPr>
          <w:rStyle w:val="EndnoteReference"/>
          <w:rFonts w:cs="Open Sans"/>
        </w:rPr>
        <w:endnoteRef/>
      </w:r>
      <w:r w:rsidRPr="00E2364A">
        <w:rPr>
          <w:rFonts w:cs="Open Sans"/>
        </w:rPr>
        <w:t xml:space="preserve"> NHMRC Funded Research Program, Submission 30,</w:t>
      </w:r>
      <w:r w:rsidRPr="00B37016">
        <w:rPr>
          <w:rFonts w:cs="Open Sans"/>
          <w:i/>
          <w:iCs/>
        </w:rPr>
        <w:t xml:space="preserve"> </w:t>
      </w:r>
      <w:r w:rsidRPr="00A62281">
        <w:rPr>
          <w:rFonts w:cs="Open Sans"/>
          <w:i/>
          <w:iCs/>
        </w:rPr>
        <w:t>Intersex Inquiry</w:t>
      </w:r>
      <w:r w:rsidRPr="00A62281">
        <w:rPr>
          <w:rFonts w:cs="Open Sans"/>
        </w:rPr>
        <w:t>,</w:t>
      </w:r>
      <w:r>
        <w:rPr>
          <w:rFonts w:cs="Open Sans"/>
          <w:i/>
          <w:iCs/>
        </w:rPr>
        <w:t xml:space="preserve"> </w:t>
      </w:r>
      <w:r w:rsidRPr="00E2364A">
        <w:rPr>
          <w:rFonts w:cs="Open Sans"/>
        </w:rPr>
        <w:t>4; Western Australian Multidisciplinary DSD Team, Submission 23,</w:t>
      </w:r>
      <w:r w:rsidRPr="00B37016">
        <w:rPr>
          <w:rFonts w:cs="Open Sans"/>
          <w:i/>
          <w:iCs/>
        </w:rPr>
        <w:t xml:space="preserve"> </w:t>
      </w:r>
      <w:r w:rsidRPr="00A62281">
        <w:rPr>
          <w:rFonts w:cs="Open Sans"/>
          <w:i/>
          <w:iCs/>
        </w:rPr>
        <w:t>Intersex Inquiry</w:t>
      </w:r>
      <w:r w:rsidRPr="00A62281">
        <w:rPr>
          <w:rFonts w:cs="Open Sans"/>
        </w:rPr>
        <w:t>,</w:t>
      </w:r>
      <w:r>
        <w:rPr>
          <w:rFonts w:cs="Open Sans"/>
          <w:i/>
          <w:iCs/>
        </w:rPr>
        <w:t xml:space="preserve"> </w:t>
      </w:r>
      <w:r w:rsidRPr="00E2364A">
        <w:rPr>
          <w:rFonts w:cs="Open Sans"/>
        </w:rPr>
        <w:t xml:space="preserve">4. </w:t>
      </w:r>
    </w:p>
  </w:endnote>
  <w:endnote w:id="669">
    <w:p w:rsidRPr="00E2364A" w:rsidR="00452E54" w:rsidP="00452E54" w:rsidRDefault="00452E54" w14:paraId="7AA5756F" w14:textId="77777777">
      <w:pPr>
        <w:pStyle w:val="EndnoteText"/>
        <w:rPr>
          <w:rFonts w:cs="Open Sans"/>
        </w:rPr>
      </w:pPr>
      <w:r w:rsidRPr="00E2364A">
        <w:rPr>
          <w:rStyle w:val="EndnoteReference"/>
          <w:rFonts w:cs="Open Sans"/>
        </w:rPr>
        <w:endnoteRef/>
      </w:r>
      <w:r w:rsidRPr="00E2364A">
        <w:rPr>
          <w:rFonts w:cs="Open Sans"/>
        </w:rPr>
        <w:t xml:space="preserve"> NHMRC Funded Research Program, Submission 30, </w:t>
      </w:r>
      <w:r w:rsidRPr="00A62281">
        <w:rPr>
          <w:rFonts w:cs="Open Sans"/>
          <w:i/>
          <w:iCs/>
        </w:rPr>
        <w:t>Intersex Inquiry</w:t>
      </w:r>
      <w:r w:rsidRPr="00A62281">
        <w:rPr>
          <w:rFonts w:cs="Open Sans"/>
        </w:rPr>
        <w:t>,</w:t>
      </w:r>
      <w:r>
        <w:rPr>
          <w:rFonts w:cs="Open Sans"/>
          <w:i/>
          <w:iCs/>
        </w:rPr>
        <w:t xml:space="preserve"> </w:t>
      </w:r>
      <w:r w:rsidRPr="00E2364A">
        <w:rPr>
          <w:rFonts w:cs="Open Sans"/>
        </w:rPr>
        <w:t>4.</w:t>
      </w:r>
    </w:p>
  </w:endnote>
  <w:endnote w:id="670">
    <w:p w:rsidRPr="00E2364A" w:rsidR="00452E54" w:rsidP="00452E54" w:rsidRDefault="00452E54" w14:paraId="38972DB8" w14:textId="77777777">
      <w:pPr>
        <w:pStyle w:val="EndnoteText"/>
        <w:rPr>
          <w:rFonts w:cs="Open Sans"/>
        </w:rPr>
      </w:pPr>
      <w:r w:rsidRPr="00E2364A">
        <w:rPr>
          <w:rStyle w:val="EndnoteReference"/>
          <w:rFonts w:cs="Open Sans"/>
        </w:rPr>
        <w:endnoteRef/>
      </w:r>
      <w:r w:rsidRPr="00E2364A">
        <w:rPr>
          <w:rFonts w:cs="Open Sans"/>
        </w:rPr>
        <w:t xml:space="preserve"> Submission 55,</w:t>
      </w:r>
      <w:r w:rsidRPr="00A366B4">
        <w:rPr>
          <w:rFonts w:cs="Open Sans"/>
          <w:i/>
          <w:iCs/>
        </w:rPr>
        <w:t xml:space="preserve"> </w:t>
      </w:r>
      <w:r w:rsidRPr="00A62281">
        <w:rPr>
          <w:rFonts w:cs="Open Sans"/>
          <w:i/>
          <w:iCs/>
        </w:rPr>
        <w:t>Intersex Inquiry</w:t>
      </w:r>
      <w:r w:rsidRPr="00A62281">
        <w:rPr>
          <w:rFonts w:cs="Open Sans"/>
        </w:rPr>
        <w:t>,</w:t>
      </w:r>
      <w:r>
        <w:rPr>
          <w:rFonts w:cs="Open Sans"/>
          <w:i/>
          <w:iCs/>
        </w:rPr>
        <w:t xml:space="preserve"> </w:t>
      </w:r>
      <w:r w:rsidRPr="00E2364A">
        <w:rPr>
          <w:rFonts w:cs="Open Sans"/>
        </w:rPr>
        <w:t>8.</w:t>
      </w:r>
    </w:p>
  </w:endnote>
  <w:endnote w:id="671">
    <w:p w:rsidRPr="00E2364A" w:rsidR="00452E54" w:rsidP="00452E54" w:rsidRDefault="00452E54" w14:paraId="1AC1B234" w14:textId="77777777">
      <w:pPr>
        <w:pStyle w:val="EndnoteText"/>
        <w:rPr>
          <w:rFonts w:cs="Open Sans"/>
        </w:rPr>
      </w:pPr>
      <w:r w:rsidRPr="00E2364A">
        <w:rPr>
          <w:rStyle w:val="EndnoteReference"/>
          <w:rFonts w:cs="Open Sans"/>
        </w:rPr>
        <w:endnoteRef/>
      </w:r>
      <w:r w:rsidRPr="00E2364A">
        <w:rPr>
          <w:rFonts w:cs="Open Sans"/>
        </w:rPr>
        <w:t xml:space="preserve"> Submission 68,</w:t>
      </w:r>
      <w:r w:rsidRPr="00A366B4">
        <w:rPr>
          <w:rFonts w:cs="Open Sans"/>
          <w:i/>
          <w:iCs/>
        </w:rPr>
        <w:t xml:space="preserve"> </w:t>
      </w:r>
      <w:r w:rsidRPr="00A62281">
        <w:rPr>
          <w:rFonts w:cs="Open Sans"/>
          <w:i/>
          <w:iCs/>
        </w:rPr>
        <w:t>Intersex Inquiry</w:t>
      </w:r>
      <w:r w:rsidRPr="00A62281">
        <w:rPr>
          <w:rFonts w:cs="Open Sans"/>
        </w:rPr>
        <w:t>,</w:t>
      </w:r>
      <w:r>
        <w:rPr>
          <w:rFonts w:cs="Open Sans"/>
          <w:i/>
          <w:iCs/>
        </w:rPr>
        <w:t xml:space="preserve"> </w:t>
      </w:r>
      <w:r w:rsidRPr="00E2364A">
        <w:rPr>
          <w:rFonts w:cs="Open Sans"/>
        </w:rPr>
        <w:t>6.</w:t>
      </w:r>
    </w:p>
  </w:endnote>
  <w:endnote w:id="672">
    <w:p w:rsidRPr="00E2364A" w:rsidR="00452E54" w:rsidP="00452E54" w:rsidRDefault="00452E54" w14:paraId="13DE3DE0" w14:textId="77777777">
      <w:pPr>
        <w:pStyle w:val="EndnoteText"/>
        <w:rPr>
          <w:rFonts w:cs="Open Sans"/>
        </w:rPr>
      </w:pPr>
      <w:r w:rsidRPr="00E2364A">
        <w:rPr>
          <w:rStyle w:val="EndnoteReference"/>
          <w:rFonts w:cs="Open Sans"/>
        </w:rPr>
        <w:endnoteRef/>
      </w:r>
      <w:r w:rsidRPr="00E2364A">
        <w:rPr>
          <w:rFonts w:cs="Open Sans"/>
        </w:rPr>
        <w:t xml:space="preserve"> Submission 68, </w:t>
      </w:r>
      <w:r w:rsidRPr="00A62281">
        <w:rPr>
          <w:rFonts w:cs="Open Sans"/>
          <w:i/>
          <w:iCs/>
        </w:rPr>
        <w:t>Intersex Inquiry</w:t>
      </w:r>
      <w:r w:rsidRPr="00A62281">
        <w:rPr>
          <w:rFonts w:cs="Open Sans"/>
        </w:rPr>
        <w:t>,</w:t>
      </w:r>
      <w:r>
        <w:rPr>
          <w:rFonts w:cs="Open Sans"/>
          <w:i/>
          <w:iCs/>
        </w:rPr>
        <w:t xml:space="preserve"> </w:t>
      </w:r>
      <w:r w:rsidRPr="00E2364A">
        <w:rPr>
          <w:rFonts w:cs="Open Sans"/>
        </w:rPr>
        <w:t>5</w:t>
      </w:r>
      <w:r>
        <w:rPr>
          <w:rFonts w:cs="Open Sans"/>
        </w:rPr>
        <w:t>–</w:t>
      </w:r>
      <w:r w:rsidRPr="00E2364A">
        <w:rPr>
          <w:rFonts w:cs="Open Sans"/>
        </w:rPr>
        <w:t xml:space="preserve">6. </w:t>
      </w:r>
    </w:p>
  </w:endnote>
  <w:endnote w:id="673">
    <w:p w:rsidRPr="00E2364A" w:rsidR="00452E54" w:rsidP="00452E54" w:rsidRDefault="00452E54" w14:paraId="4FF86AB4" w14:textId="77777777">
      <w:pPr>
        <w:pStyle w:val="EndnoteText"/>
        <w:rPr>
          <w:rFonts w:cs="Open Sans"/>
        </w:rPr>
      </w:pPr>
      <w:r w:rsidRPr="00E2364A">
        <w:rPr>
          <w:rStyle w:val="EndnoteReference"/>
          <w:rFonts w:cs="Open Sans"/>
        </w:rPr>
        <w:endnoteRef/>
      </w:r>
      <w:r w:rsidRPr="00E2364A">
        <w:rPr>
          <w:rFonts w:cs="Open Sans"/>
        </w:rPr>
        <w:t xml:space="preserve"> Submission 68,</w:t>
      </w:r>
      <w:r w:rsidRPr="00A366B4">
        <w:rPr>
          <w:rFonts w:cs="Open Sans"/>
          <w:i/>
          <w:iCs/>
        </w:rPr>
        <w:t xml:space="preserve"> </w:t>
      </w:r>
      <w:r w:rsidRPr="00A62281">
        <w:rPr>
          <w:rFonts w:cs="Open Sans"/>
          <w:i/>
          <w:iCs/>
        </w:rPr>
        <w:t>Intersex Inquiry</w:t>
      </w:r>
      <w:r w:rsidRPr="00A62281">
        <w:rPr>
          <w:rFonts w:cs="Open Sans"/>
        </w:rPr>
        <w:t>,</w:t>
      </w:r>
      <w:r>
        <w:rPr>
          <w:rFonts w:cs="Open Sans"/>
          <w:i/>
          <w:iCs/>
        </w:rPr>
        <w:t xml:space="preserve"> </w:t>
      </w:r>
      <w:r w:rsidRPr="00E2364A">
        <w:rPr>
          <w:rFonts w:cs="Open Sans"/>
        </w:rPr>
        <w:t xml:space="preserve">5 </w:t>
      </w:r>
    </w:p>
  </w:endnote>
  <w:endnote w:id="674">
    <w:p w:rsidRPr="00E2364A" w:rsidR="00452E54" w:rsidP="00452E54" w:rsidRDefault="00452E54" w14:paraId="08225B4D" w14:textId="77777777">
      <w:pPr>
        <w:pStyle w:val="EndnoteText"/>
        <w:rPr>
          <w:rFonts w:cs="Open Sans"/>
        </w:rPr>
      </w:pPr>
      <w:r w:rsidRPr="00E2364A">
        <w:rPr>
          <w:rStyle w:val="EndnoteReference"/>
          <w:rFonts w:cs="Open Sans"/>
        </w:rPr>
        <w:endnoteRef/>
      </w:r>
      <w:r w:rsidRPr="00E2364A">
        <w:rPr>
          <w:rFonts w:cs="Open Sans"/>
        </w:rPr>
        <w:t xml:space="preserve"> Submission 68, </w:t>
      </w:r>
      <w:r w:rsidRPr="00A62281">
        <w:rPr>
          <w:rFonts w:cs="Open Sans"/>
          <w:i/>
          <w:iCs/>
        </w:rPr>
        <w:t>Intersex Inquiry</w:t>
      </w:r>
      <w:r w:rsidRPr="00A62281">
        <w:rPr>
          <w:rFonts w:cs="Open Sans"/>
        </w:rPr>
        <w:t>,</w:t>
      </w:r>
      <w:r>
        <w:rPr>
          <w:rFonts w:cs="Open Sans"/>
          <w:i/>
          <w:iCs/>
        </w:rPr>
        <w:t xml:space="preserve"> </w:t>
      </w:r>
      <w:r w:rsidRPr="00E2364A">
        <w:rPr>
          <w:rFonts w:cs="Open Sans"/>
        </w:rPr>
        <w:t xml:space="preserve">5. </w:t>
      </w:r>
    </w:p>
  </w:endnote>
  <w:endnote w:id="675">
    <w:p w:rsidRPr="00E2364A" w:rsidR="00452E54" w:rsidP="00452E54" w:rsidRDefault="00452E54" w14:paraId="29155FA2" w14:textId="77777777">
      <w:pPr>
        <w:pStyle w:val="EndnoteText"/>
        <w:rPr>
          <w:rFonts w:cs="Open Sans"/>
        </w:rPr>
      </w:pPr>
      <w:r w:rsidRPr="00E2364A">
        <w:rPr>
          <w:rStyle w:val="EndnoteReference"/>
          <w:rFonts w:cs="Open Sans"/>
        </w:rPr>
        <w:endnoteRef/>
      </w:r>
      <w:r w:rsidRPr="00E2364A">
        <w:rPr>
          <w:rFonts w:cs="Open Sans"/>
        </w:rPr>
        <w:t xml:space="preserve"> NHMRC Funded Program, Submission 30,</w:t>
      </w:r>
      <w:r w:rsidRPr="00A366B4">
        <w:rPr>
          <w:rFonts w:cs="Open Sans"/>
          <w:i/>
          <w:iCs/>
        </w:rPr>
        <w:t xml:space="preserve"> </w:t>
      </w:r>
      <w:r w:rsidRPr="00A62281">
        <w:rPr>
          <w:rFonts w:cs="Open Sans"/>
          <w:i/>
          <w:iCs/>
        </w:rPr>
        <w:t>Intersex Inquiry</w:t>
      </w:r>
      <w:r w:rsidRPr="00A62281">
        <w:rPr>
          <w:rFonts w:cs="Open Sans"/>
        </w:rPr>
        <w:t>,</w:t>
      </w:r>
      <w:r>
        <w:rPr>
          <w:rFonts w:cs="Open Sans"/>
          <w:i/>
          <w:iCs/>
        </w:rPr>
        <w:t xml:space="preserve"> </w:t>
      </w:r>
      <w:r w:rsidRPr="00E2364A">
        <w:rPr>
          <w:rFonts w:cs="Open Sans"/>
        </w:rPr>
        <w:t>4.</w:t>
      </w:r>
    </w:p>
  </w:endnote>
  <w:endnote w:id="676">
    <w:p w:rsidRPr="00E2364A" w:rsidR="00452E54" w:rsidP="00452E54" w:rsidRDefault="00452E54" w14:paraId="34028858" w14:textId="77777777">
      <w:pPr>
        <w:pStyle w:val="EndnoteText"/>
        <w:rPr>
          <w:rFonts w:cs="Open Sans"/>
        </w:rPr>
      </w:pPr>
      <w:r w:rsidRPr="00E2364A">
        <w:rPr>
          <w:rStyle w:val="EndnoteReference"/>
          <w:rFonts w:cs="Open Sans"/>
        </w:rPr>
        <w:endnoteRef/>
      </w:r>
      <w:r w:rsidRPr="00E2364A">
        <w:rPr>
          <w:rFonts w:cs="Open Sans"/>
        </w:rPr>
        <w:t xml:space="preserve"> Australasian Paediatric Endocrine Group, Submission 20,</w:t>
      </w:r>
      <w:r w:rsidRPr="00A366B4">
        <w:rPr>
          <w:rFonts w:cs="Open Sans"/>
          <w:i/>
          <w:iCs/>
        </w:rPr>
        <w:t xml:space="preserve"> </w:t>
      </w:r>
      <w:r w:rsidRPr="00A62281">
        <w:rPr>
          <w:rFonts w:cs="Open Sans"/>
          <w:i/>
          <w:iCs/>
        </w:rPr>
        <w:t>Intersex Inquiry</w:t>
      </w:r>
      <w:r w:rsidRPr="00A62281">
        <w:rPr>
          <w:rFonts w:cs="Open Sans"/>
        </w:rPr>
        <w:t>,</w:t>
      </w:r>
      <w:r>
        <w:rPr>
          <w:rFonts w:cs="Open Sans"/>
          <w:i/>
          <w:iCs/>
        </w:rPr>
        <w:t xml:space="preserve"> </w:t>
      </w:r>
      <w:r w:rsidRPr="00E2364A">
        <w:rPr>
          <w:rFonts w:cs="Open Sans"/>
        </w:rPr>
        <w:t xml:space="preserve">7. </w:t>
      </w:r>
    </w:p>
  </w:endnote>
  <w:endnote w:id="677">
    <w:p w:rsidRPr="00E2364A" w:rsidR="00452E54" w:rsidP="00452E54" w:rsidRDefault="00452E54" w14:paraId="60355E2D" w14:textId="77777777">
      <w:pPr>
        <w:pStyle w:val="EndnoteText"/>
        <w:rPr>
          <w:rFonts w:cs="Open Sans"/>
          <w:lang w:val="en-US"/>
        </w:rPr>
      </w:pPr>
      <w:r w:rsidRPr="00E2364A">
        <w:rPr>
          <w:rStyle w:val="EndnoteReference"/>
          <w:rFonts w:cs="Open Sans"/>
        </w:rPr>
        <w:endnoteRef/>
      </w:r>
      <w:r w:rsidRPr="00E2364A">
        <w:rPr>
          <w:rFonts w:cs="Open Sans"/>
        </w:rPr>
        <w:t xml:space="preserve"> For example, </w:t>
      </w:r>
      <w:r w:rsidRPr="00E2364A">
        <w:rPr>
          <w:rFonts w:cs="Open Sans"/>
          <w:i/>
          <w:iCs/>
        </w:rPr>
        <w:t>Guardianship Act</w:t>
      </w:r>
      <w:r w:rsidRPr="00E2364A">
        <w:rPr>
          <w:rFonts w:cs="Open Sans"/>
        </w:rPr>
        <w:t xml:space="preserve"> 1987 (NSW) s 35.</w:t>
      </w:r>
    </w:p>
  </w:endnote>
  <w:endnote w:id="678">
    <w:p w:rsidRPr="00E2364A" w:rsidR="00452E54" w:rsidP="00452E54" w:rsidRDefault="00452E54" w14:paraId="7A6AC5C0" w14:textId="77777777">
      <w:pPr>
        <w:pStyle w:val="EndnoteText"/>
        <w:rPr>
          <w:rFonts w:cs="Open Sans"/>
          <w:lang w:val="en-US"/>
        </w:rPr>
      </w:pPr>
      <w:r w:rsidRPr="00E2364A">
        <w:rPr>
          <w:rStyle w:val="EndnoteReference"/>
          <w:rFonts w:cs="Open Sans"/>
        </w:rPr>
        <w:endnoteRef/>
      </w:r>
      <w:r w:rsidRPr="00E2364A">
        <w:rPr>
          <w:rFonts w:cs="Open Sans"/>
        </w:rPr>
        <w:t xml:space="preserve"> For example, </w:t>
      </w:r>
      <w:r w:rsidRPr="00E2364A">
        <w:rPr>
          <w:rFonts w:cs="Open Sans"/>
          <w:i/>
          <w:iCs/>
        </w:rPr>
        <w:t>Crimes Act 1900</w:t>
      </w:r>
      <w:r w:rsidRPr="00E2364A">
        <w:rPr>
          <w:rFonts w:cs="Open Sans"/>
        </w:rPr>
        <w:t xml:space="preserve"> (NSW) s 45. </w:t>
      </w:r>
    </w:p>
  </w:endnote>
  <w:endnote w:id="679">
    <w:p w:rsidRPr="00E2364A" w:rsidR="00452E54" w:rsidP="00452E54" w:rsidRDefault="00452E54" w14:paraId="6D315C0C" w14:textId="77777777">
      <w:pPr>
        <w:pStyle w:val="EndnoteText"/>
        <w:rPr>
          <w:rFonts w:cs="Open Sans"/>
        </w:rPr>
      </w:pPr>
      <w:r w:rsidRPr="00E2364A">
        <w:rPr>
          <w:rStyle w:val="EndnoteReference"/>
          <w:rFonts w:cs="Open Sans"/>
        </w:rPr>
        <w:endnoteRef/>
      </w:r>
      <w:r w:rsidRPr="00E2364A">
        <w:rPr>
          <w:rFonts w:cs="Open Sans"/>
        </w:rPr>
        <w:t xml:space="preserve"> See Ch</w:t>
      </w:r>
      <w:r>
        <w:rPr>
          <w:rFonts w:cs="Open Sans"/>
        </w:rPr>
        <w:t>apter</w:t>
      </w:r>
      <w:r w:rsidRPr="00E2364A">
        <w:rPr>
          <w:rFonts w:cs="Open Sans"/>
        </w:rPr>
        <w:t xml:space="preserve"> 6 </w:t>
      </w:r>
      <w:r>
        <w:rPr>
          <w:rFonts w:cs="Open Sans"/>
        </w:rPr>
        <w:t>– Clinical practice and new national guidelines.</w:t>
      </w:r>
    </w:p>
  </w:endnote>
  <w:endnote w:id="680">
    <w:p w:rsidRPr="00E2364A" w:rsidR="00452E54" w:rsidP="00452E54" w:rsidRDefault="00452E54" w14:paraId="19A51799" w14:textId="77777777">
      <w:pPr>
        <w:pStyle w:val="EndnoteText"/>
        <w:tabs>
          <w:tab w:val="left" w:pos="960"/>
        </w:tabs>
        <w:rPr>
          <w:rFonts w:cs="Open Sans"/>
          <w:lang w:val="en-US"/>
        </w:rPr>
      </w:pPr>
      <w:r w:rsidRPr="00E2364A">
        <w:rPr>
          <w:rStyle w:val="EndnoteReference"/>
          <w:rFonts w:cs="Open Sans"/>
        </w:rPr>
        <w:endnoteRef/>
      </w:r>
      <w:r w:rsidRPr="00E2364A">
        <w:rPr>
          <w:rFonts w:cs="Open Sans"/>
        </w:rPr>
        <w:t xml:space="preserve"> </w:t>
      </w:r>
      <w:r w:rsidRPr="00E2364A">
        <w:rPr>
          <w:rFonts w:cs="Open Sans"/>
          <w:i/>
          <w:iCs/>
          <w:lang w:val="en-US"/>
        </w:rPr>
        <w:t>Civil Liability Act 2002</w:t>
      </w:r>
      <w:r w:rsidRPr="00E2364A">
        <w:rPr>
          <w:rFonts w:cs="Open Sans"/>
          <w:lang w:val="en-US"/>
        </w:rPr>
        <w:t xml:space="preserve"> (NSW) s 5O.</w:t>
      </w:r>
    </w:p>
  </w:endnote>
  <w:endnote w:id="681">
    <w:p w:rsidRPr="00672C36" w:rsidR="00452E54" w:rsidP="00452E54" w:rsidRDefault="00452E54" w14:paraId="6D86F6F6" w14:textId="77777777">
      <w:pPr>
        <w:pStyle w:val="EndnoteText"/>
        <w:rPr>
          <w:rFonts w:cs="Open Sans"/>
        </w:rPr>
      </w:pPr>
      <w:r w:rsidRPr="00672C36">
        <w:rPr>
          <w:rStyle w:val="EndnoteReference"/>
          <w:rFonts w:cs="Open Sans"/>
        </w:rPr>
        <w:endnoteRef/>
      </w:r>
      <w:r w:rsidRPr="00672C36">
        <w:rPr>
          <w:rFonts w:cs="Open Sans"/>
        </w:rPr>
        <w:t xml:space="preserve"> </w:t>
      </w:r>
      <w:r w:rsidRPr="00672C36">
        <w:rPr>
          <w:rFonts w:cs="Open Sans"/>
          <w:i/>
        </w:rPr>
        <w:t>Convention on the Rights of the Child</w:t>
      </w:r>
      <w:r w:rsidRPr="00672C36">
        <w:rPr>
          <w:rFonts w:cs="Open Sans"/>
        </w:rPr>
        <w:t>, opened for signature 20 November 1989, 1577 UNTS 3 (entered into force 2 September 1990).</w:t>
      </w:r>
    </w:p>
  </w:endnote>
  <w:endnote w:id="682">
    <w:p w:rsidRPr="00672C36" w:rsidR="00452E54" w:rsidP="00452E54" w:rsidRDefault="00452E54" w14:paraId="6DBD25EA" w14:textId="77777777">
      <w:pPr>
        <w:pStyle w:val="EndnoteText"/>
        <w:rPr>
          <w:rFonts w:cs="Open Sans"/>
          <w:lang w:val="en-US"/>
        </w:rPr>
      </w:pPr>
      <w:r w:rsidRPr="00672C36">
        <w:rPr>
          <w:rStyle w:val="EndnoteReference"/>
          <w:rFonts w:cs="Open Sans"/>
        </w:rPr>
        <w:endnoteRef/>
      </w:r>
      <w:r w:rsidRPr="00672C36">
        <w:rPr>
          <w:rFonts w:cs="Open Sans"/>
        </w:rPr>
        <w:t xml:space="preserve"> </w:t>
      </w:r>
      <w:r w:rsidRPr="00672C36">
        <w:rPr>
          <w:rFonts w:cs="Open Sans"/>
          <w:lang w:val="en-US"/>
        </w:rPr>
        <w:t>See also Ch 3.</w:t>
      </w:r>
    </w:p>
  </w:endnote>
  <w:endnote w:id="683">
    <w:p w:rsidRPr="00672C36" w:rsidR="00452E54" w:rsidP="00452E54" w:rsidRDefault="00452E54" w14:paraId="0C64673D" w14:textId="77777777">
      <w:pPr>
        <w:pStyle w:val="EndnoteText"/>
        <w:rPr>
          <w:rFonts w:cs="Open Sans"/>
          <w:lang w:val="en-US"/>
        </w:rPr>
      </w:pPr>
      <w:r w:rsidRPr="00672C36">
        <w:rPr>
          <w:rStyle w:val="EndnoteReference"/>
          <w:rFonts w:cs="Open Sans"/>
        </w:rPr>
        <w:endnoteRef/>
      </w:r>
      <w:r w:rsidRPr="00672C36">
        <w:rPr>
          <w:rFonts w:cs="Open Sans"/>
        </w:rPr>
        <w:t xml:space="preserve"> </w:t>
      </w:r>
      <w:r w:rsidRPr="00672C36">
        <w:rPr>
          <w:rFonts w:cs="Open Sans"/>
          <w:i/>
        </w:rPr>
        <w:t>Convention on the Rights of the Child</w:t>
      </w:r>
      <w:r w:rsidRPr="00672C36">
        <w:rPr>
          <w:rFonts w:cs="Open Sans"/>
        </w:rPr>
        <w:t>, opened for signature 20 November 1989, 1577 UNTS 3 (entered into force 2 September 1990).</w:t>
      </w:r>
    </w:p>
  </w:endnote>
  <w:endnote w:id="684">
    <w:p w:rsidRPr="00672C36" w:rsidR="00452E54" w:rsidP="00452E54" w:rsidRDefault="00452E54" w14:paraId="02D951ED" w14:textId="77777777">
      <w:pPr>
        <w:pStyle w:val="EndnoteText"/>
        <w:rPr>
          <w:rFonts w:cs="Open Sans"/>
          <w:lang w:val="en-US"/>
        </w:rPr>
      </w:pPr>
      <w:r w:rsidRPr="00672C36">
        <w:rPr>
          <w:rStyle w:val="EndnoteReference"/>
          <w:rFonts w:cs="Open Sans"/>
        </w:rPr>
        <w:endnoteRef/>
      </w:r>
      <w:r w:rsidRPr="00672C36">
        <w:rPr>
          <w:rFonts w:cs="Open Sans"/>
        </w:rPr>
        <w:t xml:space="preserve"> </w:t>
      </w:r>
      <w:r w:rsidRPr="00672C36">
        <w:rPr>
          <w:rFonts w:cs="Open Sans"/>
          <w:lang w:val="en-US"/>
        </w:rPr>
        <w:t xml:space="preserve">NHMRC Funded Program, Submission 30, </w:t>
      </w:r>
      <w:r>
        <w:rPr>
          <w:rFonts w:cs="Open Sans"/>
          <w:i/>
          <w:iCs/>
        </w:rPr>
        <w:t>Intersex Inquiry</w:t>
      </w:r>
      <w:r>
        <w:rPr>
          <w:rFonts w:cs="Open Sans"/>
        </w:rPr>
        <w:t>,</w:t>
      </w:r>
      <w:r>
        <w:rPr>
          <w:rFonts w:cs="Open Sans"/>
          <w:i/>
          <w:iCs/>
        </w:rPr>
        <w:t xml:space="preserve"> </w:t>
      </w:r>
      <w:r w:rsidRPr="00672C36">
        <w:rPr>
          <w:rFonts w:cs="Open Sans"/>
          <w:lang w:val="en-US"/>
        </w:rPr>
        <w:t xml:space="preserve">3. </w:t>
      </w:r>
    </w:p>
  </w:endnote>
  <w:endnote w:id="685">
    <w:p w:rsidRPr="00672C36" w:rsidR="00452E54" w:rsidP="00452E54" w:rsidRDefault="00452E54" w14:paraId="66289E81" w14:textId="77777777">
      <w:pPr>
        <w:pStyle w:val="EndnoteText"/>
        <w:rPr>
          <w:rFonts w:cs="Open Sans"/>
          <w:lang w:val="en-US"/>
        </w:rPr>
      </w:pPr>
      <w:r w:rsidRPr="00672C36">
        <w:rPr>
          <w:rStyle w:val="EndnoteReference"/>
          <w:rFonts w:cs="Open Sans"/>
        </w:rPr>
        <w:endnoteRef/>
      </w:r>
      <w:r w:rsidRPr="00672C36">
        <w:rPr>
          <w:rFonts w:cs="Open Sans"/>
        </w:rPr>
        <w:t xml:space="preserve"> </w:t>
      </w:r>
      <w:r w:rsidRPr="00672C36">
        <w:rPr>
          <w:rFonts w:cs="Open Sans"/>
          <w:lang w:val="en-US"/>
        </w:rPr>
        <w:t>Submission 55,</w:t>
      </w:r>
      <w:r w:rsidRPr="001F3E65">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lang w:val="en-US"/>
        </w:rPr>
        <w:t xml:space="preserve">5. </w:t>
      </w:r>
    </w:p>
  </w:endnote>
  <w:endnote w:id="686">
    <w:p w:rsidRPr="00672C36" w:rsidR="00452E54" w:rsidP="00452E54" w:rsidRDefault="00452E54" w14:paraId="3F55978D" w14:textId="77777777">
      <w:pPr>
        <w:pStyle w:val="EndnoteText"/>
        <w:rPr>
          <w:rFonts w:cs="Open Sans"/>
          <w:lang w:val="en-US"/>
        </w:rPr>
      </w:pPr>
      <w:r w:rsidRPr="00672C36">
        <w:rPr>
          <w:rStyle w:val="EndnoteReference"/>
          <w:rFonts w:cs="Open Sans"/>
        </w:rPr>
        <w:endnoteRef/>
      </w:r>
      <w:r w:rsidRPr="00672C36">
        <w:rPr>
          <w:rFonts w:cs="Open Sans"/>
        </w:rPr>
        <w:t xml:space="preserve"> </w:t>
      </w:r>
      <w:r w:rsidRPr="00672C36">
        <w:rPr>
          <w:rFonts w:cs="Open Sans"/>
          <w:lang w:val="en-US"/>
        </w:rPr>
        <w:t xml:space="preserve">Submission 36, </w:t>
      </w:r>
      <w:r>
        <w:rPr>
          <w:rFonts w:cs="Open Sans"/>
          <w:i/>
          <w:iCs/>
        </w:rPr>
        <w:t>Intersex Inquiry</w:t>
      </w:r>
      <w:r>
        <w:rPr>
          <w:rFonts w:cs="Open Sans"/>
        </w:rPr>
        <w:t>,</w:t>
      </w:r>
      <w:r>
        <w:rPr>
          <w:rFonts w:cs="Open Sans"/>
          <w:i/>
          <w:iCs/>
        </w:rPr>
        <w:t xml:space="preserve"> </w:t>
      </w:r>
      <w:r w:rsidRPr="00672C36">
        <w:rPr>
          <w:rFonts w:cs="Open Sans"/>
          <w:lang w:val="en-US"/>
        </w:rPr>
        <w:t xml:space="preserve">10. </w:t>
      </w:r>
    </w:p>
  </w:endnote>
  <w:endnote w:id="687">
    <w:p w:rsidRPr="00672C36" w:rsidR="00452E54" w:rsidP="00452E54" w:rsidRDefault="00452E54" w14:paraId="51A3E126" w14:textId="77777777">
      <w:pPr>
        <w:pStyle w:val="EndnoteText"/>
        <w:rPr>
          <w:rFonts w:cs="Open Sans"/>
          <w:lang w:val="en-US"/>
        </w:rPr>
      </w:pPr>
      <w:r w:rsidRPr="00672C36">
        <w:rPr>
          <w:rStyle w:val="EndnoteReference"/>
          <w:rFonts w:cs="Open Sans"/>
        </w:rPr>
        <w:endnoteRef/>
      </w:r>
      <w:r w:rsidRPr="00672C36">
        <w:rPr>
          <w:rFonts w:cs="Open Sans"/>
        </w:rPr>
        <w:t xml:space="preserve"> </w:t>
      </w:r>
      <w:r w:rsidRPr="00672C36">
        <w:rPr>
          <w:rFonts w:cs="Open Sans"/>
          <w:lang w:val="en-US"/>
        </w:rPr>
        <w:t xml:space="preserve">Submission 36, </w:t>
      </w:r>
      <w:r>
        <w:rPr>
          <w:rFonts w:cs="Open Sans"/>
          <w:i/>
          <w:iCs/>
        </w:rPr>
        <w:t>Intersex Inquiry</w:t>
      </w:r>
      <w:r>
        <w:rPr>
          <w:rFonts w:cs="Open Sans"/>
        </w:rPr>
        <w:t>,</w:t>
      </w:r>
      <w:r>
        <w:rPr>
          <w:rFonts w:cs="Open Sans"/>
          <w:i/>
          <w:iCs/>
        </w:rPr>
        <w:t xml:space="preserve"> </w:t>
      </w:r>
      <w:r w:rsidRPr="00672C36">
        <w:rPr>
          <w:rFonts w:cs="Open Sans"/>
          <w:lang w:val="en-US"/>
        </w:rPr>
        <w:t>10.</w:t>
      </w:r>
    </w:p>
  </w:endnote>
  <w:endnote w:id="688">
    <w:p w:rsidRPr="00672C36" w:rsidR="00452E54" w:rsidP="00452E54" w:rsidRDefault="00452E54" w14:paraId="17016259" w14:textId="77777777">
      <w:pPr>
        <w:pStyle w:val="EndnoteText"/>
        <w:rPr>
          <w:rFonts w:cs="Open Sans"/>
        </w:rPr>
      </w:pPr>
      <w:r w:rsidRPr="00672C36">
        <w:rPr>
          <w:rStyle w:val="EndnoteReference"/>
          <w:rFonts w:cs="Open Sans"/>
        </w:rPr>
        <w:endnoteRef/>
      </w:r>
      <w:r w:rsidRPr="00672C36">
        <w:rPr>
          <w:rFonts w:cs="Open Sans"/>
        </w:rPr>
        <w:t xml:space="preserve"> Submission 25, </w:t>
      </w:r>
      <w:r>
        <w:rPr>
          <w:rFonts w:cs="Open Sans"/>
          <w:i/>
          <w:iCs/>
        </w:rPr>
        <w:t>Intersex Inquiry</w:t>
      </w:r>
      <w:r>
        <w:rPr>
          <w:rFonts w:cs="Open Sans"/>
        </w:rPr>
        <w:t>,</w:t>
      </w:r>
      <w:r>
        <w:rPr>
          <w:rFonts w:cs="Open Sans"/>
          <w:i/>
          <w:iCs/>
        </w:rPr>
        <w:t xml:space="preserve"> </w:t>
      </w:r>
      <w:r w:rsidRPr="00672C36">
        <w:rPr>
          <w:rFonts w:cs="Open Sans"/>
        </w:rPr>
        <w:t xml:space="preserve">6; Submission 55, </w:t>
      </w:r>
      <w:r>
        <w:rPr>
          <w:rFonts w:cs="Open Sans"/>
          <w:i/>
          <w:iCs/>
        </w:rPr>
        <w:t>Intersex Inquiry</w:t>
      </w:r>
      <w:r>
        <w:rPr>
          <w:rFonts w:cs="Open Sans"/>
        </w:rPr>
        <w:t>,</w:t>
      </w:r>
      <w:r>
        <w:rPr>
          <w:rFonts w:cs="Open Sans"/>
          <w:i/>
          <w:iCs/>
        </w:rPr>
        <w:t xml:space="preserve"> </w:t>
      </w:r>
      <w:r w:rsidRPr="00672C36">
        <w:rPr>
          <w:rFonts w:cs="Open Sans"/>
        </w:rPr>
        <w:t>12.</w:t>
      </w:r>
    </w:p>
  </w:endnote>
  <w:endnote w:id="689">
    <w:p w:rsidRPr="00672C36" w:rsidR="00452E54" w:rsidP="00452E54" w:rsidRDefault="00452E54" w14:paraId="2B26A742" w14:textId="77777777">
      <w:pPr>
        <w:pStyle w:val="EndnoteText"/>
        <w:rPr>
          <w:rFonts w:cs="Open Sans"/>
          <w:lang w:val="en-US"/>
        </w:rPr>
      </w:pPr>
      <w:r w:rsidRPr="00672C36">
        <w:rPr>
          <w:rStyle w:val="EndnoteReference"/>
          <w:rFonts w:cs="Open Sans"/>
        </w:rPr>
        <w:endnoteRef/>
      </w:r>
      <w:r w:rsidRPr="00672C36">
        <w:rPr>
          <w:rFonts w:cs="Open Sans"/>
        </w:rPr>
        <w:t xml:space="preserve"> Submission 36,</w:t>
      </w:r>
      <w:r w:rsidRPr="001F3E65">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 xml:space="preserve">29. </w:t>
      </w:r>
    </w:p>
  </w:endnote>
  <w:endnote w:id="690">
    <w:p w:rsidRPr="00672C36" w:rsidR="00452E54" w:rsidP="00452E54" w:rsidRDefault="00452E54" w14:paraId="04EB47ED" w14:textId="77777777">
      <w:pPr>
        <w:pStyle w:val="EndnoteText"/>
        <w:rPr>
          <w:rFonts w:cs="Open Sans"/>
        </w:rPr>
      </w:pPr>
      <w:r w:rsidRPr="00672C36">
        <w:rPr>
          <w:rStyle w:val="EndnoteReference"/>
          <w:rFonts w:cs="Open Sans"/>
        </w:rPr>
        <w:endnoteRef/>
      </w:r>
      <w:r w:rsidRPr="00672C36">
        <w:rPr>
          <w:rFonts w:cs="Open Sans"/>
        </w:rPr>
        <w:t xml:space="preserve"> Submission 52,</w:t>
      </w:r>
      <w:r w:rsidRPr="001F3E65">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 xml:space="preserve">5. </w:t>
      </w:r>
    </w:p>
  </w:endnote>
  <w:endnote w:id="691">
    <w:p w:rsidRPr="00672C36" w:rsidR="00452E54" w:rsidP="00452E54" w:rsidRDefault="00452E54" w14:paraId="5133045F" w14:textId="77777777">
      <w:pPr>
        <w:pStyle w:val="EndnoteText"/>
      </w:pPr>
      <w:r w:rsidRPr="00672C36">
        <w:rPr>
          <w:rStyle w:val="EndnoteReference"/>
        </w:rPr>
        <w:endnoteRef/>
      </w:r>
      <w:r w:rsidRPr="00672C36">
        <w:t xml:space="preserve"> Intersex Human Rights Australia, </w:t>
      </w:r>
      <w:r w:rsidRPr="00672C36">
        <w:rPr>
          <w:i/>
          <w:iCs/>
        </w:rPr>
        <w:t>Review of government, community and related resources in Victoria,</w:t>
      </w:r>
      <w:r w:rsidRPr="00672C36">
        <w:t xml:space="preserve"> 8 July 2021 &lt;https://ihra.org.au/38693/review-resources-victoria/&gt;</w:t>
      </w:r>
    </w:p>
  </w:endnote>
  <w:endnote w:id="692">
    <w:p w:rsidRPr="00672C36" w:rsidR="00452E54" w:rsidP="00452E54" w:rsidRDefault="00452E54" w14:paraId="2D3B8FF9" w14:textId="77777777">
      <w:pPr>
        <w:pStyle w:val="EndnoteText"/>
        <w:rPr>
          <w:rFonts w:cs="Open Sans"/>
        </w:rPr>
      </w:pPr>
      <w:r w:rsidRPr="00672C36">
        <w:rPr>
          <w:rStyle w:val="EndnoteReference"/>
          <w:rFonts w:cs="Open Sans"/>
        </w:rPr>
        <w:endnoteRef/>
      </w:r>
      <w:r w:rsidRPr="00672C36">
        <w:rPr>
          <w:rFonts w:cs="Open Sans"/>
        </w:rPr>
        <w:t xml:space="preserve"> NHRMC Funded Program, Submission 30, </w:t>
      </w:r>
      <w:r>
        <w:rPr>
          <w:rFonts w:cs="Open Sans"/>
          <w:i/>
          <w:iCs/>
        </w:rPr>
        <w:t>Intersex Inquiry</w:t>
      </w:r>
      <w:r>
        <w:rPr>
          <w:rFonts w:cs="Open Sans"/>
        </w:rPr>
        <w:t>,</w:t>
      </w:r>
      <w:r>
        <w:rPr>
          <w:rFonts w:cs="Open Sans"/>
          <w:i/>
          <w:iCs/>
        </w:rPr>
        <w:t xml:space="preserve"> </w:t>
      </w:r>
      <w:r w:rsidRPr="00672C36">
        <w:rPr>
          <w:rFonts w:cs="Open Sans"/>
        </w:rPr>
        <w:t>2.</w:t>
      </w:r>
    </w:p>
  </w:endnote>
  <w:endnote w:id="693">
    <w:p w:rsidRPr="00672C36" w:rsidR="00452E54" w:rsidP="00452E54" w:rsidRDefault="00452E54" w14:paraId="610F06AB" w14:textId="77777777">
      <w:pPr>
        <w:pStyle w:val="EndnoteText"/>
        <w:rPr>
          <w:rFonts w:cs="Open Sans"/>
        </w:rPr>
      </w:pPr>
      <w:r w:rsidRPr="00672C36">
        <w:rPr>
          <w:rStyle w:val="EndnoteReference"/>
          <w:rFonts w:cs="Open Sans"/>
        </w:rPr>
        <w:endnoteRef/>
      </w:r>
      <w:r w:rsidRPr="00672C36">
        <w:rPr>
          <w:rFonts w:cs="Open Sans"/>
        </w:rPr>
        <w:t xml:space="preserve"> Submission 52,</w:t>
      </w:r>
      <w:r w:rsidRPr="00816C50">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 xml:space="preserve">4; Submission 33, </w:t>
      </w:r>
      <w:r>
        <w:rPr>
          <w:rFonts w:cs="Open Sans"/>
          <w:i/>
          <w:iCs/>
        </w:rPr>
        <w:t>Intersex Inquiry</w:t>
      </w:r>
      <w:r>
        <w:rPr>
          <w:rFonts w:cs="Open Sans"/>
        </w:rPr>
        <w:t>,</w:t>
      </w:r>
      <w:r>
        <w:rPr>
          <w:rFonts w:cs="Open Sans"/>
          <w:i/>
          <w:iCs/>
        </w:rPr>
        <w:t xml:space="preserve"> </w:t>
      </w:r>
      <w:r w:rsidRPr="00672C36">
        <w:rPr>
          <w:rFonts w:cs="Open Sans"/>
        </w:rPr>
        <w:t xml:space="preserve">1. </w:t>
      </w:r>
    </w:p>
  </w:endnote>
  <w:endnote w:id="694">
    <w:p w:rsidRPr="00672C36" w:rsidR="00452E54" w:rsidP="00452E54" w:rsidRDefault="00452E54" w14:paraId="187FA557" w14:textId="77777777">
      <w:pPr>
        <w:pStyle w:val="EndnoteText"/>
        <w:rPr>
          <w:rFonts w:cs="Open Sans"/>
        </w:rPr>
      </w:pPr>
      <w:r w:rsidRPr="00672C36">
        <w:rPr>
          <w:rStyle w:val="EndnoteReference"/>
          <w:rFonts w:cs="Open Sans"/>
        </w:rPr>
        <w:endnoteRef/>
      </w:r>
      <w:r w:rsidRPr="00672C36">
        <w:rPr>
          <w:rFonts w:cs="Open Sans"/>
        </w:rPr>
        <w:t xml:space="preserve"> </w:t>
      </w:r>
      <w:r w:rsidRPr="00672C36">
        <w:rPr>
          <w:rStyle w:val="normaltextrun"/>
          <w:rFonts w:cs="Open Sans"/>
          <w:color w:val="000000"/>
          <w:shd w:val="clear" w:color="auto" w:fill="FFFFFF"/>
        </w:rPr>
        <w:t>T </w:t>
      </w:r>
      <w:r w:rsidRPr="00672C36">
        <w:rPr>
          <w:rStyle w:val="findhit"/>
          <w:rFonts w:cs="Open Sans"/>
          <w:color w:val="000000"/>
          <w:shd w:val="clear" w:color="auto" w:fill="FFFFFF"/>
        </w:rPr>
        <w:t>Jones</w:t>
      </w:r>
      <w:r w:rsidRPr="00672C36">
        <w:rPr>
          <w:rStyle w:val="normaltextrun"/>
          <w:rFonts w:cs="Open Sans"/>
          <w:color w:val="000000"/>
          <w:shd w:val="clear" w:color="auto" w:fill="FFFFFF"/>
        </w:rPr>
        <w:t>, B Hart, M Carpenter, G Ansara, W Leonard and J Lucke, </w:t>
      </w:r>
      <w:r w:rsidRPr="00672C36">
        <w:rPr>
          <w:rStyle w:val="normaltextrun"/>
          <w:rFonts w:cs="Open Sans"/>
          <w:i/>
          <w:iCs/>
          <w:color w:val="000000"/>
          <w:shd w:val="clear" w:color="auto" w:fill="FFFFFF"/>
        </w:rPr>
        <w:t>Intersex: Stories and statistics from Australia</w:t>
      </w:r>
      <w:r w:rsidRPr="00672C36">
        <w:rPr>
          <w:rStyle w:val="normaltextrun"/>
          <w:rFonts w:cs="Open Sans"/>
          <w:color w:val="000000"/>
          <w:shd w:val="clear" w:color="auto" w:fill="FFFFFF"/>
        </w:rPr>
        <w:t> (Open Book Publishers, 2016) &lt;</w:t>
      </w:r>
      <w:hyperlink w:tgtFrame="_blank" w:history="1" r:id="rId55">
        <w:r w:rsidRPr="00672C36">
          <w:rPr>
            <w:rStyle w:val="normaltextrun"/>
            <w:rFonts w:cs="Open Sans"/>
            <w:color w:val="0000FF"/>
            <w:shd w:val="clear" w:color="auto" w:fill="FFFFFF"/>
          </w:rPr>
          <w:t>https://research-management.mq.edu.au/ws/portalfiles/portal/83835078/72593734.pdf</w:t>
        </w:r>
      </w:hyperlink>
      <w:r w:rsidRPr="00672C36">
        <w:rPr>
          <w:rStyle w:val="normaltextrun"/>
          <w:rFonts w:cs="Open Sans"/>
          <w:color w:val="0000FF"/>
          <w:shd w:val="clear" w:color="auto" w:fill="FFFFFF"/>
        </w:rPr>
        <w:t>&gt;.</w:t>
      </w:r>
      <w:r w:rsidRPr="00672C36">
        <w:rPr>
          <w:rStyle w:val="eop"/>
          <w:rFonts w:cs="Open Sans"/>
          <w:color w:val="0000FF"/>
          <w:shd w:val="clear" w:color="auto" w:fill="FFFFFF"/>
        </w:rPr>
        <w:t> </w:t>
      </w:r>
    </w:p>
  </w:endnote>
  <w:endnote w:id="695">
    <w:p w:rsidRPr="00672C36" w:rsidR="00452E54" w:rsidP="00452E54" w:rsidRDefault="00452E54" w14:paraId="73F6BE90" w14:textId="77777777">
      <w:pPr>
        <w:pStyle w:val="EndnoteText"/>
        <w:rPr>
          <w:rFonts w:cs="Open Sans"/>
        </w:rPr>
      </w:pPr>
      <w:r w:rsidRPr="00672C36">
        <w:rPr>
          <w:rStyle w:val="EndnoteReference"/>
          <w:rFonts w:cs="Open Sans"/>
        </w:rPr>
        <w:endnoteRef/>
      </w:r>
      <w:r w:rsidRPr="00672C36">
        <w:rPr>
          <w:rFonts w:cs="Open Sans"/>
        </w:rPr>
        <w:t xml:space="preserve"> Submission 32,</w:t>
      </w:r>
      <w:r w:rsidRPr="00462B4B">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 xml:space="preserve">10; Submission 41, </w:t>
      </w:r>
      <w:r>
        <w:rPr>
          <w:rFonts w:cs="Open Sans"/>
          <w:i/>
          <w:iCs/>
        </w:rPr>
        <w:t>Intersex Inquiry</w:t>
      </w:r>
      <w:r>
        <w:rPr>
          <w:rFonts w:cs="Open Sans"/>
        </w:rPr>
        <w:t>,</w:t>
      </w:r>
      <w:r>
        <w:rPr>
          <w:rFonts w:cs="Open Sans"/>
          <w:i/>
          <w:iCs/>
        </w:rPr>
        <w:t xml:space="preserve"> </w:t>
      </w:r>
      <w:r w:rsidRPr="00672C36">
        <w:rPr>
          <w:rFonts w:cs="Open Sans"/>
        </w:rPr>
        <w:t xml:space="preserve">4; Submission 45, </w:t>
      </w:r>
      <w:r>
        <w:rPr>
          <w:rFonts w:cs="Open Sans"/>
          <w:i/>
          <w:iCs/>
        </w:rPr>
        <w:t>Intersex Inquiry</w:t>
      </w:r>
      <w:r>
        <w:rPr>
          <w:rFonts w:cs="Open Sans"/>
        </w:rPr>
        <w:t>,</w:t>
      </w:r>
      <w:r>
        <w:rPr>
          <w:rFonts w:cs="Open Sans"/>
          <w:i/>
          <w:iCs/>
        </w:rPr>
        <w:t xml:space="preserve"> </w:t>
      </w:r>
      <w:r w:rsidRPr="00672C36">
        <w:rPr>
          <w:rFonts w:cs="Open Sans"/>
        </w:rPr>
        <w:t xml:space="preserve">5; Submission 54, </w:t>
      </w:r>
      <w:r>
        <w:rPr>
          <w:rFonts w:cs="Open Sans"/>
          <w:i/>
          <w:iCs/>
        </w:rPr>
        <w:t>Intersex Inquiry</w:t>
      </w:r>
      <w:r>
        <w:rPr>
          <w:rFonts w:cs="Open Sans"/>
        </w:rPr>
        <w:t>,</w:t>
      </w:r>
      <w:r>
        <w:rPr>
          <w:rFonts w:cs="Open Sans"/>
          <w:i/>
          <w:iCs/>
        </w:rPr>
        <w:t xml:space="preserve"> </w:t>
      </w:r>
      <w:r w:rsidRPr="00672C36">
        <w:rPr>
          <w:rFonts w:cs="Open Sans"/>
        </w:rPr>
        <w:t xml:space="preserve">8; Submission 55, </w:t>
      </w:r>
      <w:r>
        <w:rPr>
          <w:rFonts w:cs="Open Sans"/>
          <w:i/>
          <w:iCs/>
        </w:rPr>
        <w:t>Intersex Inquiry</w:t>
      </w:r>
      <w:r>
        <w:rPr>
          <w:rFonts w:cs="Open Sans"/>
        </w:rPr>
        <w:t>,</w:t>
      </w:r>
      <w:r>
        <w:rPr>
          <w:rFonts w:cs="Open Sans"/>
          <w:i/>
          <w:iCs/>
        </w:rPr>
        <w:t xml:space="preserve"> </w:t>
      </w:r>
      <w:r w:rsidRPr="00672C36">
        <w:rPr>
          <w:rFonts w:cs="Open Sans"/>
        </w:rPr>
        <w:t xml:space="preserve">6. </w:t>
      </w:r>
    </w:p>
  </w:endnote>
  <w:endnote w:id="696">
    <w:p w:rsidRPr="00672C36" w:rsidR="00452E54" w:rsidP="00452E54" w:rsidRDefault="00452E54" w14:paraId="5BF990D9" w14:textId="77777777">
      <w:pPr>
        <w:pStyle w:val="EndnoteText"/>
        <w:rPr>
          <w:rFonts w:cs="Open Sans"/>
        </w:rPr>
      </w:pPr>
      <w:r w:rsidRPr="00672C36">
        <w:rPr>
          <w:rStyle w:val="EndnoteReference"/>
          <w:rFonts w:cs="Open Sans"/>
        </w:rPr>
        <w:endnoteRef/>
      </w:r>
      <w:r w:rsidRPr="00672C36">
        <w:rPr>
          <w:rFonts w:cs="Open Sans"/>
        </w:rPr>
        <w:t xml:space="preserve"> Submission 36, </w:t>
      </w:r>
      <w:r>
        <w:rPr>
          <w:rFonts w:cs="Open Sans"/>
          <w:i/>
          <w:iCs/>
        </w:rPr>
        <w:t>Intersex Inquiry</w:t>
      </w:r>
      <w:r>
        <w:rPr>
          <w:rFonts w:cs="Open Sans"/>
        </w:rPr>
        <w:t>,</w:t>
      </w:r>
      <w:r>
        <w:rPr>
          <w:rFonts w:cs="Open Sans"/>
          <w:i/>
          <w:iCs/>
        </w:rPr>
        <w:t xml:space="preserve"> </w:t>
      </w:r>
      <w:r w:rsidRPr="00672C36">
        <w:rPr>
          <w:rFonts w:cs="Open Sans"/>
        </w:rPr>
        <w:t xml:space="preserve">29. </w:t>
      </w:r>
    </w:p>
  </w:endnote>
  <w:endnote w:id="697">
    <w:p w:rsidRPr="00672C36" w:rsidR="00452E54" w:rsidP="00452E54" w:rsidRDefault="00452E54" w14:paraId="1036BC76" w14:textId="77777777">
      <w:pPr>
        <w:pStyle w:val="EndnoteText"/>
        <w:rPr>
          <w:rFonts w:cs="Open Sans"/>
        </w:rPr>
      </w:pPr>
      <w:r w:rsidRPr="00672C36">
        <w:rPr>
          <w:rStyle w:val="EndnoteReference"/>
          <w:rFonts w:cs="Open Sans"/>
        </w:rPr>
        <w:endnoteRef/>
      </w:r>
      <w:r w:rsidRPr="00672C36">
        <w:rPr>
          <w:rFonts w:cs="Open Sans"/>
        </w:rPr>
        <w:t xml:space="preserve"> Submission 68,</w:t>
      </w:r>
      <w:r w:rsidRPr="006B2372">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 xml:space="preserve">2. </w:t>
      </w:r>
    </w:p>
  </w:endnote>
  <w:endnote w:id="698">
    <w:p w:rsidRPr="00672C36" w:rsidR="00452E54" w:rsidP="00452E54" w:rsidRDefault="00452E54" w14:paraId="1EE8B65D" w14:textId="77777777">
      <w:pPr>
        <w:pStyle w:val="EndnoteText"/>
        <w:rPr>
          <w:rFonts w:cs="Open Sans"/>
          <w:lang w:val="en-US"/>
        </w:rPr>
      </w:pPr>
      <w:r w:rsidRPr="00672C36">
        <w:rPr>
          <w:rStyle w:val="EndnoteReference"/>
          <w:rFonts w:cs="Open Sans"/>
        </w:rPr>
        <w:endnoteRef/>
      </w:r>
      <w:r w:rsidRPr="00672C36">
        <w:rPr>
          <w:rFonts w:cs="Open Sans"/>
        </w:rPr>
        <w:t xml:space="preserve"> Submission 45, </w:t>
      </w:r>
      <w:r>
        <w:rPr>
          <w:rFonts w:cs="Open Sans"/>
          <w:i/>
          <w:iCs/>
        </w:rPr>
        <w:t>Intersex Inquiry</w:t>
      </w:r>
      <w:r>
        <w:rPr>
          <w:rFonts w:cs="Open Sans"/>
        </w:rPr>
        <w:t>,</w:t>
      </w:r>
      <w:r>
        <w:rPr>
          <w:rFonts w:cs="Open Sans"/>
          <w:i/>
          <w:iCs/>
        </w:rPr>
        <w:t xml:space="preserve"> </w:t>
      </w:r>
      <w:r w:rsidRPr="00672C36">
        <w:rPr>
          <w:rFonts w:cs="Open Sans"/>
        </w:rPr>
        <w:t>10, citing Jones et al, 2016.</w:t>
      </w:r>
    </w:p>
  </w:endnote>
  <w:endnote w:id="699">
    <w:p w:rsidRPr="00672C36" w:rsidR="00452E54" w:rsidP="00452E54" w:rsidRDefault="00452E54" w14:paraId="60A8C9CD" w14:textId="77777777">
      <w:pPr>
        <w:pStyle w:val="EndnoteText"/>
        <w:rPr>
          <w:rFonts w:cs="Open Sans"/>
          <w:lang w:val="en-US"/>
        </w:rPr>
      </w:pPr>
      <w:r w:rsidRPr="00672C36">
        <w:rPr>
          <w:rStyle w:val="EndnoteReference"/>
          <w:rFonts w:cs="Open Sans"/>
        </w:rPr>
        <w:endnoteRef/>
      </w:r>
      <w:r w:rsidRPr="00672C36">
        <w:rPr>
          <w:rFonts w:cs="Open Sans"/>
        </w:rPr>
        <w:t xml:space="preserve"> </w:t>
      </w:r>
      <w:r w:rsidRPr="00672C36">
        <w:rPr>
          <w:rFonts w:cs="Open Sans"/>
          <w:lang w:val="en-US"/>
        </w:rPr>
        <w:t xml:space="preserve">See </w:t>
      </w:r>
      <w:r w:rsidRPr="009C3364">
        <w:rPr>
          <w:rFonts w:cs="Open Sans"/>
          <w:lang w:val="en-US"/>
        </w:rPr>
        <w:t>Rec 4.1(d): ‘</w:t>
      </w:r>
      <w:r w:rsidRPr="00672C36">
        <w:rPr>
          <w:rFonts w:cs="Open Sans"/>
        </w:rPr>
        <w:t>Treating practitioners refer people born with variations in sex characteristics, and where relevant their families, to peer support and advocacy organisations, and services such as psychologists and social workers, who can provide further information to help inform their decision-making</w:t>
      </w:r>
      <w:r>
        <w:rPr>
          <w:rFonts w:cs="Open Sans"/>
        </w:rPr>
        <w:t>.</w:t>
      </w:r>
    </w:p>
  </w:endnote>
  <w:endnote w:id="700">
    <w:p w:rsidRPr="00672C36" w:rsidR="00452E54" w:rsidP="00452E54" w:rsidRDefault="00452E54" w14:paraId="4652AA45" w14:textId="77777777">
      <w:pPr>
        <w:pStyle w:val="EndnoteText"/>
        <w:rPr>
          <w:rFonts w:cs="Open Sans"/>
          <w:lang w:val="en-US"/>
        </w:rPr>
      </w:pPr>
      <w:r w:rsidRPr="00672C36">
        <w:rPr>
          <w:rStyle w:val="EndnoteReference"/>
          <w:rFonts w:cs="Open Sans"/>
        </w:rPr>
        <w:endnoteRef/>
      </w:r>
      <w:r w:rsidRPr="00672C36">
        <w:rPr>
          <w:rFonts w:cs="Open Sans"/>
        </w:rPr>
        <w:t xml:space="preserve"> </w:t>
      </w:r>
      <w:r w:rsidRPr="00672C36">
        <w:rPr>
          <w:rFonts w:cs="Open Sans"/>
          <w:lang w:val="en-US"/>
        </w:rPr>
        <w:t xml:space="preserve">The World Health Organization, </w:t>
      </w:r>
      <w:r w:rsidRPr="00672C36">
        <w:rPr>
          <w:rFonts w:cs="Open Sans"/>
          <w:i/>
          <w:lang w:val="en-US"/>
        </w:rPr>
        <w:t>Mental Health Action Plan 2013-2020</w:t>
      </w:r>
      <w:r w:rsidRPr="00672C36">
        <w:rPr>
          <w:rFonts w:cs="Open Sans"/>
          <w:lang w:val="en-US"/>
        </w:rPr>
        <w:t>, p14</w:t>
      </w:r>
      <w:r>
        <w:rPr>
          <w:rFonts w:cs="Open Sans"/>
          <w:lang w:val="en-US"/>
        </w:rPr>
        <w:t>.</w:t>
      </w:r>
    </w:p>
  </w:endnote>
  <w:endnote w:id="701">
    <w:p w:rsidRPr="00672C36" w:rsidR="00452E54" w:rsidP="00452E54" w:rsidRDefault="00452E54" w14:paraId="6C5AE903" w14:textId="77777777">
      <w:pPr>
        <w:pStyle w:val="EndnoteText"/>
        <w:rPr>
          <w:rFonts w:cs="Open Sans"/>
          <w:lang w:val="en-US"/>
        </w:rPr>
      </w:pPr>
      <w:r w:rsidRPr="00672C36">
        <w:rPr>
          <w:rStyle w:val="EndnoteReference"/>
          <w:rFonts w:cs="Open Sans"/>
        </w:rPr>
        <w:endnoteRef/>
      </w:r>
      <w:r w:rsidRPr="00672C36">
        <w:rPr>
          <w:rFonts w:cs="Open Sans"/>
        </w:rPr>
        <w:t xml:space="preserve"> Peter A. Lee et al, ‘Global Disorders of Sex Development Update since 2006: Perceptions, Approach and Care’ (2016) 85 </w:t>
      </w:r>
      <w:r w:rsidRPr="00672C36">
        <w:rPr>
          <w:rFonts w:cs="Open Sans"/>
          <w:i/>
        </w:rPr>
        <w:t>Hormone Research in Paediatrics</w:t>
      </w:r>
      <w:r w:rsidRPr="00672C36">
        <w:rPr>
          <w:rFonts w:cs="Open Sans"/>
        </w:rPr>
        <w:t xml:space="preserve"> 160.</w:t>
      </w:r>
    </w:p>
  </w:endnote>
  <w:endnote w:id="702">
    <w:p w:rsidRPr="00672C36" w:rsidR="00452E54" w:rsidP="00452E54" w:rsidRDefault="00452E54" w14:paraId="76AA1105" w14:textId="77777777">
      <w:pPr>
        <w:pStyle w:val="EndnoteText"/>
        <w:rPr>
          <w:rFonts w:cs="Open Sans"/>
          <w:lang w:val="en-US"/>
        </w:rPr>
      </w:pPr>
      <w:r w:rsidRPr="00672C36">
        <w:rPr>
          <w:rStyle w:val="EndnoteReference"/>
          <w:rFonts w:cs="Open Sans"/>
        </w:rPr>
        <w:endnoteRef/>
      </w:r>
      <w:r w:rsidRPr="00672C36">
        <w:rPr>
          <w:rFonts w:cs="Open Sans"/>
        </w:rPr>
        <w:t xml:space="preserve"> </w:t>
      </w:r>
      <w:r w:rsidRPr="00672C36">
        <w:rPr>
          <w:rFonts w:cs="Open Sans"/>
          <w:lang w:val="en-US"/>
        </w:rPr>
        <w:t>See Chapter 3</w:t>
      </w:r>
      <w:r>
        <w:rPr>
          <w:rFonts w:cs="Open Sans"/>
          <w:lang w:val="en-US"/>
        </w:rPr>
        <w:t xml:space="preserve"> </w:t>
      </w:r>
      <w:r w:rsidRPr="00672C36">
        <w:rPr>
          <w:rFonts w:cs="Open Sans"/>
          <w:lang w:val="en-US"/>
        </w:rPr>
        <w:t>– Lived experience.</w:t>
      </w:r>
    </w:p>
  </w:endnote>
  <w:endnote w:id="703">
    <w:p w:rsidRPr="00672C36" w:rsidR="00452E54" w:rsidP="00452E54" w:rsidRDefault="00452E54" w14:paraId="755BF39C" w14:textId="77777777">
      <w:pPr>
        <w:pStyle w:val="EndnoteText"/>
        <w:rPr>
          <w:rFonts w:cs="Open Sans"/>
        </w:rPr>
      </w:pPr>
      <w:r w:rsidRPr="00672C36">
        <w:rPr>
          <w:rStyle w:val="EndnoteReference"/>
          <w:rFonts w:cs="Open Sans"/>
        </w:rPr>
        <w:endnoteRef/>
      </w:r>
      <w:r w:rsidRPr="00672C36">
        <w:rPr>
          <w:rFonts w:cs="Open Sans"/>
        </w:rPr>
        <w:t xml:space="preserve"> Australasian Paediatric Endocrine Group, Submission 20,</w:t>
      </w:r>
      <w:r w:rsidRPr="0001177A">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10; Submission 25,</w:t>
      </w:r>
      <w:r w:rsidRPr="0001177A">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 xml:space="preserve">5; Royal Australian and New Zealand College of Psychiatrists, Submission 26, </w:t>
      </w:r>
      <w:r>
        <w:rPr>
          <w:rFonts w:cs="Open Sans"/>
          <w:i/>
          <w:iCs/>
        </w:rPr>
        <w:t>Intersex Inquiry</w:t>
      </w:r>
      <w:r>
        <w:rPr>
          <w:rFonts w:cs="Open Sans"/>
        </w:rPr>
        <w:t>,</w:t>
      </w:r>
      <w:r>
        <w:rPr>
          <w:rFonts w:cs="Open Sans"/>
          <w:i/>
          <w:iCs/>
        </w:rPr>
        <w:t xml:space="preserve"> </w:t>
      </w:r>
      <w:r w:rsidRPr="00672C36">
        <w:rPr>
          <w:rFonts w:cs="Open Sans"/>
        </w:rPr>
        <w:t>2; Submission 36,</w:t>
      </w:r>
      <w:r w:rsidRPr="0001177A">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 xml:space="preserve">33–34; Submission 41, </w:t>
      </w:r>
      <w:r>
        <w:rPr>
          <w:rFonts w:cs="Open Sans"/>
          <w:i/>
          <w:iCs/>
        </w:rPr>
        <w:t>Intersex Inquiry</w:t>
      </w:r>
      <w:r>
        <w:rPr>
          <w:rFonts w:cs="Open Sans"/>
        </w:rPr>
        <w:t>,</w:t>
      </w:r>
      <w:r>
        <w:rPr>
          <w:rFonts w:cs="Open Sans"/>
          <w:i/>
          <w:iCs/>
        </w:rPr>
        <w:t xml:space="preserve"> </w:t>
      </w:r>
      <w:r w:rsidRPr="00672C36">
        <w:rPr>
          <w:rFonts w:cs="Open Sans"/>
        </w:rPr>
        <w:t>4; Submission 45,</w:t>
      </w:r>
      <w:r w:rsidRPr="0001177A">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3; Submission 50,</w:t>
      </w:r>
      <w:r w:rsidRPr="0001177A">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4; Submission 60,</w:t>
      </w:r>
      <w:r w:rsidRPr="00CE38FC">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A Gender Agenda</w:t>
      </w:r>
      <w:r>
        <w:rPr>
          <w:rFonts w:cs="Open Sans"/>
        </w:rPr>
        <w:t>,</w:t>
      </w:r>
      <w:r w:rsidRPr="00672C36">
        <w:rPr>
          <w:rFonts w:cs="Open Sans"/>
        </w:rPr>
        <w:t xml:space="preserve"> Submission 52, </w:t>
      </w:r>
      <w:r>
        <w:rPr>
          <w:rFonts w:cs="Open Sans"/>
          <w:i/>
          <w:iCs/>
        </w:rPr>
        <w:t>Intersex Inquiry</w:t>
      </w:r>
      <w:r>
        <w:rPr>
          <w:rFonts w:cs="Open Sans"/>
        </w:rPr>
        <w:t>,</w:t>
      </w:r>
      <w:r>
        <w:rPr>
          <w:rFonts w:cs="Open Sans"/>
          <w:i/>
          <w:iCs/>
        </w:rPr>
        <w:t xml:space="preserve"> </w:t>
      </w:r>
      <w:r w:rsidRPr="00672C36">
        <w:rPr>
          <w:rFonts w:cs="Open Sans"/>
        </w:rPr>
        <w:t xml:space="preserve">10-11; Submission 55, </w:t>
      </w:r>
      <w:r>
        <w:rPr>
          <w:rFonts w:cs="Open Sans"/>
          <w:i/>
          <w:iCs/>
        </w:rPr>
        <w:t>Intersex Inquiry</w:t>
      </w:r>
      <w:r>
        <w:rPr>
          <w:rFonts w:cs="Open Sans"/>
        </w:rPr>
        <w:t>,</w:t>
      </w:r>
      <w:r>
        <w:rPr>
          <w:rFonts w:cs="Open Sans"/>
          <w:i/>
          <w:iCs/>
        </w:rPr>
        <w:t xml:space="preserve"> </w:t>
      </w:r>
      <w:r w:rsidRPr="00672C36">
        <w:rPr>
          <w:rFonts w:cs="Open Sans"/>
        </w:rPr>
        <w:t xml:space="preserve">6, 12; Submission 56, </w:t>
      </w:r>
      <w:r>
        <w:rPr>
          <w:rFonts w:cs="Open Sans"/>
          <w:i/>
          <w:iCs/>
        </w:rPr>
        <w:t>Intersex Inquiry</w:t>
      </w:r>
      <w:r>
        <w:rPr>
          <w:rFonts w:cs="Open Sans"/>
        </w:rPr>
        <w:t>,</w:t>
      </w:r>
      <w:r>
        <w:rPr>
          <w:rFonts w:cs="Open Sans"/>
          <w:i/>
          <w:iCs/>
        </w:rPr>
        <w:t xml:space="preserve"> </w:t>
      </w:r>
      <w:r w:rsidRPr="00672C36">
        <w:rPr>
          <w:rFonts w:cs="Open Sans"/>
        </w:rPr>
        <w:t>9; Submission 60</w:t>
      </w:r>
      <w:r>
        <w:rPr>
          <w:rFonts w:cs="Open Sans"/>
        </w:rPr>
        <w:t>,</w:t>
      </w:r>
      <w:r>
        <w:rPr>
          <w:rFonts w:cs="Open Sans"/>
          <w:i/>
          <w:iCs/>
        </w:rPr>
        <w:t>Intersex Inquiry</w:t>
      </w:r>
      <w:r w:rsidRPr="00672C36">
        <w:rPr>
          <w:rFonts w:cs="Open Sans"/>
        </w:rPr>
        <w:t xml:space="preserve">. This should also allow for opportunities for peer workers and peer organisations to build capability to provide professional services:  Submission 70, </w:t>
      </w:r>
      <w:r>
        <w:rPr>
          <w:rFonts w:cs="Open Sans"/>
          <w:i/>
          <w:iCs/>
        </w:rPr>
        <w:t>Intersex Inquiry</w:t>
      </w:r>
      <w:r>
        <w:rPr>
          <w:rFonts w:cs="Open Sans"/>
        </w:rPr>
        <w:t>,</w:t>
      </w:r>
      <w:r>
        <w:rPr>
          <w:rFonts w:cs="Open Sans"/>
          <w:i/>
          <w:iCs/>
        </w:rPr>
        <w:t xml:space="preserve"> </w:t>
      </w:r>
      <w:r w:rsidRPr="00672C36">
        <w:rPr>
          <w:rFonts w:cs="Open Sans"/>
        </w:rPr>
        <w:t>2. See also Darlington Statement, paragraphs 27, 43 and 45.</w:t>
      </w:r>
    </w:p>
  </w:endnote>
  <w:endnote w:id="704">
    <w:p w:rsidRPr="00672C36" w:rsidR="00452E54" w:rsidP="00452E54" w:rsidRDefault="00452E54" w14:paraId="639D9F2E" w14:textId="77777777">
      <w:pPr>
        <w:pStyle w:val="EndnoteText"/>
        <w:rPr>
          <w:rFonts w:cs="Open Sans"/>
          <w:lang w:val="en-US"/>
        </w:rPr>
      </w:pPr>
      <w:r w:rsidRPr="00672C36">
        <w:rPr>
          <w:rStyle w:val="EndnoteReference"/>
          <w:rFonts w:cs="Open Sans"/>
        </w:rPr>
        <w:endnoteRef/>
      </w:r>
      <w:r w:rsidRPr="00672C36">
        <w:rPr>
          <w:rFonts w:cs="Open Sans"/>
        </w:rPr>
        <w:t xml:space="preserve"> </w:t>
      </w:r>
      <w:r w:rsidRPr="00672C36">
        <w:rPr>
          <w:rFonts w:cs="Open Sans"/>
          <w:lang w:val="en-US"/>
        </w:rPr>
        <w:t>Submission 36,</w:t>
      </w:r>
      <w:r w:rsidRPr="00AF28BC">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lang w:val="en-US"/>
        </w:rPr>
        <w:t>35; Submission 25,</w:t>
      </w:r>
      <w:r w:rsidRPr="004806F9">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lang w:val="en-US"/>
        </w:rPr>
        <w:t xml:space="preserve">5. </w:t>
      </w:r>
    </w:p>
  </w:endnote>
  <w:endnote w:id="705">
    <w:p w:rsidRPr="00672C36" w:rsidR="00452E54" w:rsidP="00452E54" w:rsidRDefault="00452E54" w14:paraId="30F09D20" w14:textId="77777777">
      <w:pPr>
        <w:pStyle w:val="EndnoteText"/>
        <w:rPr>
          <w:rFonts w:cs="Open Sans"/>
        </w:rPr>
      </w:pPr>
      <w:r w:rsidRPr="00672C36">
        <w:rPr>
          <w:rStyle w:val="EndnoteReference"/>
          <w:rFonts w:cs="Open Sans"/>
        </w:rPr>
        <w:endnoteRef/>
      </w:r>
      <w:r w:rsidRPr="00672C36">
        <w:rPr>
          <w:rFonts w:cs="Open Sans"/>
        </w:rPr>
        <w:t xml:space="preserve"> Submission 41,</w:t>
      </w:r>
      <w:r w:rsidRPr="004806F9">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4.</w:t>
      </w:r>
    </w:p>
  </w:endnote>
  <w:endnote w:id="706">
    <w:p w:rsidRPr="00672C36" w:rsidR="00452E54" w:rsidP="00452E54" w:rsidRDefault="00452E54" w14:paraId="19C8A04E" w14:textId="77777777">
      <w:pPr>
        <w:pStyle w:val="EndnoteText"/>
        <w:rPr>
          <w:rFonts w:cs="Open Sans"/>
          <w:lang w:val="en-US"/>
        </w:rPr>
      </w:pPr>
      <w:r w:rsidRPr="00672C36">
        <w:rPr>
          <w:rStyle w:val="EndnoteReference"/>
          <w:rFonts w:cs="Open Sans"/>
        </w:rPr>
        <w:endnoteRef/>
      </w:r>
      <w:r w:rsidRPr="00672C36">
        <w:rPr>
          <w:rFonts w:cs="Open Sans"/>
        </w:rPr>
        <w:t xml:space="preserve"> Submission 56, </w:t>
      </w:r>
      <w:r>
        <w:rPr>
          <w:rFonts w:cs="Open Sans"/>
          <w:i/>
          <w:iCs/>
        </w:rPr>
        <w:t>Intersex Inquiry</w:t>
      </w:r>
      <w:r>
        <w:rPr>
          <w:rFonts w:cs="Open Sans"/>
        </w:rPr>
        <w:t>,</w:t>
      </w:r>
      <w:r>
        <w:rPr>
          <w:rFonts w:cs="Open Sans"/>
          <w:i/>
          <w:iCs/>
        </w:rPr>
        <w:t xml:space="preserve"> </w:t>
      </w:r>
      <w:r w:rsidRPr="00672C36">
        <w:rPr>
          <w:rFonts w:cs="Open Sans"/>
        </w:rPr>
        <w:t xml:space="preserve">9; Submission 50, </w:t>
      </w:r>
      <w:r>
        <w:rPr>
          <w:rFonts w:cs="Open Sans"/>
          <w:i/>
          <w:iCs/>
        </w:rPr>
        <w:t>Intersex Inquiry</w:t>
      </w:r>
      <w:r>
        <w:rPr>
          <w:rFonts w:cs="Open Sans"/>
        </w:rPr>
        <w:t>,</w:t>
      </w:r>
      <w:r>
        <w:rPr>
          <w:rFonts w:cs="Open Sans"/>
          <w:i/>
          <w:iCs/>
        </w:rPr>
        <w:t xml:space="preserve"> </w:t>
      </w:r>
      <w:r w:rsidRPr="00672C36">
        <w:rPr>
          <w:rFonts w:cs="Open Sans"/>
        </w:rPr>
        <w:t>4.</w:t>
      </w:r>
    </w:p>
  </w:endnote>
  <w:endnote w:id="707">
    <w:p w:rsidRPr="00672C36" w:rsidR="00452E54" w:rsidP="00452E54" w:rsidRDefault="00452E54" w14:paraId="40BA9558" w14:textId="77777777">
      <w:pPr>
        <w:pStyle w:val="EndnoteText"/>
        <w:rPr>
          <w:rFonts w:cs="Open Sans"/>
          <w:lang w:val="en-US"/>
        </w:rPr>
      </w:pPr>
      <w:r w:rsidRPr="00672C36">
        <w:rPr>
          <w:rStyle w:val="EndnoteReference"/>
          <w:rFonts w:cs="Open Sans"/>
        </w:rPr>
        <w:endnoteRef/>
      </w:r>
      <w:r w:rsidRPr="00672C36">
        <w:rPr>
          <w:rFonts w:cs="Open Sans"/>
        </w:rPr>
        <w:t xml:space="preserve"> Submission 45, </w:t>
      </w:r>
      <w:r>
        <w:rPr>
          <w:rFonts w:cs="Open Sans"/>
          <w:i/>
          <w:iCs/>
        </w:rPr>
        <w:t>Intersex Inquiry</w:t>
      </w:r>
      <w:r>
        <w:rPr>
          <w:rFonts w:cs="Open Sans"/>
        </w:rPr>
        <w:t>,</w:t>
      </w:r>
      <w:r>
        <w:rPr>
          <w:rFonts w:cs="Open Sans"/>
          <w:i/>
          <w:iCs/>
        </w:rPr>
        <w:t xml:space="preserve"> </w:t>
      </w:r>
      <w:r w:rsidRPr="00672C36">
        <w:rPr>
          <w:rFonts w:cs="Open Sans"/>
        </w:rPr>
        <w:t>10, citing Jones et al, 2016.</w:t>
      </w:r>
    </w:p>
  </w:endnote>
  <w:endnote w:id="708">
    <w:p w:rsidRPr="00672C36" w:rsidR="00452E54" w:rsidP="00452E54" w:rsidRDefault="00452E54" w14:paraId="510035F9" w14:textId="77777777">
      <w:pPr>
        <w:pStyle w:val="EndnoteText"/>
        <w:rPr>
          <w:rFonts w:cs="Open Sans"/>
        </w:rPr>
      </w:pPr>
      <w:r w:rsidRPr="00672C36">
        <w:rPr>
          <w:rStyle w:val="EndnoteReference"/>
          <w:rFonts w:cs="Open Sans"/>
        </w:rPr>
        <w:endnoteRef/>
      </w:r>
      <w:r w:rsidRPr="00672C36">
        <w:rPr>
          <w:rFonts w:cs="Open Sans"/>
        </w:rPr>
        <w:t xml:space="preserve"> A Gender Agenda, Submission 52, 5; Submission 36, </w:t>
      </w:r>
      <w:r>
        <w:rPr>
          <w:rFonts w:cs="Open Sans"/>
          <w:i/>
          <w:iCs/>
        </w:rPr>
        <w:t>Intersex Inquiry</w:t>
      </w:r>
      <w:r>
        <w:rPr>
          <w:rFonts w:cs="Open Sans"/>
        </w:rPr>
        <w:t>,</w:t>
      </w:r>
      <w:r>
        <w:rPr>
          <w:rFonts w:cs="Open Sans"/>
          <w:i/>
          <w:iCs/>
        </w:rPr>
        <w:t xml:space="preserve"> </w:t>
      </w:r>
      <w:r w:rsidRPr="00672C36">
        <w:rPr>
          <w:rFonts w:cs="Open Sans"/>
        </w:rPr>
        <w:t>33.</w:t>
      </w:r>
    </w:p>
  </w:endnote>
  <w:endnote w:id="709">
    <w:p w:rsidRPr="00672C36" w:rsidR="00452E54" w:rsidP="00452E54" w:rsidRDefault="00452E54" w14:paraId="1023659B" w14:textId="77777777">
      <w:pPr>
        <w:pStyle w:val="EndnoteText"/>
        <w:rPr>
          <w:rFonts w:cs="Open Sans"/>
        </w:rPr>
      </w:pPr>
      <w:r w:rsidRPr="00672C36">
        <w:rPr>
          <w:rStyle w:val="EndnoteReference"/>
          <w:rFonts w:cs="Open Sans"/>
        </w:rPr>
        <w:endnoteRef/>
      </w:r>
      <w:r w:rsidRPr="00672C36">
        <w:rPr>
          <w:rFonts w:cs="Open Sans"/>
        </w:rPr>
        <w:t xml:space="preserve"> Submission 36, </w:t>
      </w:r>
      <w:r>
        <w:rPr>
          <w:rFonts w:cs="Open Sans"/>
          <w:i/>
          <w:iCs/>
        </w:rPr>
        <w:t>Intersex Inquiry</w:t>
      </w:r>
      <w:r>
        <w:rPr>
          <w:rFonts w:cs="Open Sans"/>
        </w:rPr>
        <w:t>,</w:t>
      </w:r>
      <w:r>
        <w:rPr>
          <w:rFonts w:cs="Open Sans"/>
          <w:i/>
          <w:iCs/>
        </w:rPr>
        <w:t xml:space="preserve"> </w:t>
      </w:r>
      <w:r w:rsidRPr="00672C36">
        <w:rPr>
          <w:rFonts w:cs="Open Sans"/>
        </w:rPr>
        <w:t xml:space="preserve">33; Australasian Paediatric Endocrine Group, Submission 20, </w:t>
      </w:r>
      <w:r>
        <w:rPr>
          <w:rFonts w:cs="Open Sans"/>
          <w:i/>
          <w:iCs/>
        </w:rPr>
        <w:t>Intersex Inquiry</w:t>
      </w:r>
      <w:r>
        <w:rPr>
          <w:rFonts w:cs="Open Sans"/>
        </w:rPr>
        <w:t>,</w:t>
      </w:r>
      <w:r>
        <w:rPr>
          <w:rFonts w:cs="Open Sans"/>
          <w:i/>
          <w:iCs/>
        </w:rPr>
        <w:t xml:space="preserve"> </w:t>
      </w:r>
      <w:r w:rsidRPr="00672C36">
        <w:rPr>
          <w:rFonts w:cs="Open Sans"/>
        </w:rPr>
        <w:t>10; Submission 21</w:t>
      </w:r>
      <w:r>
        <w:rPr>
          <w:rFonts w:cs="Open Sans"/>
        </w:rPr>
        <w:t>,</w:t>
      </w:r>
      <w:r>
        <w:rPr>
          <w:rFonts w:cs="Open Sans"/>
          <w:i/>
          <w:iCs/>
        </w:rPr>
        <w:t>Intersex Inquiry</w:t>
      </w:r>
      <w:r w:rsidRPr="00672C36">
        <w:rPr>
          <w:rFonts w:cs="Open Sans"/>
        </w:rPr>
        <w:t xml:space="preserve">; Submission 54, </w:t>
      </w:r>
      <w:r>
        <w:rPr>
          <w:rFonts w:cs="Open Sans"/>
          <w:i/>
          <w:iCs/>
        </w:rPr>
        <w:t>Intersex Inquiry</w:t>
      </w:r>
      <w:r>
        <w:rPr>
          <w:rFonts w:cs="Open Sans"/>
        </w:rPr>
        <w:t>,</w:t>
      </w:r>
      <w:r>
        <w:rPr>
          <w:rFonts w:cs="Open Sans"/>
          <w:i/>
          <w:iCs/>
        </w:rPr>
        <w:t xml:space="preserve"> </w:t>
      </w:r>
      <w:r w:rsidRPr="00672C36">
        <w:rPr>
          <w:rFonts w:cs="Open Sans"/>
        </w:rPr>
        <w:t xml:space="preserve">6; Submission 56, </w:t>
      </w:r>
      <w:r>
        <w:rPr>
          <w:rFonts w:cs="Open Sans"/>
          <w:i/>
          <w:iCs/>
        </w:rPr>
        <w:t>Intersex Inquiry</w:t>
      </w:r>
      <w:r>
        <w:rPr>
          <w:rFonts w:cs="Open Sans"/>
        </w:rPr>
        <w:t>,</w:t>
      </w:r>
      <w:r>
        <w:rPr>
          <w:rFonts w:cs="Open Sans"/>
          <w:i/>
          <w:iCs/>
        </w:rPr>
        <w:t xml:space="preserve"> </w:t>
      </w:r>
      <w:r w:rsidRPr="00672C36">
        <w:rPr>
          <w:rFonts w:cs="Open Sans"/>
        </w:rPr>
        <w:t>9; Submission 59,</w:t>
      </w:r>
      <w:r w:rsidRPr="003F6EBB">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3; Submission 60</w:t>
      </w:r>
      <w:r>
        <w:rPr>
          <w:rFonts w:cs="Open Sans"/>
        </w:rPr>
        <w:t xml:space="preserve">, </w:t>
      </w:r>
      <w:r>
        <w:rPr>
          <w:rFonts w:cs="Open Sans"/>
          <w:i/>
          <w:iCs/>
        </w:rPr>
        <w:t>Intersex Inquiry</w:t>
      </w:r>
      <w:r w:rsidRPr="00672C36">
        <w:rPr>
          <w:rFonts w:cs="Open Sans"/>
        </w:rPr>
        <w:t>.</w:t>
      </w:r>
    </w:p>
  </w:endnote>
  <w:endnote w:id="710">
    <w:p w:rsidRPr="00672C36" w:rsidR="00452E54" w:rsidP="00452E54" w:rsidRDefault="00452E54" w14:paraId="38FD9E1C" w14:textId="77777777">
      <w:pPr>
        <w:pStyle w:val="EndnoteText"/>
        <w:rPr>
          <w:rFonts w:cs="Open Sans"/>
        </w:rPr>
      </w:pPr>
      <w:r w:rsidRPr="00672C36">
        <w:rPr>
          <w:rStyle w:val="EndnoteReference"/>
          <w:rFonts w:cs="Open Sans"/>
        </w:rPr>
        <w:endnoteRef/>
      </w:r>
      <w:r w:rsidRPr="00672C36">
        <w:rPr>
          <w:rFonts w:cs="Open Sans"/>
        </w:rPr>
        <w:t xml:space="preserve"> Submission 56, </w:t>
      </w:r>
      <w:r>
        <w:rPr>
          <w:rFonts w:cs="Open Sans"/>
          <w:i/>
          <w:iCs/>
        </w:rPr>
        <w:t>Intersex Inquiry</w:t>
      </w:r>
      <w:r>
        <w:rPr>
          <w:rFonts w:cs="Open Sans"/>
        </w:rPr>
        <w:t>,</w:t>
      </w:r>
      <w:r>
        <w:rPr>
          <w:rFonts w:cs="Open Sans"/>
          <w:i/>
          <w:iCs/>
        </w:rPr>
        <w:t xml:space="preserve"> </w:t>
      </w:r>
      <w:r w:rsidRPr="00672C36">
        <w:rPr>
          <w:rFonts w:cs="Open Sans"/>
        </w:rPr>
        <w:t xml:space="preserve">9; Submission 36, </w:t>
      </w:r>
      <w:r>
        <w:rPr>
          <w:rFonts w:cs="Open Sans"/>
          <w:i/>
          <w:iCs/>
        </w:rPr>
        <w:t>Intersex Inquiry</w:t>
      </w:r>
      <w:r>
        <w:rPr>
          <w:rFonts w:cs="Open Sans"/>
        </w:rPr>
        <w:t>,</w:t>
      </w:r>
      <w:r>
        <w:rPr>
          <w:rFonts w:cs="Open Sans"/>
          <w:i/>
          <w:iCs/>
        </w:rPr>
        <w:t xml:space="preserve"> </w:t>
      </w:r>
      <w:r w:rsidRPr="00672C36">
        <w:rPr>
          <w:rFonts w:cs="Open Sans"/>
        </w:rPr>
        <w:t>33.</w:t>
      </w:r>
    </w:p>
  </w:endnote>
  <w:endnote w:id="711">
    <w:p w:rsidRPr="00672C36" w:rsidR="00452E54" w:rsidP="00452E54" w:rsidRDefault="00452E54" w14:paraId="74A777DA" w14:textId="77777777">
      <w:pPr>
        <w:spacing w:before="0" w:after="0"/>
        <w:rPr>
          <w:rFonts w:cs="Open Sans"/>
          <w:sz w:val="20"/>
          <w:szCs w:val="20"/>
        </w:rPr>
      </w:pPr>
      <w:r w:rsidRPr="00672C36">
        <w:rPr>
          <w:rStyle w:val="EndnoteReference"/>
          <w:rFonts w:cs="Open Sans"/>
          <w:szCs w:val="20"/>
        </w:rPr>
        <w:endnoteRef/>
      </w:r>
      <w:r w:rsidRPr="00672C36">
        <w:rPr>
          <w:rFonts w:cs="Open Sans"/>
          <w:sz w:val="20"/>
          <w:szCs w:val="20"/>
        </w:rPr>
        <w:t xml:space="preserve"> NT Anti-discrimination Commission, Submission 41,</w:t>
      </w:r>
      <w:r w:rsidRPr="003F6EBB">
        <w:rPr>
          <w:rFonts w:cs="Open Sans"/>
          <w:i/>
          <w:sz w:val="20"/>
          <w:szCs w:val="20"/>
        </w:rPr>
        <w:t xml:space="preserve"> </w:t>
      </w:r>
      <w:r>
        <w:rPr>
          <w:rFonts w:cs="Open Sans"/>
          <w:i/>
          <w:iCs/>
          <w:sz w:val="20"/>
          <w:szCs w:val="20"/>
        </w:rPr>
        <w:t>Intersex Inquiry</w:t>
      </w:r>
      <w:r>
        <w:rPr>
          <w:rFonts w:cs="Open Sans"/>
          <w:sz w:val="20"/>
          <w:szCs w:val="20"/>
        </w:rPr>
        <w:t>,</w:t>
      </w:r>
      <w:r>
        <w:rPr>
          <w:rFonts w:cs="Open Sans"/>
          <w:i/>
          <w:iCs/>
        </w:rPr>
        <w:t xml:space="preserve"> </w:t>
      </w:r>
      <w:r w:rsidRPr="00672C36">
        <w:rPr>
          <w:rFonts w:cs="Open Sans"/>
          <w:sz w:val="20"/>
          <w:szCs w:val="20"/>
        </w:rPr>
        <w:t xml:space="preserve">4; Submission 52, </w:t>
      </w:r>
      <w:r>
        <w:rPr>
          <w:rFonts w:cs="Open Sans"/>
          <w:i/>
          <w:iCs/>
          <w:sz w:val="20"/>
          <w:szCs w:val="20"/>
        </w:rPr>
        <w:t>Intersex Inquiry</w:t>
      </w:r>
      <w:r>
        <w:rPr>
          <w:rFonts w:cs="Open Sans"/>
          <w:sz w:val="20"/>
          <w:szCs w:val="20"/>
        </w:rPr>
        <w:t>,</w:t>
      </w:r>
      <w:r>
        <w:rPr>
          <w:rFonts w:cs="Open Sans"/>
          <w:i/>
          <w:iCs/>
        </w:rPr>
        <w:t xml:space="preserve"> </w:t>
      </w:r>
      <w:r w:rsidRPr="00672C36">
        <w:rPr>
          <w:rFonts w:cs="Open Sans"/>
          <w:sz w:val="20"/>
          <w:szCs w:val="20"/>
        </w:rPr>
        <w:t>11; Submission 36,</w:t>
      </w:r>
      <w:r w:rsidRPr="00A23E66">
        <w:rPr>
          <w:rFonts w:cs="Open Sans"/>
          <w:i/>
          <w:sz w:val="20"/>
          <w:szCs w:val="20"/>
        </w:rPr>
        <w:t xml:space="preserve"> </w:t>
      </w:r>
      <w:r>
        <w:rPr>
          <w:rFonts w:cs="Open Sans"/>
          <w:i/>
          <w:iCs/>
          <w:sz w:val="20"/>
          <w:szCs w:val="20"/>
        </w:rPr>
        <w:t>Intersex Inquiry</w:t>
      </w:r>
      <w:r>
        <w:rPr>
          <w:rFonts w:cs="Open Sans"/>
          <w:sz w:val="20"/>
          <w:szCs w:val="20"/>
        </w:rPr>
        <w:t>,</w:t>
      </w:r>
      <w:r>
        <w:rPr>
          <w:rFonts w:cs="Open Sans"/>
          <w:i/>
          <w:iCs/>
        </w:rPr>
        <w:t xml:space="preserve"> </w:t>
      </w:r>
      <w:r w:rsidRPr="00672C36">
        <w:rPr>
          <w:rFonts w:cs="Open Sans"/>
          <w:sz w:val="20"/>
          <w:szCs w:val="20"/>
        </w:rPr>
        <w:t>34; Submission 55,</w:t>
      </w:r>
      <w:r w:rsidRPr="00A23E66">
        <w:rPr>
          <w:rFonts w:cs="Open Sans"/>
          <w:i/>
          <w:sz w:val="20"/>
          <w:szCs w:val="20"/>
        </w:rPr>
        <w:t xml:space="preserve"> </w:t>
      </w:r>
      <w:r>
        <w:rPr>
          <w:rFonts w:cs="Open Sans"/>
          <w:i/>
          <w:iCs/>
          <w:sz w:val="20"/>
          <w:szCs w:val="20"/>
        </w:rPr>
        <w:t>Intersex Inquiry</w:t>
      </w:r>
      <w:r>
        <w:rPr>
          <w:rFonts w:cs="Open Sans"/>
          <w:sz w:val="20"/>
          <w:szCs w:val="20"/>
        </w:rPr>
        <w:t>,</w:t>
      </w:r>
      <w:r>
        <w:rPr>
          <w:rFonts w:cs="Open Sans"/>
          <w:i/>
          <w:iCs/>
        </w:rPr>
        <w:t xml:space="preserve"> </w:t>
      </w:r>
      <w:r w:rsidRPr="00672C36">
        <w:rPr>
          <w:rFonts w:cs="Open Sans"/>
          <w:sz w:val="20"/>
          <w:szCs w:val="20"/>
        </w:rPr>
        <w:t xml:space="preserve">3-4, 13; Submission 56, </w:t>
      </w:r>
      <w:r>
        <w:rPr>
          <w:rFonts w:cs="Open Sans"/>
          <w:i/>
          <w:iCs/>
          <w:sz w:val="20"/>
          <w:szCs w:val="20"/>
        </w:rPr>
        <w:t>Intersex Inquiry</w:t>
      </w:r>
      <w:r>
        <w:rPr>
          <w:rFonts w:cs="Open Sans"/>
          <w:sz w:val="20"/>
          <w:szCs w:val="20"/>
        </w:rPr>
        <w:t>,</w:t>
      </w:r>
      <w:r>
        <w:rPr>
          <w:rFonts w:cs="Open Sans"/>
          <w:i/>
          <w:iCs/>
        </w:rPr>
        <w:t xml:space="preserve"> </w:t>
      </w:r>
      <w:r w:rsidRPr="00672C36">
        <w:rPr>
          <w:rFonts w:cs="Open Sans"/>
          <w:sz w:val="20"/>
          <w:szCs w:val="20"/>
        </w:rPr>
        <w:t xml:space="preserve">9. </w:t>
      </w:r>
    </w:p>
  </w:endnote>
  <w:endnote w:id="712">
    <w:p w:rsidRPr="00672C36" w:rsidR="00452E54" w:rsidP="00452E54" w:rsidRDefault="00452E54" w14:paraId="57ADE4AC" w14:textId="77777777">
      <w:pPr>
        <w:pStyle w:val="EndnoteText"/>
        <w:rPr>
          <w:rFonts w:cs="Open Sans"/>
          <w:lang w:val="en-US"/>
        </w:rPr>
      </w:pPr>
      <w:r w:rsidRPr="00672C36">
        <w:rPr>
          <w:rStyle w:val="EndnoteReference"/>
          <w:rFonts w:cs="Open Sans"/>
        </w:rPr>
        <w:endnoteRef/>
      </w:r>
      <w:r w:rsidRPr="00672C36">
        <w:rPr>
          <w:rFonts w:cs="Open Sans"/>
        </w:rPr>
        <w:t xml:space="preserve"> </w:t>
      </w:r>
      <w:r w:rsidRPr="00672C36">
        <w:rPr>
          <w:rFonts w:cs="Open Sans"/>
          <w:lang w:val="en-US"/>
        </w:rPr>
        <w:t>Submission 55,</w:t>
      </w:r>
      <w:r w:rsidRPr="00A23E66">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lang w:val="en-US"/>
        </w:rPr>
        <w:t xml:space="preserve">13. </w:t>
      </w:r>
    </w:p>
  </w:endnote>
  <w:endnote w:id="713">
    <w:p w:rsidRPr="00672C36" w:rsidR="00452E54" w:rsidP="00452E54" w:rsidRDefault="00452E54" w14:paraId="452A8BB3" w14:textId="77777777">
      <w:pPr>
        <w:pStyle w:val="EndnoteText"/>
        <w:rPr>
          <w:rFonts w:cs="Open Sans"/>
          <w:lang w:val="en-US"/>
        </w:rPr>
      </w:pPr>
      <w:r w:rsidRPr="00672C36">
        <w:rPr>
          <w:rStyle w:val="EndnoteReference"/>
          <w:rFonts w:cs="Open Sans"/>
        </w:rPr>
        <w:endnoteRef/>
      </w:r>
      <w:r w:rsidRPr="00672C36">
        <w:rPr>
          <w:rFonts w:cs="Open Sans"/>
        </w:rPr>
        <w:t xml:space="preserve"> </w:t>
      </w:r>
      <w:r w:rsidRPr="00672C36">
        <w:rPr>
          <w:rFonts w:cs="Open Sans"/>
          <w:lang w:val="en-US"/>
        </w:rPr>
        <w:t xml:space="preserve">Submission 25, </w:t>
      </w:r>
      <w:r>
        <w:rPr>
          <w:rFonts w:cs="Open Sans"/>
          <w:i/>
          <w:iCs/>
        </w:rPr>
        <w:t>Intersex Inquiry</w:t>
      </w:r>
      <w:r>
        <w:rPr>
          <w:rFonts w:cs="Open Sans"/>
        </w:rPr>
        <w:t>,</w:t>
      </w:r>
      <w:r>
        <w:rPr>
          <w:rFonts w:cs="Open Sans"/>
          <w:i/>
          <w:iCs/>
        </w:rPr>
        <w:t xml:space="preserve"> </w:t>
      </w:r>
      <w:r w:rsidRPr="00672C36">
        <w:rPr>
          <w:rFonts w:cs="Open Sans"/>
          <w:lang w:val="en-US"/>
        </w:rPr>
        <w:t xml:space="preserve">5. </w:t>
      </w:r>
    </w:p>
  </w:endnote>
  <w:endnote w:id="714">
    <w:p w:rsidRPr="00672C36" w:rsidR="00452E54" w:rsidP="00452E54" w:rsidRDefault="00452E54" w14:paraId="0C3E3D7A" w14:textId="77777777">
      <w:pPr>
        <w:pStyle w:val="EndnoteText"/>
        <w:rPr>
          <w:rFonts w:cs="Open Sans"/>
        </w:rPr>
      </w:pPr>
      <w:r w:rsidRPr="00672C36">
        <w:rPr>
          <w:rStyle w:val="EndnoteReference"/>
          <w:rFonts w:cs="Open Sans"/>
        </w:rPr>
        <w:endnoteRef/>
      </w:r>
      <w:r w:rsidRPr="00672C36">
        <w:rPr>
          <w:rFonts w:cs="Open Sans"/>
        </w:rPr>
        <w:t xml:space="preserve"> Submission 55, </w:t>
      </w:r>
      <w:r>
        <w:rPr>
          <w:rFonts w:cs="Open Sans"/>
          <w:i/>
          <w:iCs/>
        </w:rPr>
        <w:t>Intersex Inquiry</w:t>
      </w:r>
      <w:r>
        <w:rPr>
          <w:rFonts w:cs="Open Sans"/>
        </w:rPr>
        <w:t>,</w:t>
      </w:r>
      <w:r>
        <w:rPr>
          <w:rFonts w:cs="Open Sans"/>
          <w:i/>
          <w:iCs/>
        </w:rPr>
        <w:t xml:space="preserve"> </w:t>
      </w:r>
      <w:r w:rsidRPr="00672C36">
        <w:rPr>
          <w:rFonts w:cs="Open Sans"/>
        </w:rPr>
        <w:t>12; NT Anti-discrimination Commission,</w:t>
      </w:r>
      <w:r w:rsidRPr="00672C36">
        <w:rPr>
          <w:rFonts w:eastAsia="Times New Roman" w:cs="Open Sans"/>
          <w:color w:val="000000"/>
          <w:lang w:val="en-US" w:eastAsia="en-US"/>
        </w:rPr>
        <w:t xml:space="preserve"> </w:t>
      </w:r>
      <w:r w:rsidRPr="00672C36">
        <w:rPr>
          <w:rFonts w:cs="Open Sans"/>
        </w:rPr>
        <w:t xml:space="preserve">Submission 41, </w:t>
      </w:r>
      <w:r>
        <w:rPr>
          <w:rFonts w:cs="Open Sans"/>
          <w:i/>
          <w:iCs/>
        </w:rPr>
        <w:t>Intersex Inquiry</w:t>
      </w:r>
      <w:r>
        <w:rPr>
          <w:rFonts w:cs="Open Sans"/>
        </w:rPr>
        <w:t>,</w:t>
      </w:r>
      <w:r>
        <w:rPr>
          <w:rFonts w:cs="Open Sans"/>
          <w:i/>
          <w:iCs/>
        </w:rPr>
        <w:t xml:space="preserve"> </w:t>
      </w:r>
      <w:r w:rsidRPr="00672C36">
        <w:rPr>
          <w:rFonts w:cs="Open Sans"/>
        </w:rPr>
        <w:t>4.</w:t>
      </w:r>
    </w:p>
  </w:endnote>
  <w:endnote w:id="715">
    <w:p w:rsidRPr="00672C36" w:rsidR="00452E54" w:rsidP="00452E54" w:rsidRDefault="00452E54" w14:paraId="4AC936EE" w14:textId="77777777">
      <w:pPr>
        <w:pStyle w:val="EndnoteText"/>
        <w:rPr>
          <w:rFonts w:cs="Open Sans"/>
        </w:rPr>
      </w:pPr>
      <w:r w:rsidRPr="00672C36">
        <w:rPr>
          <w:rStyle w:val="EndnoteReference"/>
          <w:rFonts w:cs="Open Sans"/>
        </w:rPr>
        <w:endnoteRef/>
      </w:r>
      <w:r w:rsidRPr="00672C36">
        <w:rPr>
          <w:rFonts w:cs="Open Sans"/>
        </w:rPr>
        <w:t xml:space="preserve"> Submission 56,</w:t>
      </w:r>
      <w:r w:rsidRPr="00A23E66">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3; Submission 60,</w:t>
      </w:r>
      <w:r w:rsidRPr="00A23E66">
        <w:rPr>
          <w:rFonts w:cs="Open Sans"/>
          <w:i/>
        </w:rPr>
        <w:t xml:space="preserve"> </w:t>
      </w:r>
      <w:r>
        <w:rPr>
          <w:rFonts w:cs="Open Sans"/>
          <w:i/>
          <w:iCs/>
        </w:rPr>
        <w:t>Intersex Inquiry</w:t>
      </w:r>
      <w:r>
        <w:rPr>
          <w:rFonts w:cs="Open Sans"/>
        </w:rPr>
        <w:t>;</w:t>
      </w:r>
      <w:r w:rsidRPr="00672C36">
        <w:rPr>
          <w:rFonts w:cs="Open Sans"/>
        </w:rPr>
        <w:t xml:space="preserve"> Submission 61,</w:t>
      </w:r>
      <w:r w:rsidRPr="000D44B6">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 xml:space="preserve"> 6; Submission 54, </w:t>
      </w:r>
      <w:r>
        <w:rPr>
          <w:rFonts w:cs="Open Sans"/>
          <w:i/>
          <w:iCs/>
        </w:rPr>
        <w:t>Intersex Inquiry</w:t>
      </w:r>
      <w:r>
        <w:rPr>
          <w:rFonts w:cs="Open Sans"/>
        </w:rPr>
        <w:t>,</w:t>
      </w:r>
      <w:r>
        <w:rPr>
          <w:rFonts w:cs="Open Sans"/>
          <w:i/>
          <w:iCs/>
        </w:rPr>
        <w:t xml:space="preserve"> </w:t>
      </w:r>
      <w:r w:rsidRPr="00672C36">
        <w:rPr>
          <w:rFonts w:cs="Open Sans"/>
        </w:rPr>
        <w:t>6; Submission 59,</w:t>
      </w:r>
      <w:r w:rsidRPr="000D44B6">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 xml:space="preserve"> 3; A Gender Agenda, Submission 52, </w:t>
      </w:r>
      <w:r>
        <w:rPr>
          <w:rFonts w:cs="Open Sans"/>
          <w:i/>
          <w:iCs/>
        </w:rPr>
        <w:t>Intersex Inquiry</w:t>
      </w:r>
      <w:r>
        <w:rPr>
          <w:rFonts w:cs="Open Sans"/>
        </w:rPr>
        <w:t>,</w:t>
      </w:r>
      <w:r>
        <w:rPr>
          <w:rFonts w:cs="Open Sans"/>
          <w:i/>
          <w:iCs/>
        </w:rPr>
        <w:t xml:space="preserve"> </w:t>
      </w:r>
      <w:r w:rsidRPr="00672C36">
        <w:rPr>
          <w:rFonts w:cs="Open Sans"/>
        </w:rPr>
        <w:t xml:space="preserve">4. </w:t>
      </w:r>
    </w:p>
  </w:endnote>
  <w:endnote w:id="716">
    <w:p w:rsidRPr="00672C36" w:rsidR="00452E54" w:rsidP="00452E54" w:rsidRDefault="00452E54" w14:paraId="244D187D" w14:textId="77777777">
      <w:pPr>
        <w:pStyle w:val="EndnoteText"/>
        <w:rPr>
          <w:rFonts w:cs="Open Sans"/>
        </w:rPr>
      </w:pPr>
      <w:r w:rsidRPr="00672C36">
        <w:rPr>
          <w:rStyle w:val="EndnoteReference"/>
          <w:rFonts w:cs="Open Sans"/>
        </w:rPr>
        <w:endnoteRef/>
      </w:r>
      <w:r w:rsidRPr="00672C36">
        <w:rPr>
          <w:rFonts w:cs="Open Sans"/>
        </w:rPr>
        <w:t xml:space="preserve"> Submission 36,</w:t>
      </w:r>
      <w:r w:rsidRPr="00F2316E">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 xml:space="preserve"> 31.</w:t>
      </w:r>
    </w:p>
  </w:endnote>
  <w:endnote w:id="717">
    <w:p w:rsidRPr="00672C36" w:rsidR="00452E54" w:rsidP="00452E54" w:rsidRDefault="00452E54" w14:paraId="3CB12696" w14:textId="77777777">
      <w:pPr>
        <w:pStyle w:val="EndnoteText"/>
        <w:rPr>
          <w:rFonts w:cs="Open Sans"/>
        </w:rPr>
      </w:pPr>
      <w:r w:rsidRPr="00672C36">
        <w:rPr>
          <w:rStyle w:val="EndnoteReference"/>
          <w:rFonts w:cs="Open Sans"/>
        </w:rPr>
        <w:endnoteRef/>
      </w:r>
      <w:r w:rsidRPr="00672C36">
        <w:rPr>
          <w:rFonts w:cs="Open Sans"/>
        </w:rPr>
        <w:t xml:space="preserve"> Submission 36, </w:t>
      </w:r>
      <w:r>
        <w:rPr>
          <w:rFonts w:cs="Open Sans"/>
          <w:i/>
          <w:iCs/>
        </w:rPr>
        <w:t>Intersex Inquiry</w:t>
      </w:r>
      <w:r>
        <w:rPr>
          <w:rFonts w:cs="Open Sans"/>
        </w:rPr>
        <w:t>,</w:t>
      </w:r>
      <w:r>
        <w:rPr>
          <w:rFonts w:cs="Open Sans"/>
          <w:i/>
          <w:iCs/>
        </w:rPr>
        <w:t xml:space="preserve"> </w:t>
      </w:r>
      <w:r w:rsidRPr="00672C36">
        <w:rPr>
          <w:rFonts w:cs="Open Sans"/>
        </w:rPr>
        <w:t>13; Royal Australian New Zealand College of Psychiatrists, Submission 26,</w:t>
      </w:r>
      <w:r w:rsidRPr="00146BB7">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 xml:space="preserve"> 2; Submission 25,</w:t>
      </w:r>
      <w:r w:rsidRPr="00751530">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2; Submission 21</w:t>
      </w:r>
      <w:r>
        <w:rPr>
          <w:rFonts w:cs="Open Sans"/>
        </w:rPr>
        <w:t>,</w:t>
      </w:r>
      <w:r>
        <w:rPr>
          <w:rFonts w:cs="Open Sans"/>
          <w:i/>
          <w:iCs/>
        </w:rPr>
        <w:t>Intersex Inquiry</w:t>
      </w:r>
      <w:r w:rsidRPr="00672C36">
        <w:rPr>
          <w:rFonts w:cs="Open Sans"/>
        </w:rPr>
        <w:t xml:space="preserve">; Australasian Paediatric Endocrine Group, Submission 20, </w:t>
      </w:r>
      <w:r>
        <w:rPr>
          <w:rFonts w:cs="Open Sans"/>
          <w:i/>
          <w:iCs/>
        </w:rPr>
        <w:t>Intersex Inquiry</w:t>
      </w:r>
      <w:r>
        <w:rPr>
          <w:rFonts w:cs="Open Sans"/>
        </w:rPr>
        <w:t>,</w:t>
      </w:r>
      <w:r>
        <w:rPr>
          <w:rFonts w:cs="Open Sans"/>
          <w:i/>
          <w:iCs/>
        </w:rPr>
        <w:t xml:space="preserve"> </w:t>
      </w:r>
      <w:r w:rsidRPr="00672C36">
        <w:rPr>
          <w:rFonts w:cs="Open Sans"/>
        </w:rPr>
        <w:t>9.</w:t>
      </w:r>
    </w:p>
  </w:endnote>
  <w:endnote w:id="718">
    <w:p w:rsidRPr="00672C36" w:rsidR="00452E54" w:rsidP="00452E54" w:rsidRDefault="00452E54" w14:paraId="732224A7" w14:textId="77777777">
      <w:pPr>
        <w:pStyle w:val="EndnoteText"/>
        <w:rPr>
          <w:rFonts w:cs="Open Sans"/>
        </w:rPr>
      </w:pPr>
      <w:r w:rsidRPr="00672C36">
        <w:rPr>
          <w:rStyle w:val="EndnoteReference"/>
          <w:rFonts w:cs="Open Sans"/>
        </w:rPr>
        <w:endnoteRef/>
      </w:r>
      <w:r w:rsidRPr="00672C36">
        <w:rPr>
          <w:rFonts w:cs="Open Sans"/>
        </w:rPr>
        <w:t xml:space="preserve"> Submission 45, </w:t>
      </w:r>
      <w:r>
        <w:rPr>
          <w:rFonts w:cs="Open Sans"/>
          <w:i/>
          <w:iCs/>
        </w:rPr>
        <w:t>Intersex Inquiry</w:t>
      </w:r>
      <w:r>
        <w:rPr>
          <w:rFonts w:cs="Open Sans"/>
        </w:rPr>
        <w:t>,</w:t>
      </w:r>
      <w:r>
        <w:rPr>
          <w:rFonts w:cs="Open Sans"/>
          <w:i/>
          <w:iCs/>
        </w:rPr>
        <w:t xml:space="preserve"> </w:t>
      </w:r>
      <w:r w:rsidRPr="00672C36">
        <w:rPr>
          <w:rFonts w:cs="Open Sans"/>
        </w:rPr>
        <w:t>10.</w:t>
      </w:r>
    </w:p>
  </w:endnote>
  <w:endnote w:id="719">
    <w:p w:rsidRPr="00672C36" w:rsidR="00452E54" w:rsidP="00452E54" w:rsidRDefault="00452E54" w14:paraId="7FE5048A" w14:textId="77777777">
      <w:pPr>
        <w:pStyle w:val="EndnoteText"/>
        <w:rPr>
          <w:lang w:val="en-US"/>
        </w:rPr>
      </w:pPr>
      <w:r w:rsidRPr="00672C36">
        <w:rPr>
          <w:rStyle w:val="EndnoteReference"/>
        </w:rPr>
        <w:endnoteRef/>
      </w:r>
      <w:r w:rsidRPr="00672C36">
        <w:t xml:space="preserve"> </w:t>
      </w:r>
      <w:r w:rsidRPr="00672C36">
        <w:rPr>
          <w:rStyle w:val="normaltextrun"/>
          <w:rFonts w:cs="Open Sans"/>
          <w:color w:val="000000"/>
          <w:shd w:val="clear" w:color="auto" w:fill="FFFFFF"/>
        </w:rPr>
        <w:t>T </w:t>
      </w:r>
      <w:r w:rsidRPr="00672C36">
        <w:rPr>
          <w:rStyle w:val="findhit"/>
          <w:rFonts w:cs="Open Sans"/>
          <w:color w:val="000000"/>
          <w:shd w:val="clear" w:color="auto" w:fill="FFFFFF"/>
        </w:rPr>
        <w:t>Jones</w:t>
      </w:r>
      <w:r w:rsidRPr="00672C36">
        <w:rPr>
          <w:rStyle w:val="normaltextrun"/>
          <w:rFonts w:cs="Open Sans"/>
          <w:color w:val="000000"/>
          <w:shd w:val="clear" w:color="auto" w:fill="FFFFFF"/>
        </w:rPr>
        <w:t>, B Hart, M Carpenter, G Ansara, W Leonard and J Lucke, </w:t>
      </w:r>
      <w:r w:rsidRPr="00672C36">
        <w:rPr>
          <w:rStyle w:val="normaltextrun"/>
          <w:rFonts w:cs="Open Sans"/>
          <w:i/>
          <w:iCs/>
          <w:color w:val="000000"/>
          <w:shd w:val="clear" w:color="auto" w:fill="FFFFFF"/>
        </w:rPr>
        <w:t>Intersex: Stories and statistics from Australia</w:t>
      </w:r>
      <w:r w:rsidRPr="00672C36">
        <w:rPr>
          <w:rStyle w:val="normaltextrun"/>
          <w:rFonts w:cs="Open Sans"/>
          <w:color w:val="000000"/>
          <w:shd w:val="clear" w:color="auto" w:fill="FFFFFF"/>
        </w:rPr>
        <w:t> (Open Book Publishers, 2016) 123 &lt;</w:t>
      </w:r>
      <w:hyperlink w:tgtFrame="_blank" w:history="1" r:id="rId56">
        <w:r w:rsidRPr="00672C36">
          <w:rPr>
            <w:rStyle w:val="normaltextrun"/>
            <w:rFonts w:cs="Open Sans"/>
            <w:color w:val="0000FF"/>
            <w:shd w:val="clear" w:color="auto" w:fill="FFFFFF"/>
          </w:rPr>
          <w:t>https://research-management.mq.edu.au/ws/portalfiles/portal/83835078/72593734.pdf</w:t>
        </w:r>
      </w:hyperlink>
      <w:r w:rsidRPr="00672C36">
        <w:rPr>
          <w:rStyle w:val="normaltextrun"/>
          <w:rFonts w:cs="Open Sans"/>
          <w:color w:val="0000FF"/>
          <w:shd w:val="clear" w:color="auto" w:fill="FFFFFF"/>
        </w:rPr>
        <w:t>&gt;</w:t>
      </w:r>
    </w:p>
  </w:endnote>
  <w:endnote w:id="720">
    <w:p w:rsidRPr="00672C36" w:rsidR="00452E54" w:rsidP="00452E54" w:rsidRDefault="00452E54" w14:paraId="0FEC154D" w14:textId="77777777">
      <w:pPr>
        <w:pStyle w:val="EndnoteText"/>
        <w:rPr>
          <w:rFonts w:cs="Open Sans"/>
        </w:rPr>
      </w:pPr>
      <w:r w:rsidRPr="00672C36">
        <w:rPr>
          <w:rStyle w:val="EndnoteReference"/>
          <w:rFonts w:cs="Open Sans"/>
        </w:rPr>
        <w:endnoteRef/>
      </w:r>
      <w:r w:rsidRPr="00672C36">
        <w:rPr>
          <w:rFonts w:cs="Open Sans"/>
        </w:rPr>
        <w:t xml:space="preserve"> Submission 40, </w:t>
      </w:r>
      <w:r>
        <w:rPr>
          <w:rFonts w:cs="Open Sans"/>
          <w:i/>
          <w:iCs/>
        </w:rPr>
        <w:t>Intersex Inquiry</w:t>
      </w:r>
      <w:r>
        <w:rPr>
          <w:rFonts w:cs="Open Sans"/>
        </w:rPr>
        <w:t>,</w:t>
      </w:r>
      <w:r>
        <w:rPr>
          <w:rFonts w:cs="Open Sans"/>
          <w:i/>
          <w:iCs/>
        </w:rPr>
        <w:t xml:space="preserve"> </w:t>
      </w:r>
      <w:r w:rsidRPr="00672C36">
        <w:rPr>
          <w:rFonts w:cs="Open Sans"/>
        </w:rPr>
        <w:t>66.</w:t>
      </w:r>
    </w:p>
  </w:endnote>
  <w:endnote w:id="721">
    <w:p w:rsidRPr="00672C36" w:rsidR="00452E54" w:rsidP="00452E54" w:rsidRDefault="00452E54" w14:paraId="6EF9E57D" w14:textId="77777777">
      <w:pPr>
        <w:pStyle w:val="EndnoteText"/>
        <w:rPr>
          <w:rFonts w:cs="Open Sans"/>
        </w:rPr>
      </w:pPr>
      <w:r w:rsidRPr="00672C36">
        <w:rPr>
          <w:rStyle w:val="EndnoteReference"/>
          <w:rFonts w:cs="Open Sans"/>
        </w:rPr>
        <w:endnoteRef/>
      </w:r>
      <w:r w:rsidRPr="00672C36">
        <w:rPr>
          <w:rFonts w:cs="Open Sans"/>
        </w:rPr>
        <w:t xml:space="preserve"> Submission 36, </w:t>
      </w:r>
      <w:r>
        <w:rPr>
          <w:rFonts w:cs="Open Sans"/>
          <w:i/>
          <w:iCs/>
        </w:rPr>
        <w:t>Intersex Inquiry</w:t>
      </w:r>
      <w:r>
        <w:rPr>
          <w:rFonts w:cs="Open Sans"/>
        </w:rPr>
        <w:t>,</w:t>
      </w:r>
      <w:r>
        <w:rPr>
          <w:rFonts w:cs="Open Sans"/>
          <w:i/>
          <w:iCs/>
        </w:rPr>
        <w:t xml:space="preserve"> </w:t>
      </w:r>
      <w:r w:rsidRPr="00672C36">
        <w:rPr>
          <w:rFonts w:cs="Open Sans"/>
        </w:rPr>
        <w:t>28.</w:t>
      </w:r>
    </w:p>
  </w:endnote>
  <w:endnote w:id="722">
    <w:p w:rsidRPr="00672C36" w:rsidR="00452E54" w:rsidP="00452E54" w:rsidRDefault="00452E54" w14:paraId="03E5E74C" w14:textId="77777777">
      <w:pPr>
        <w:pStyle w:val="EndnoteText"/>
        <w:rPr>
          <w:rFonts w:cs="Open Sans"/>
        </w:rPr>
      </w:pPr>
      <w:r w:rsidRPr="00672C36">
        <w:rPr>
          <w:rStyle w:val="EndnoteReference"/>
          <w:rFonts w:cs="Open Sans"/>
        </w:rPr>
        <w:endnoteRef/>
      </w:r>
      <w:r w:rsidRPr="00672C36">
        <w:rPr>
          <w:rFonts w:cs="Open Sans"/>
        </w:rPr>
        <w:t xml:space="preserve"> Submission 25,</w:t>
      </w:r>
      <w:r w:rsidRPr="00751530">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 xml:space="preserve"> 6.</w:t>
      </w:r>
    </w:p>
  </w:endnote>
  <w:endnote w:id="723">
    <w:p w:rsidRPr="00672C36" w:rsidR="00452E54" w:rsidP="00452E54" w:rsidRDefault="00452E54" w14:paraId="25E6FDE4" w14:textId="77777777">
      <w:pPr>
        <w:pStyle w:val="EndnoteText"/>
        <w:rPr>
          <w:rFonts w:cs="Open Sans"/>
        </w:rPr>
      </w:pPr>
      <w:r w:rsidRPr="00672C36">
        <w:rPr>
          <w:rStyle w:val="EndnoteReference"/>
          <w:rFonts w:cs="Open Sans"/>
        </w:rPr>
        <w:endnoteRef/>
      </w:r>
      <w:r w:rsidRPr="00672C36">
        <w:rPr>
          <w:rFonts w:cs="Open Sans"/>
        </w:rPr>
        <w:t xml:space="preserve"> Australasian Paediatric Endocrine Group, Submission 20,</w:t>
      </w:r>
      <w:r w:rsidRPr="00052B24">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 xml:space="preserve"> 9; Submission 21</w:t>
      </w:r>
      <w:r>
        <w:rPr>
          <w:rFonts w:cs="Open Sans"/>
        </w:rPr>
        <w:t xml:space="preserve">, </w:t>
      </w:r>
      <w:r>
        <w:rPr>
          <w:rFonts w:cs="Open Sans"/>
          <w:i/>
          <w:iCs/>
        </w:rPr>
        <w:t>Intersex Inquiry</w:t>
      </w:r>
      <w:r w:rsidRPr="00672C36">
        <w:rPr>
          <w:rFonts w:cs="Open Sans"/>
        </w:rPr>
        <w:t xml:space="preserve">; Endocrine Society of Australia, Submission 39, </w:t>
      </w:r>
      <w:bookmarkStart w:name="_Hlk80106662" w:id="602"/>
      <w:r>
        <w:rPr>
          <w:rFonts w:cs="Open Sans"/>
          <w:i/>
          <w:iCs/>
        </w:rPr>
        <w:t>Intersex Inquiry</w:t>
      </w:r>
      <w:r>
        <w:rPr>
          <w:rFonts w:cs="Open Sans"/>
        </w:rPr>
        <w:t>,</w:t>
      </w:r>
      <w:r>
        <w:rPr>
          <w:rFonts w:cs="Open Sans"/>
          <w:i/>
          <w:iCs/>
        </w:rPr>
        <w:t xml:space="preserve"> </w:t>
      </w:r>
      <w:bookmarkEnd w:id="602"/>
      <w:r w:rsidRPr="00672C36">
        <w:rPr>
          <w:rFonts w:cs="Open Sans"/>
        </w:rPr>
        <w:t xml:space="preserve">4; WA Commissioner for Children and Young People, Submission 43, </w:t>
      </w:r>
      <w:r>
        <w:rPr>
          <w:rFonts w:cs="Open Sans"/>
          <w:i/>
          <w:iCs/>
        </w:rPr>
        <w:t>Intersex Inquiry</w:t>
      </w:r>
      <w:r>
        <w:rPr>
          <w:rFonts w:cs="Open Sans"/>
        </w:rPr>
        <w:t>,</w:t>
      </w:r>
      <w:r>
        <w:rPr>
          <w:rFonts w:cs="Open Sans"/>
          <w:i/>
          <w:iCs/>
        </w:rPr>
        <w:t xml:space="preserve"> </w:t>
      </w:r>
      <w:r w:rsidRPr="00672C36">
        <w:rPr>
          <w:rFonts w:cs="Open Sans"/>
        </w:rPr>
        <w:t xml:space="preserve">3; Submission 45, </w:t>
      </w:r>
      <w:r>
        <w:rPr>
          <w:rFonts w:cs="Open Sans"/>
          <w:i/>
          <w:iCs/>
        </w:rPr>
        <w:t>Intersex Inquiry</w:t>
      </w:r>
      <w:r>
        <w:rPr>
          <w:rFonts w:cs="Open Sans"/>
        </w:rPr>
        <w:t>,</w:t>
      </w:r>
      <w:r>
        <w:rPr>
          <w:rFonts w:cs="Open Sans"/>
          <w:i/>
          <w:iCs/>
        </w:rPr>
        <w:t xml:space="preserve"> </w:t>
      </w:r>
      <w:r w:rsidRPr="00672C36">
        <w:rPr>
          <w:rFonts w:cs="Open Sans"/>
        </w:rPr>
        <w:t xml:space="preserve">5. </w:t>
      </w:r>
    </w:p>
  </w:endnote>
  <w:endnote w:id="724">
    <w:p w:rsidRPr="00672C36" w:rsidR="00452E54" w:rsidP="00452E54" w:rsidRDefault="00452E54" w14:paraId="29A6DEE8" w14:textId="77777777">
      <w:pPr>
        <w:pStyle w:val="EndnoteText"/>
        <w:rPr>
          <w:rFonts w:cs="Open Sans"/>
          <w:lang w:val="en-US"/>
        </w:rPr>
      </w:pPr>
      <w:r w:rsidRPr="00672C36">
        <w:rPr>
          <w:rStyle w:val="EndnoteReference"/>
          <w:rFonts w:cs="Open Sans"/>
        </w:rPr>
        <w:endnoteRef/>
      </w:r>
      <w:r w:rsidRPr="00672C36">
        <w:rPr>
          <w:rFonts w:cs="Open Sans"/>
        </w:rPr>
        <w:t xml:space="preserve"> Submission 23, </w:t>
      </w:r>
      <w:r>
        <w:rPr>
          <w:rFonts w:cs="Open Sans"/>
          <w:i/>
          <w:iCs/>
        </w:rPr>
        <w:t>Intersex Inquiry</w:t>
      </w:r>
      <w:r w:rsidRPr="00672C36">
        <w:rPr>
          <w:rFonts w:cs="Open Sans"/>
        </w:rPr>
        <w:t>,</w:t>
      </w:r>
      <w:r>
        <w:rPr>
          <w:rFonts w:cs="Open Sans"/>
          <w:i/>
        </w:rPr>
        <w:t xml:space="preserve"> </w:t>
      </w:r>
      <w:r w:rsidRPr="00672C36">
        <w:rPr>
          <w:rFonts w:cs="Open Sans"/>
        </w:rPr>
        <w:t xml:space="preserve">3 and 5, where it was noted that psychologists needed to have expertise in child and adolescent development, gender issues and variations in sex characteristics. </w:t>
      </w:r>
    </w:p>
  </w:endnote>
  <w:endnote w:id="725">
    <w:p w:rsidRPr="00672C36" w:rsidR="00452E54" w:rsidP="00452E54" w:rsidRDefault="00452E54" w14:paraId="01C24446" w14:textId="77777777">
      <w:pPr>
        <w:pStyle w:val="EndnoteText"/>
        <w:rPr>
          <w:rFonts w:cs="Open Sans"/>
          <w:lang w:val="en-US"/>
        </w:rPr>
      </w:pPr>
      <w:r w:rsidRPr="00672C36">
        <w:rPr>
          <w:rStyle w:val="EndnoteReference"/>
          <w:rFonts w:cs="Open Sans"/>
        </w:rPr>
        <w:endnoteRef/>
      </w:r>
      <w:r w:rsidRPr="00672C36">
        <w:rPr>
          <w:rFonts w:cs="Open Sans"/>
        </w:rPr>
        <w:t xml:space="preserve"> Submission 20,</w:t>
      </w:r>
      <w:r w:rsidRPr="00FD6E8D">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 xml:space="preserve"> 9.</w:t>
      </w:r>
    </w:p>
  </w:endnote>
  <w:endnote w:id="726">
    <w:p w:rsidRPr="00672C36" w:rsidR="00452E54" w:rsidP="00452E54" w:rsidRDefault="00452E54" w14:paraId="14C1EAAE" w14:textId="77777777">
      <w:pPr>
        <w:pStyle w:val="EndnoteText"/>
        <w:rPr>
          <w:rFonts w:cs="Open Sans"/>
          <w:lang w:val="en-US"/>
        </w:rPr>
      </w:pPr>
      <w:r w:rsidRPr="00672C36">
        <w:rPr>
          <w:rStyle w:val="EndnoteReference"/>
          <w:rFonts w:cs="Open Sans"/>
        </w:rPr>
        <w:endnoteRef/>
      </w:r>
      <w:r w:rsidRPr="00672C36">
        <w:rPr>
          <w:rFonts w:cs="Open Sans"/>
        </w:rPr>
        <w:t xml:space="preserve"> Royal Australian New Zealand College of Psychiatrists,</w:t>
      </w:r>
      <w:r w:rsidRPr="00672C36" w:rsidDel="00464981">
        <w:rPr>
          <w:rFonts w:cs="Open Sans"/>
        </w:rPr>
        <w:t xml:space="preserve"> </w:t>
      </w:r>
      <w:r w:rsidRPr="00672C36">
        <w:rPr>
          <w:rFonts w:cs="Open Sans"/>
        </w:rPr>
        <w:t>Submission 26,</w:t>
      </w:r>
      <w:r w:rsidRPr="00FD6E8D">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1; Submission 68,</w:t>
      </w:r>
      <w:r w:rsidRPr="00545B57">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 xml:space="preserve">4; Endocrine Society of Australia, Submission 39, </w:t>
      </w:r>
      <w:r>
        <w:rPr>
          <w:rFonts w:cs="Open Sans"/>
          <w:i/>
          <w:iCs/>
        </w:rPr>
        <w:t>Intersex Inquiry</w:t>
      </w:r>
      <w:r>
        <w:rPr>
          <w:rFonts w:cs="Open Sans"/>
        </w:rPr>
        <w:t>,</w:t>
      </w:r>
      <w:r>
        <w:rPr>
          <w:rFonts w:cs="Open Sans"/>
          <w:i/>
          <w:iCs/>
        </w:rPr>
        <w:t xml:space="preserve"> </w:t>
      </w:r>
      <w:r w:rsidRPr="00672C36">
        <w:rPr>
          <w:rFonts w:cs="Open Sans"/>
        </w:rPr>
        <w:t>4; Submission 25,</w:t>
      </w:r>
      <w:r w:rsidRPr="00545B57">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6; Submission 50,</w:t>
      </w:r>
      <w:r w:rsidRPr="00545B57">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 xml:space="preserve">8. </w:t>
      </w:r>
    </w:p>
  </w:endnote>
  <w:endnote w:id="727">
    <w:p w:rsidRPr="00672C36" w:rsidR="00452E54" w:rsidP="00452E54" w:rsidRDefault="00452E54" w14:paraId="6E54BFFF" w14:textId="77777777">
      <w:pPr>
        <w:pStyle w:val="EndnoteText"/>
        <w:rPr>
          <w:rFonts w:cs="Open Sans"/>
        </w:rPr>
      </w:pPr>
      <w:r w:rsidRPr="00672C36">
        <w:rPr>
          <w:rStyle w:val="EndnoteReference"/>
          <w:rFonts w:cs="Open Sans"/>
        </w:rPr>
        <w:endnoteRef/>
      </w:r>
      <w:r w:rsidRPr="00672C36">
        <w:rPr>
          <w:rFonts w:cs="Open Sans"/>
        </w:rPr>
        <w:t xml:space="preserve"> Submission 25,</w:t>
      </w:r>
      <w:r w:rsidRPr="00545B57">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6.</w:t>
      </w:r>
    </w:p>
  </w:endnote>
  <w:endnote w:id="728">
    <w:p w:rsidRPr="00672C36" w:rsidR="00452E54" w:rsidP="00452E54" w:rsidRDefault="00452E54" w14:paraId="44567F9D" w14:textId="77777777">
      <w:pPr>
        <w:pStyle w:val="EndnoteText"/>
        <w:rPr>
          <w:rFonts w:cs="Open Sans"/>
        </w:rPr>
      </w:pPr>
      <w:r w:rsidRPr="00672C36">
        <w:rPr>
          <w:rStyle w:val="EndnoteReference"/>
          <w:rFonts w:cs="Open Sans"/>
        </w:rPr>
        <w:endnoteRef/>
      </w:r>
      <w:r w:rsidRPr="00672C36">
        <w:rPr>
          <w:rFonts w:cs="Open Sans"/>
        </w:rPr>
        <w:t xml:space="preserve"> Submission 36</w:t>
      </w:r>
      <w:r>
        <w:rPr>
          <w:rFonts w:cs="Open Sans"/>
          <w:i/>
          <w:iCs/>
        </w:rPr>
        <w:t>, Intersex Inquiry</w:t>
      </w:r>
      <w:r w:rsidRPr="00672C36">
        <w:rPr>
          <w:rFonts w:cs="Open Sans"/>
        </w:rPr>
        <w:t>; Submission 39,</w:t>
      </w:r>
      <w:r w:rsidRPr="00545B57">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3; Submission 25,</w:t>
      </w:r>
      <w:r w:rsidRPr="00545B57">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 xml:space="preserve">2; Submission 26, </w:t>
      </w:r>
      <w:r>
        <w:rPr>
          <w:rFonts w:cs="Open Sans"/>
          <w:i/>
          <w:iCs/>
        </w:rPr>
        <w:t>Intersex Inquiry</w:t>
      </w:r>
      <w:r>
        <w:rPr>
          <w:rFonts w:cs="Open Sans"/>
        </w:rPr>
        <w:t>,</w:t>
      </w:r>
      <w:r>
        <w:rPr>
          <w:rFonts w:cs="Open Sans"/>
          <w:i/>
          <w:iCs/>
        </w:rPr>
        <w:t xml:space="preserve"> </w:t>
      </w:r>
      <w:r w:rsidRPr="00672C36">
        <w:rPr>
          <w:rFonts w:cs="Open Sans"/>
        </w:rPr>
        <w:t>2; Submission 21</w:t>
      </w:r>
      <w:r>
        <w:rPr>
          <w:rFonts w:cs="Open Sans"/>
        </w:rPr>
        <w:t>,</w:t>
      </w:r>
      <w:r w:rsidRPr="00545B57">
        <w:rPr>
          <w:rFonts w:cs="Open Sans"/>
          <w:i/>
          <w:iCs/>
        </w:rPr>
        <w:t xml:space="preserve"> </w:t>
      </w:r>
      <w:r>
        <w:rPr>
          <w:rFonts w:cs="Open Sans"/>
          <w:i/>
          <w:iCs/>
        </w:rPr>
        <w:t>Intersex Inquiry</w:t>
      </w:r>
      <w:r w:rsidRPr="00672C36">
        <w:rPr>
          <w:rFonts w:cs="Open Sans"/>
        </w:rPr>
        <w:t>.</w:t>
      </w:r>
    </w:p>
  </w:endnote>
  <w:endnote w:id="729">
    <w:p w:rsidRPr="00672C36" w:rsidR="00452E54" w:rsidP="00452E54" w:rsidRDefault="00452E54" w14:paraId="456A8C1E" w14:textId="77777777">
      <w:pPr>
        <w:pStyle w:val="EndnoteText"/>
        <w:rPr>
          <w:rFonts w:cs="Open Sans"/>
        </w:rPr>
      </w:pPr>
      <w:r w:rsidRPr="00672C36">
        <w:rPr>
          <w:rStyle w:val="EndnoteReference"/>
          <w:rFonts w:cs="Open Sans"/>
        </w:rPr>
        <w:endnoteRef/>
      </w:r>
      <w:r w:rsidRPr="00672C36">
        <w:rPr>
          <w:rFonts w:cs="Open Sans"/>
        </w:rPr>
        <w:t xml:space="preserve"> Submission 21</w:t>
      </w:r>
      <w:r>
        <w:rPr>
          <w:rFonts w:cs="Open Sans"/>
        </w:rPr>
        <w:t xml:space="preserve">, </w:t>
      </w:r>
      <w:r>
        <w:rPr>
          <w:rFonts w:cs="Open Sans"/>
          <w:i/>
          <w:iCs/>
        </w:rPr>
        <w:t>Intersex Inquiry</w:t>
      </w:r>
      <w:r w:rsidRPr="00672C36">
        <w:rPr>
          <w:rFonts w:cs="Open Sans"/>
        </w:rPr>
        <w:t>.</w:t>
      </w:r>
    </w:p>
  </w:endnote>
  <w:endnote w:id="730">
    <w:p w:rsidRPr="00672C36" w:rsidR="00452E54" w:rsidP="00452E54" w:rsidRDefault="00452E54" w14:paraId="238E2BD3" w14:textId="77777777">
      <w:pPr>
        <w:spacing w:before="0" w:after="0"/>
        <w:rPr>
          <w:rFonts w:eastAsia="Times New Roman" w:cs="Open Sans"/>
          <w:color w:val="000000"/>
          <w:sz w:val="20"/>
          <w:szCs w:val="20"/>
          <w:lang w:val="en-US" w:eastAsia="en-US"/>
        </w:rPr>
      </w:pPr>
      <w:r w:rsidRPr="00672C36">
        <w:rPr>
          <w:rStyle w:val="EndnoteReference"/>
          <w:rFonts w:cs="Open Sans"/>
          <w:szCs w:val="20"/>
        </w:rPr>
        <w:endnoteRef/>
      </w:r>
      <w:r w:rsidRPr="00672C36">
        <w:rPr>
          <w:rFonts w:cs="Open Sans"/>
          <w:b/>
          <w:sz w:val="20"/>
          <w:szCs w:val="20"/>
        </w:rPr>
        <w:t xml:space="preserve"> </w:t>
      </w:r>
      <w:r w:rsidRPr="00672C36">
        <w:rPr>
          <w:rFonts w:eastAsia="Times New Roman" w:cs="Open Sans"/>
          <w:color w:val="000000"/>
          <w:sz w:val="20"/>
          <w:szCs w:val="20"/>
          <w:lang w:val="en-US" w:eastAsia="en-US"/>
        </w:rPr>
        <w:t xml:space="preserve">Western Australian Multidisciplinary DSD Team, </w:t>
      </w:r>
      <w:r w:rsidRPr="00672C36">
        <w:rPr>
          <w:rFonts w:cs="Open Sans"/>
          <w:bCs/>
          <w:sz w:val="20"/>
          <w:szCs w:val="20"/>
        </w:rPr>
        <w:t>Submission 23,</w:t>
      </w:r>
      <w:r w:rsidRPr="0052464C">
        <w:rPr>
          <w:rFonts w:cs="Open Sans"/>
          <w:i/>
          <w:sz w:val="20"/>
          <w:szCs w:val="20"/>
        </w:rPr>
        <w:t xml:space="preserve"> </w:t>
      </w:r>
      <w:r>
        <w:rPr>
          <w:rFonts w:cs="Open Sans"/>
          <w:i/>
          <w:iCs/>
          <w:sz w:val="20"/>
          <w:szCs w:val="20"/>
        </w:rPr>
        <w:t>Intersex Inquiry</w:t>
      </w:r>
      <w:r>
        <w:rPr>
          <w:rFonts w:cs="Open Sans"/>
          <w:sz w:val="20"/>
          <w:szCs w:val="20"/>
        </w:rPr>
        <w:t>,</w:t>
      </w:r>
      <w:r>
        <w:rPr>
          <w:rFonts w:cs="Open Sans"/>
          <w:i/>
          <w:iCs/>
        </w:rPr>
        <w:t xml:space="preserve"> </w:t>
      </w:r>
      <w:r w:rsidRPr="00672C36">
        <w:rPr>
          <w:rFonts w:cs="Open Sans"/>
          <w:bCs/>
          <w:sz w:val="20"/>
          <w:szCs w:val="20"/>
        </w:rPr>
        <w:t xml:space="preserve">5; Submission 39, </w:t>
      </w:r>
      <w:r>
        <w:rPr>
          <w:rFonts w:cs="Open Sans"/>
          <w:i/>
          <w:iCs/>
          <w:sz w:val="20"/>
          <w:szCs w:val="20"/>
        </w:rPr>
        <w:t>Intersex Inquiry</w:t>
      </w:r>
      <w:r>
        <w:rPr>
          <w:rFonts w:cs="Open Sans"/>
          <w:sz w:val="20"/>
          <w:szCs w:val="20"/>
        </w:rPr>
        <w:t>,</w:t>
      </w:r>
      <w:r>
        <w:rPr>
          <w:rFonts w:cs="Open Sans"/>
          <w:i/>
          <w:iCs/>
        </w:rPr>
        <w:t xml:space="preserve"> </w:t>
      </w:r>
      <w:r w:rsidRPr="00672C36">
        <w:rPr>
          <w:rFonts w:cs="Open Sans"/>
          <w:bCs/>
          <w:sz w:val="20"/>
          <w:szCs w:val="20"/>
        </w:rPr>
        <w:t xml:space="preserve">4; </w:t>
      </w:r>
      <w:r w:rsidRPr="00672C36">
        <w:rPr>
          <w:rFonts w:cs="Open Sans"/>
          <w:sz w:val="20"/>
          <w:szCs w:val="20"/>
        </w:rPr>
        <w:t xml:space="preserve">A Gender Agenda, </w:t>
      </w:r>
      <w:r w:rsidRPr="00672C36">
        <w:rPr>
          <w:rFonts w:cs="Open Sans"/>
          <w:bCs/>
          <w:sz w:val="20"/>
          <w:szCs w:val="20"/>
        </w:rPr>
        <w:t>Submission 52,</w:t>
      </w:r>
      <w:r w:rsidRPr="0052464C">
        <w:rPr>
          <w:rFonts w:cs="Open Sans"/>
          <w:i/>
          <w:sz w:val="20"/>
          <w:szCs w:val="20"/>
        </w:rPr>
        <w:t xml:space="preserve"> </w:t>
      </w:r>
      <w:r>
        <w:rPr>
          <w:rFonts w:cs="Open Sans"/>
          <w:i/>
          <w:iCs/>
          <w:sz w:val="20"/>
          <w:szCs w:val="20"/>
        </w:rPr>
        <w:t>Intersex Inquiry</w:t>
      </w:r>
      <w:r>
        <w:rPr>
          <w:rFonts w:cs="Open Sans"/>
          <w:sz w:val="20"/>
          <w:szCs w:val="20"/>
        </w:rPr>
        <w:t>,</w:t>
      </w:r>
      <w:r>
        <w:rPr>
          <w:rFonts w:cs="Open Sans"/>
          <w:i/>
          <w:iCs/>
        </w:rPr>
        <w:t xml:space="preserve"> </w:t>
      </w:r>
      <w:r w:rsidRPr="00672C36">
        <w:rPr>
          <w:rFonts w:cs="Open Sans"/>
          <w:bCs/>
          <w:sz w:val="20"/>
          <w:szCs w:val="20"/>
        </w:rPr>
        <w:t xml:space="preserve">5. </w:t>
      </w:r>
    </w:p>
  </w:endnote>
  <w:endnote w:id="731">
    <w:p w:rsidRPr="00672C36" w:rsidR="00452E54" w:rsidP="00452E54" w:rsidRDefault="00452E54" w14:paraId="2033F7B9" w14:textId="77777777">
      <w:pPr>
        <w:spacing w:before="0" w:after="0"/>
        <w:rPr>
          <w:rFonts w:eastAsia="Times New Roman" w:cs="Open Sans"/>
          <w:color w:val="000000"/>
          <w:sz w:val="20"/>
          <w:szCs w:val="20"/>
          <w:lang w:val="en-US" w:eastAsia="en-US"/>
        </w:rPr>
      </w:pPr>
      <w:r w:rsidRPr="00672C36">
        <w:rPr>
          <w:rStyle w:val="EndnoteReference"/>
          <w:rFonts w:cs="Open Sans"/>
          <w:szCs w:val="20"/>
        </w:rPr>
        <w:endnoteRef/>
      </w:r>
      <w:r w:rsidRPr="00672C36">
        <w:rPr>
          <w:rFonts w:eastAsia="Times New Roman" w:cs="Open Sans"/>
          <w:color w:val="000000"/>
          <w:sz w:val="20"/>
          <w:szCs w:val="20"/>
          <w:lang w:val="en-US" w:eastAsia="en-US"/>
        </w:rPr>
        <w:t xml:space="preserve"> </w:t>
      </w:r>
      <w:r w:rsidRPr="00672C36">
        <w:rPr>
          <w:rFonts w:cs="Open Sans"/>
          <w:sz w:val="20"/>
          <w:szCs w:val="20"/>
          <w:lang w:val="en-US"/>
        </w:rPr>
        <w:t>Submission 23,</w:t>
      </w:r>
      <w:r w:rsidRPr="0052464C">
        <w:rPr>
          <w:rFonts w:cs="Open Sans"/>
          <w:i/>
          <w:sz w:val="20"/>
          <w:szCs w:val="20"/>
        </w:rPr>
        <w:t xml:space="preserve"> </w:t>
      </w:r>
      <w:r>
        <w:rPr>
          <w:rFonts w:cs="Open Sans"/>
          <w:i/>
          <w:iCs/>
          <w:sz w:val="20"/>
          <w:szCs w:val="20"/>
        </w:rPr>
        <w:t>Intersex Inquiry</w:t>
      </w:r>
      <w:r>
        <w:rPr>
          <w:rFonts w:cs="Open Sans"/>
          <w:sz w:val="20"/>
          <w:szCs w:val="20"/>
        </w:rPr>
        <w:t>,</w:t>
      </w:r>
      <w:r>
        <w:rPr>
          <w:rFonts w:cs="Open Sans"/>
          <w:i/>
          <w:iCs/>
        </w:rPr>
        <w:t xml:space="preserve"> </w:t>
      </w:r>
      <w:r w:rsidRPr="00672C36">
        <w:rPr>
          <w:rFonts w:cs="Open Sans"/>
          <w:sz w:val="20"/>
          <w:szCs w:val="20"/>
          <w:lang w:val="en-US"/>
        </w:rPr>
        <w:t xml:space="preserve">5. </w:t>
      </w:r>
    </w:p>
  </w:endnote>
  <w:endnote w:id="732">
    <w:p w:rsidRPr="00672C36" w:rsidR="00452E54" w:rsidP="00452E54" w:rsidRDefault="00452E54" w14:paraId="04B34549" w14:textId="77777777">
      <w:pPr>
        <w:pStyle w:val="EndnoteText"/>
        <w:rPr>
          <w:rFonts w:cs="Open Sans"/>
        </w:rPr>
      </w:pPr>
      <w:r w:rsidRPr="00672C36">
        <w:rPr>
          <w:rStyle w:val="EndnoteReference"/>
          <w:rFonts w:cs="Open Sans"/>
        </w:rPr>
        <w:endnoteRef/>
      </w:r>
      <w:r w:rsidRPr="00672C36">
        <w:rPr>
          <w:rFonts w:cs="Open Sans"/>
        </w:rPr>
        <w:t xml:space="preserve"> Submission 68, </w:t>
      </w:r>
      <w:r>
        <w:rPr>
          <w:rFonts w:cs="Open Sans"/>
          <w:i/>
          <w:iCs/>
        </w:rPr>
        <w:t>Intersex Inquiry</w:t>
      </w:r>
      <w:r>
        <w:rPr>
          <w:rFonts w:cs="Open Sans"/>
        </w:rPr>
        <w:t>,</w:t>
      </w:r>
      <w:r>
        <w:rPr>
          <w:rFonts w:cs="Open Sans"/>
          <w:i/>
          <w:iCs/>
        </w:rPr>
        <w:t xml:space="preserve"> </w:t>
      </w:r>
      <w:r w:rsidRPr="00672C36">
        <w:rPr>
          <w:rFonts w:cs="Open Sans"/>
        </w:rPr>
        <w:t xml:space="preserve">5. </w:t>
      </w:r>
    </w:p>
  </w:endnote>
  <w:endnote w:id="733">
    <w:p w:rsidRPr="00672C36" w:rsidR="00452E54" w:rsidP="00452E54" w:rsidRDefault="00452E54" w14:paraId="6C75A329" w14:textId="77777777">
      <w:pPr>
        <w:pStyle w:val="EndnoteText"/>
        <w:rPr>
          <w:rFonts w:cs="Open Sans"/>
        </w:rPr>
      </w:pPr>
      <w:r w:rsidRPr="00672C36">
        <w:rPr>
          <w:rStyle w:val="EndnoteReference"/>
          <w:rFonts w:cs="Open Sans"/>
        </w:rPr>
        <w:endnoteRef/>
      </w:r>
      <w:r w:rsidRPr="00672C36">
        <w:rPr>
          <w:rFonts w:cs="Open Sans"/>
        </w:rPr>
        <w:t xml:space="preserve"> Submission 23,</w:t>
      </w:r>
      <w:r w:rsidRPr="0052464C">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 xml:space="preserve">5; Submission 20, </w:t>
      </w:r>
      <w:r>
        <w:rPr>
          <w:rFonts w:cs="Open Sans"/>
          <w:i/>
          <w:iCs/>
        </w:rPr>
        <w:t>Intersex Inquiry</w:t>
      </w:r>
      <w:r>
        <w:rPr>
          <w:rFonts w:cs="Open Sans"/>
        </w:rPr>
        <w:t>,</w:t>
      </w:r>
      <w:r>
        <w:rPr>
          <w:rFonts w:cs="Open Sans"/>
          <w:i/>
          <w:iCs/>
        </w:rPr>
        <w:t xml:space="preserve"> </w:t>
      </w:r>
      <w:r w:rsidRPr="00672C36">
        <w:rPr>
          <w:rFonts w:cs="Open Sans"/>
        </w:rPr>
        <w:t>9.</w:t>
      </w:r>
    </w:p>
  </w:endnote>
  <w:endnote w:id="734">
    <w:p w:rsidRPr="00672C36" w:rsidR="00452E54" w:rsidP="00452E54" w:rsidRDefault="00452E54" w14:paraId="78014B16" w14:textId="77777777">
      <w:pPr>
        <w:pStyle w:val="EndnoteText"/>
        <w:rPr>
          <w:rFonts w:cs="Open Sans"/>
        </w:rPr>
      </w:pPr>
      <w:r w:rsidRPr="00672C36">
        <w:rPr>
          <w:rStyle w:val="EndnoteReference"/>
          <w:rFonts w:cs="Open Sans"/>
        </w:rPr>
        <w:endnoteRef/>
      </w:r>
      <w:r w:rsidRPr="00672C36">
        <w:rPr>
          <w:rFonts w:cs="Open Sans"/>
        </w:rPr>
        <w:t xml:space="preserve"> Submission 67, </w:t>
      </w:r>
      <w:r>
        <w:rPr>
          <w:rFonts w:cs="Open Sans"/>
          <w:i/>
          <w:iCs/>
        </w:rPr>
        <w:t>Intersex Inquiry</w:t>
      </w:r>
      <w:r>
        <w:rPr>
          <w:rFonts w:cs="Open Sans"/>
        </w:rPr>
        <w:t xml:space="preserve">; </w:t>
      </w:r>
      <w:r w:rsidRPr="00672C36">
        <w:rPr>
          <w:rFonts w:cs="Open Sans"/>
        </w:rPr>
        <w:t>Submission 21,</w:t>
      </w:r>
      <w:r w:rsidRPr="00F4707E">
        <w:rPr>
          <w:rFonts w:cs="Open Sans"/>
          <w:i/>
        </w:rPr>
        <w:t xml:space="preserve"> </w:t>
      </w:r>
      <w:r>
        <w:rPr>
          <w:rFonts w:cs="Open Sans"/>
          <w:i/>
          <w:iCs/>
        </w:rPr>
        <w:t>Intersex Inquiry</w:t>
      </w:r>
      <w:r>
        <w:rPr>
          <w:rFonts w:cs="Open Sans"/>
        </w:rPr>
        <w:t xml:space="preserve">; </w:t>
      </w:r>
      <w:r w:rsidRPr="00672C36">
        <w:rPr>
          <w:rFonts w:cs="Open Sans"/>
        </w:rPr>
        <w:t>Submission 25,</w:t>
      </w:r>
      <w:r w:rsidRPr="00F4707E">
        <w:rPr>
          <w:rFonts w:cs="Open Sans"/>
          <w:i/>
        </w:rPr>
        <w:t xml:space="preserve"> </w:t>
      </w:r>
      <w:r>
        <w:rPr>
          <w:rFonts w:cs="Open Sans"/>
          <w:i/>
          <w:iCs/>
        </w:rPr>
        <w:t>Intersex Inquiry</w:t>
      </w:r>
      <w:r>
        <w:rPr>
          <w:rFonts w:cs="Open Sans"/>
        </w:rPr>
        <w:t>,</w:t>
      </w:r>
      <w:r w:rsidRPr="00672C36">
        <w:rPr>
          <w:rFonts w:cs="Open Sans"/>
        </w:rPr>
        <w:t xml:space="preserve"> 5.</w:t>
      </w:r>
    </w:p>
  </w:endnote>
  <w:endnote w:id="735">
    <w:p w:rsidRPr="00672C36" w:rsidR="00452E54" w:rsidP="00452E54" w:rsidRDefault="00452E54" w14:paraId="64AA7A1C" w14:textId="77777777">
      <w:pPr>
        <w:pStyle w:val="EndnoteText"/>
        <w:rPr>
          <w:rFonts w:cs="Open Sans"/>
          <w:lang w:val="en-US"/>
        </w:rPr>
      </w:pPr>
      <w:r w:rsidRPr="00672C36">
        <w:rPr>
          <w:rStyle w:val="EndnoteReference"/>
          <w:rFonts w:cs="Open Sans"/>
        </w:rPr>
        <w:endnoteRef/>
      </w:r>
      <w:r w:rsidRPr="00672C36">
        <w:rPr>
          <w:rFonts w:cs="Open Sans"/>
        </w:rPr>
        <w:t xml:space="preserve"> Submission 21</w:t>
      </w:r>
      <w:r>
        <w:rPr>
          <w:rFonts w:cs="Open Sans"/>
        </w:rPr>
        <w:t>,</w:t>
      </w:r>
      <w:r w:rsidRPr="004F1978">
        <w:rPr>
          <w:rFonts w:cs="Open Sans"/>
          <w:i/>
          <w:iCs/>
        </w:rPr>
        <w:t xml:space="preserve"> </w:t>
      </w:r>
      <w:r>
        <w:rPr>
          <w:rFonts w:cs="Open Sans"/>
          <w:i/>
          <w:iCs/>
        </w:rPr>
        <w:t>Intersex Inquiry</w:t>
      </w:r>
      <w:r w:rsidRPr="00672C36">
        <w:rPr>
          <w:rFonts w:cs="Open Sans"/>
        </w:rPr>
        <w:t xml:space="preserve">. </w:t>
      </w:r>
    </w:p>
  </w:endnote>
  <w:endnote w:id="736">
    <w:p w:rsidRPr="00672C36" w:rsidR="00452E54" w:rsidP="00452E54" w:rsidRDefault="00452E54" w14:paraId="7B1B6C65" w14:textId="77777777">
      <w:pPr>
        <w:pStyle w:val="EndnoteText"/>
        <w:rPr>
          <w:rFonts w:cs="Open Sans"/>
        </w:rPr>
      </w:pPr>
      <w:r w:rsidRPr="00672C36">
        <w:rPr>
          <w:rStyle w:val="EndnoteReference"/>
          <w:rFonts w:cs="Open Sans"/>
        </w:rPr>
        <w:endnoteRef/>
      </w:r>
      <w:r w:rsidRPr="00672C36">
        <w:rPr>
          <w:rFonts w:cs="Open Sans"/>
        </w:rPr>
        <w:t xml:space="preserve"> Submission 25, </w:t>
      </w:r>
      <w:r>
        <w:rPr>
          <w:rFonts w:cs="Open Sans"/>
          <w:i/>
          <w:iCs/>
        </w:rPr>
        <w:t>Intersex Inquiry</w:t>
      </w:r>
      <w:r>
        <w:rPr>
          <w:rFonts w:cs="Open Sans"/>
        </w:rPr>
        <w:t>,</w:t>
      </w:r>
      <w:r>
        <w:rPr>
          <w:rFonts w:cs="Open Sans"/>
          <w:i/>
          <w:iCs/>
        </w:rPr>
        <w:t xml:space="preserve"> </w:t>
      </w:r>
      <w:r w:rsidRPr="00672C36">
        <w:rPr>
          <w:rFonts w:cs="Open Sans"/>
        </w:rPr>
        <w:t>5.</w:t>
      </w:r>
    </w:p>
  </w:endnote>
  <w:endnote w:id="737">
    <w:p w:rsidRPr="00672C36" w:rsidR="00452E54" w:rsidP="00452E54" w:rsidRDefault="00452E54" w14:paraId="661A51EE" w14:textId="77777777">
      <w:pPr>
        <w:pStyle w:val="EndnoteText"/>
        <w:rPr>
          <w:rFonts w:cs="Open Sans"/>
        </w:rPr>
      </w:pPr>
      <w:r w:rsidRPr="00672C36">
        <w:rPr>
          <w:rStyle w:val="EndnoteReference"/>
          <w:rFonts w:cs="Open Sans"/>
        </w:rPr>
        <w:endnoteRef/>
      </w:r>
      <w:r w:rsidRPr="00672C36">
        <w:rPr>
          <w:rFonts w:cs="Open Sans"/>
        </w:rPr>
        <w:t xml:space="preserve"> Australian Digital Inclusion Index, </w:t>
      </w:r>
      <w:r w:rsidRPr="00672C36">
        <w:rPr>
          <w:rFonts w:cs="Open Sans"/>
          <w:i/>
        </w:rPr>
        <w:t>Measuring Australia’s Digital Divide</w:t>
      </w:r>
      <w:r w:rsidRPr="00672C36">
        <w:rPr>
          <w:rFonts w:cs="Open Sans"/>
        </w:rPr>
        <w:t xml:space="preserve"> (2018), 5. Groups most likely to be marginalised by the digital divide include people with disability, mobile-only users, Aboriginal and Torres Strait Islander people, people in low income households and people who did not complete secondary school: p 6.</w:t>
      </w:r>
    </w:p>
  </w:endnote>
  <w:endnote w:id="738">
    <w:p w:rsidRPr="00672C36" w:rsidR="00452E54" w:rsidP="00452E54" w:rsidRDefault="00452E54" w14:paraId="1AC5FF64" w14:textId="77777777">
      <w:pPr>
        <w:pStyle w:val="EndnoteText"/>
        <w:rPr>
          <w:rFonts w:cs="Open Sans"/>
          <w:lang w:val="en-US"/>
        </w:rPr>
      </w:pPr>
      <w:r w:rsidRPr="00672C36">
        <w:rPr>
          <w:rStyle w:val="EndnoteReference"/>
          <w:rFonts w:cs="Open Sans"/>
        </w:rPr>
        <w:endnoteRef/>
      </w:r>
      <w:r w:rsidRPr="00672C36">
        <w:rPr>
          <w:rFonts w:cs="Open Sans"/>
        </w:rPr>
        <w:t xml:space="preserve"> </w:t>
      </w:r>
      <w:r w:rsidRPr="00672C36">
        <w:rPr>
          <w:rFonts w:cs="Open Sans"/>
          <w:lang w:val="en-US"/>
        </w:rPr>
        <w:t>See also Chapter 3 – Lived experience.</w:t>
      </w:r>
    </w:p>
  </w:endnote>
  <w:endnote w:id="739">
    <w:p w:rsidRPr="00672C36" w:rsidR="00452E54" w:rsidP="00452E54" w:rsidRDefault="00452E54" w14:paraId="38E35055" w14:textId="77777777">
      <w:pPr>
        <w:pStyle w:val="EndnoteText"/>
        <w:rPr>
          <w:rFonts w:cs="Open Sans"/>
        </w:rPr>
      </w:pPr>
      <w:r w:rsidRPr="00672C36">
        <w:rPr>
          <w:rStyle w:val="EndnoteReference"/>
          <w:rFonts w:cs="Open Sans"/>
        </w:rPr>
        <w:endnoteRef/>
      </w:r>
      <w:r w:rsidRPr="00672C36">
        <w:rPr>
          <w:rFonts w:cs="Open Sans"/>
        </w:rPr>
        <w:t xml:space="preserve"> A Gender Agenda, Submission 52,</w:t>
      </w:r>
      <w:r w:rsidRPr="00A813E4">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10; Submission 36,</w:t>
      </w:r>
      <w:r w:rsidRPr="00F32B4C">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 xml:space="preserve">27. </w:t>
      </w:r>
    </w:p>
  </w:endnote>
  <w:endnote w:id="740">
    <w:p w:rsidRPr="00672C36" w:rsidR="00452E54" w:rsidP="00452E54" w:rsidRDefault="00452E54" w14:paraId="038D9EC8" w14:textId="77777777">
      <w:pPr>
        <w:pStyle w:val="EndnoteText"/>
        <w:rPr>
          <w:rFonts w:cs="Open Sans"/>
        </w:rPr>
      </w:pPr>
      <w:r w:rsidRPr="00672C36">
        <w:rPr>
          <w:rStyle w:val="EndnoteReference"/>
          <w:rFonts w:cs="Open Sans"/>
        </w:rPr>
        <w:endnoteRef/>
      </w:r>
      <w:r w:rsidRPr="00672C36">
        <w:rPr>
          <w:rFonts w:cs="Open Sans"/>
        </w:rPr>
        <w:t xml:space="preserve"> Submission 52, </w:t>
      </w:r>
      <w:r>
        <w:rPr>
          <w:rFonts w:cs="Open Sans"/>
          <w:i/>
          <w:iCs/>
        </w:rPr>
        <w:t>Intersex Inquiry</w:t>
      </w:r>
      <w:r>
        <w:rPr>
          <w:rFonts w:cs="Open Sans"/>
        </w:rPr>
        <w:t>,</w:t>
      </w:r>
      <w:r>
        <w:rPr>
          <w:rFonts w:cs="Open Sans"/>
          <w:i/>
          <w:iCs/>
        </w:rPr>
        <w:t xml:space="preserve"> </w:t>
      </w:r>
      <w:r w:rsidRPr="00672C36">
        <w:rPr>
          <w:rFonts w:cs="Open Sans"/>
        </w:rPr>
        <w:t>9.</w:t>
      </w:r>
    </w:p>
  </w:endnote>
  <w:endnote w:id="741">
    <w:p w:rsidRPr="00672C36" w:rsidR="00452E54" w:rsidP="00452E54" w:rsidRDefault="00452E54" w14:paraId="6B110039" w14:textId="77777777">
      <w:pPr>
        <w:pStyle w:val="EndnoteText"/>
        <w:rPr>
          <w:rFonts w:cs="Open Sans"/>
        </w:rPr>
      </w:pPr>
      <w:r w:rsidRPr="00672C36">
        <w:rPr>
          <w:rStyle w:val="EndnoteReference"/>
          <w:rFonts w:cs="Open Sans"/>
        </w:rPr>
        <w:endnoteRef/>
      </w:r>
      <w:r w:rsidRPr="00672C36">
        <w:rPr>
          <w:rFonts w:cs="Open Sans"/>
        </w:rPr>
        <w:t xml:space="preserve"> Submission 52, </w:t>
      </w:r>
      <w:r>
        <w:rPr>
          <w:rFonts w:cs="Open Sans"/>
          <w:i/>
          <w:iCs/>
        </w:rPr>
        <w:t>Intersex Inquiry</w:t>
      </w:r>
      <w:r>
        <w:rPr>
          <w:rFonts w:cs="Open Sans"/>
        </w:rPr>
        <w:t>,</w:t>
      </w:r>
      <w:r>
        <w:rPr>
          <w:rFonts w:cs="Open Sans"/>
          <w:i/>
          <w:iCs/>
        </w:rPr>
        <w:t xml:space="preserve"> </w:t>
      </w:r>
      <w:r w:rsidRPr="00672C36">
        <w:rPr>
          <w:rFonts w:cs="Open Sans"/>
        </w:rPr>
        <w:t>10.</w:t>
      </w:r>
    </w:p>
  </w:endnote>
  <w:endnote w:id="742">
    <w:p w:rsidRPr="00672C36" w:rsidR="00452E54" w:rsidP="00452E54" w:rsidRDefault="00452E54" w14:paraId="064272F0" w14:textId="77777777">
      <w:pPr>
        <w:pStyle w:val="EndnoteText"/>
        <w:rPr>
          <w:rFonts w:cs="Open Sans"/>
        </w:rPr>
      </w:pPr>
      <w:r w:rsidRPr="00672C36">
        <w:rPr>
          <w:rStyle w:val="EndnoteReference"/>
          <w:rFonts w:cs="Open Sans"/>
        </w:rPr>
        <w:endnoteRef/>
      </w:r>
      <w:r w:rsidRPr="00672C36">
        <w:rPr>
          <w:rFonts w:cs="Open Sans"/>
        </w:rPr>
        <w:t xml:space="preserve"> Submission 36, </w:t>
      </w:r>
      <w:r>
        <w:rPr>
          <w:rFonts w:cs="Open Sans"/>
          <w:i/>
          <w:iCs/>
        </w:rPr>
        <w:t>Intersex Inquiry</w:t>
      </w:r>
      <w:r w:rsidRPr="00672C36">
        <w:rPr>
          <w:rFonts w:cs="Open Sans"/>
        </w:rPr>
        <w:t>,</w:t>
      </w:r>
      <w:r>
        <w:rPr>
          <w:rFonts w:cs="Open Sans"/>
          <w:i/>
        </w:rPr>
        <w:t xml:space="preserve"> </w:t>
      </w:r>
      <w:r w:rsidRPr="00672C36">
        <w:rPr>
          <w:rFonts w:cs="Open Sans"/>
        </w:rPr>
        <w:t xml:space="preserve">27 – reported in submission from an Intersex peer-support and advocacy organisation that included input from individuals born with variations in sex characteristics. </w:t>
      </w:r>
    </w:p>
  </w:endnote>
  <w:endnote w:id="743">
    <w:p w:rsidRPr="00672C36" w:rsidR="00452E54" w:rsidP="00452E54" w:rsidRDefault="00452E54" w14:paraId="3E4007C7" w14:textId="77777777">
      <w:pPr>
        <w:pStyle w:val="EndnoteText"/>
        <w:rPr>
          <w:rFonts w:cs="Open Sans"/>
        </w:rPr>
      </w:pPr>
      <w:r w:rsidRPr="00672C36">
        <w:rPr>
          <w:rStyle w:val="EndnoteReference"/>
          <w:rFonts w:cs="Open Sans"/>
        </w:rPr>
        <w:endnoteRef/>
      </w:r>
      <w:r w:rsidRPr="00672C36">
        <w:rPr>
          <w:rFonts w:cs="Open Sans"/>
        </w:rPr>
        <w:t xml:space="preserve"> A Gender Agenda, Submission 52,</w:t>
      </w:r>
      <w:r w:rsidRPr="00705B64">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 xml:space="preserve">10. </w:t>
      </w:r>
    </w:p>
  </w:endnote>
  <w:endnote w:id="744">
    <w:p w:rsidRPr="00672C36" w:rsidR="00452E54" w:rsidP="00452E54" w:rsidRDefault="00452E54" w14:paraId="397725AD" w14:textId="77777777">
      <w:pPr>
        <w:pStyle w:val="EndnoteText"/>
        <w:rPr>
          <w:rFonts w:cs="Open Sans"/>
        </w:rPr>
      </w:pPr>
      <w:r w:rsidRPr="00672C36">
        <w:rPr>
          <w:rStyle w:val="EndnoteReference"/>
          <w:rFonts w:cs="Open Sans"/>
        </w:rPr>
        <w:endnoteRef/>
      </w:r>
      <w:r w:rsidRPr="00672C36">
        <w:rPr>
          <w:rFonts w:cs="Open Sans"/>
        </w:rPr>
        <w:t xml:space="preserve"> Submission 36,</w:t>
      </w:r>
      <w:r w:rsidRPr="00705B64">
        <w:rPr>
          <w:rFonts w:cs="Open Sans"/>
          <w:i/>
          <w:iCs/>
        </w:rPr>
        <w:t xml:space="preserve"> </w:t>
      </w:r>
      <w:r>
        <w:rPr>
          <w:rFonts w:cs="Open Sans"/>
          <w:i/>
          <w:iCs/>
        </w:rPr>
        <w:t>Intersex Inquiry</w:t>
      </w:r>
      <w:r w:rsidRPr="00672C36">
        <w:rPr>
          <w:rFonts w:cs="Open Sans"/>
        </w:rPr>
        <w:t>,</w:t>
      </w:r>
      <w:r>
        <w:rPr>
          <w:rFonts w:cs="Open Sans"/>
          <w:i/>
        </w:rPr>
        <w:t xml:space="preserve"> </w:t>
      </w:r>
      <w:r w:rsidRPr="00672C36">
        <w:rPr>
          <w:rFonts w:cs="Open Sans"/>
        </w:rPr>
        <w:t xml:space="preserve">9 – reported in submission from an Intersex peer-support and advocacy organisation that included input from individuals born with variations in sex characteristics. </w:t>
      </w:r>
    </w:p>
  </w:endnote>
  <w:endnote w:id="745">
    <w:p w:rsidRPr="00672C36" w:rsidR="00452E54" w:rsidP="00452E54" w:rsidRDefault="00452E54" w14:paraId="2AED2328" w14:textId="77777777">
      <w:pPr>
        <w:pStyle w:val="EndnoteText"/>
        <w:rPr>
          <w:rFonts w:cs="Open Sans"/>
        </w:rPr>
      </w:pPr>
      <w:r w:rsidRPr="00672C36">
        <w:rPr>
          <w:rStyle w:val="EndnoteReference"/>
          <w:rFonts w:cs="Open Sans"/>
        </w:rPr>
        <w:endnoteRef/>
      </w:r>
      <w:r w:rsidRPr="00672C36">
        <w:rPr>
          <w:rFonts w:cs="Open Sans"/>
        </w:rPr>
        <w:t xml:space="preserve"> A Gender Agenda, Submission 52, </w:t>
      </w:r>
      <w:r>
        <w:rPr>
          <w:rFonts w:cs="Open Sans"/>
          <w:i/>
          <w:iCs/>
        </w:rPr>
        <w:t>Intersex Inquiry</w:t>
      </w:r>
      <w:r>
        <w:rPr>
          <w:rFonts w:cs="Open Sans"/>
        </w:rPr>
        <w:t>,</w:t>
      </w:r>
      <w:r>
        <w:rPr>
          <w:rFonts w:cs="Open Sans"/>
          <w:i/>
          <w:iCs/>
        </w:rPr>
        <w:t xml:space="preserve"> </w:t>
      </w:r>
      <w:r w:rsidRPr="00672C36">
        <w:rPr>
          <w:rFonts w:cs="Open Sans"/>
        </w:rPr>
        <w:t>10; Submission 41,</w:t>
      </w:r>
      <w:r w:rsidRPr="00705B64">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 xml:space="preserve">4, 7; Submission 36, </w:t>
      </w:r>
      <w:r>
        <w:rPr>
          <w:rFonts w:cs="Open Sans"/>
          <w:i/>
          <w:iCs/>
        </w:rPr>
        <w:t>Intersex Inquiry</w:t>
      </w:r>
      <w:r>
        <w:rPr>
          <w:rFonts w:cs="Open Sans"/>
        </w:rPr>
        <w:t>,</w:t>
      </w:r>
      <w:r>
        <w:rPr>
          <w:rFonts w:cs="Open Sans"/>
          <w:i/>
          <w:iCs/>
        </w:rPr>
        <w:t xml:space="preserve"> </w:t>
      </w:r>
      <w:r w:rsidRPr="00672C36">
        <w:rPr>
          <w:rFonts w:cs="Open Sans"/>
        </w:rPr>
        <w:t xml:space="preserve">7. </w:t>
      </w:r>
    </w:p>
  </w:endnote>
  <w:endnote w:id="746">
    <w:p w:rsidRPr="00672C36" w:rsidR="00452E54" w:rsidP="00452E54" w:rsidRDefault="00452E54" w14:paraId="666A900B" w14:textId="77777777">
      <w:pPr>
        <w:pStyle w:val="EndnoteText"/>
        <w:rPr>
          <w:rFonts w:cs="Open Sans"/>
        </w:rPr>
      </w:pPr>
      <w:r w:rsidRPr="00672C36">
        <w:rPr>
          <w:rStyle w:val="EndnoteReference"/>
          <w:rFonts w:cs="Open Sans"/>
        </w:rPr>
        <w:endnoteRef/>
      </w:r>
      <w:r w:rsidRPr="00672C36">
        <w:rPr>
          <w:rFonts w:cs="Open Sans"/>
        </w:rPr>
        <w:t xml:space="preserve"> Submission 36, </w:t>
      </w:r>
      <w:r>
        <w:rPr>
          <w:rFonts w:cs="Open Sans"/>
          <w:i/>
          <w:iCs/>
        </w:rPr>
        <w:t>Intersex Inquiry</w:t>
      </w:r>
      <w:r>
        <w:rPr>
          <w:rFonts w:cs="Open Sans"/>
        </w:rPr>
        <w:t>,</w:t>
      </w:r>
      <w:r>
        <w:rPr>
          <w:rFonts w:cs="Open Sans"/>
          <w:i/>
          <w:iCs/>
        </w:rPr>
        <w:t xml:space="preserve"> </w:t>
      </w:r>
      <w:r w:rsidRPr="00672C36">
        <w:rPr>
          <w:rFonts w:cs="Open Sans"/>
        </w:rPr>
        <w:t xml:space="preserve">27. </w:t>
      </w:r>
    </w:p>
  </w:endnote>
  <w:endnote w:id="747">
    <w:p w:rsidRPr="00672C36" w:rsidR="00452E54" w:rsidP="00452E54" w:rsidRDefault="00452E54" w14:paraId="2124E006" w14:textId="77777777">
      <w:pPr>
        <w:pStyle w:val="EndnoteText"/>
        <w:rPr>
          <w:rFonts w:cs="Open Sans"/>
        </w:rPr>
      </w:pPr>
      <w:r w:rsidRPr="00672C36">
        <w:rPr>
          <w:rStyle w:val="EndnoteReference"/>
          <w:rFonts w:cs="Open Sans"/>
        </w:rPr>
        <w:endnoteRef/>
      </w:r>
      <w:r w:rsidRPr="00672C36">
        <w:rPr>
          <w:rFonts w:cs="Open Sans"/>
        </w:rPr>
        <w:t xml:space="preserve"> Submission 25, </w:t>
      </w:r>
      <w:r>
        <w:rPr>
          <w:rFonts w:cs="Open Sans"/>
          <w:i/>
          <w:iCs/>
        </w:rPr>
        <w:t>Intersex Inquiry</w:t>
      </w:r>
      <w:r>
        <w:rPr>
          <w:rFonts w:cs="Open Sans"/>
        </w:rPr>
        <w:t>,</w:t>
      </w:r>
      <w:r>
        <w:rPr>
          <w:rFonts w:cs="Open Sans"/>
          <w:i/>
          <w:iCs/>
        </w:rPr>
        <w:t xml:space="preserve"> </w:t>
      </w:r>
      <w:r w:rsidRPr="00672C36">
        <w:rPr>
          <w:rFonts w:cs="Open Sans"/>
        </w:rPr>
        <w:t>5.</w:t>
      </w:r>
    </w:p>
  </w:endnote>
  <w:endnote w:id="748">
    <w:p w:rsidRPr="00672C36" w:rsidR="00452E54" w:rsidP="00452E54" w:rsidRDefault="00452E54" w14:paraId="1EB2FA7B" w14:textId="77777777">
      <w:pPr>
        <w:pStyle w:val="EndnoteText"/>
        <w:rPr>
          <w:rFonts w:cs="Open Sans"/>
        </w:rPr>
      </w:pPr>
      <w:r w:rsidRPr="00672C36">
        <w:rPr>
          <w:rStyle w:val="EndnoteReference"/>
          <w:rFonts w:cs="Open Sans"/>
        </w:rPr>
        <w:endnoteRef/>
      </w:r>
      <w:r w:rsidRPr="00672C36">
        <w:rPr>
          <w:rFonts w:cs="Open Sans"/>
        </w:rPr>
        <w:t xml:space="preserve"> Submission 36, </w:t>
      </w:r>
      <w:r>
        <w:rPr>
          <w:rFonts w:cs="Open Sans"/>
          <w:i/>
          <w:iCs/>
        </w:rPr>
        <w:t>Intersex Inquiry</w:t>
      </w:r>
      <w:r>
        <w:rPr>
          <w:rFonts w:cs="Open Sans"/>
        </w:rPr>
        <w:t>,</w:t>
      </w:r>
      <w:r>
        <w:rPr>
          <w:rFonts w:cs="Open Sans"/>
          <w:i/>
          <w:iCs/>
        </w:rPr>
        <w:t xml:space="preserve"> </w:t>
      </w:r>
      <w:r w:rsidRPr="00672C36">
        <w:rPr>
          <w:rFonts w:cs="Open Sans"/>
        </w:rPr>
        <w:t xml:space="preserve">27. </w:t>
      </w:r>
    </w:p>
  </w:endnote>
  <w:endnote w:id="749">
    <w:p w:rsidRPr="00672C36" w:rsidR="00452E54" w:rsidP="00452E54" w:rsidRDefault="00452E54" w14:paraId="53401248" w14:textId="77777777">
      <w:pPr>
        <w:pStyle w:val="EndnoteText"/>
        <w:rPr>
          <w:rFonts w:cs="Open Sans"/>
        </w:rPr>
      </w:pPr>
      <w:r w:rsidRPr="00672C36">
        <w:rPr>
          <w:rStyle w:val="EndnoteReference"/>
          <w:rFonts w:cs="Open Sans"/>
        </w:rPr>
        <w:endnoteRef/>
      </w:r>
      <w:r w:rsidRPr="00672C36">
        <w:rPr>
          <w:rFonts w:cs="Open Sans"/>
        </w:rPr>
        <w:t xml:space="preserve"> The Darlington Statement, paragraph 33, cited in Submission 36, </w:t>
      </w:r>
      <w:r>
        <w:rPr>
          <w:rFonts w:cs="Open Sans"/>
          <w:i/>
          <w:iCs/>
        </w:rPr>
        <w:t>Intersex Inquiry</w:t>
      </w:r>
      <w:r>
        <w:rPr>
          <w:rFonts w:cs="Open Sans"/>
        </w:rPr>
        <w:t>,</w:t>
      </w:r>
      <w:r>
        <w:rPr>
          <w:rFonts w:cs="Open Sans"/>
          <w:i/>
          <w:iCs/>
        </w:rPr>
        <w:t xml:space="preserve"> </w:t>
      </w:r>
      <w:r w:rsidRPr="00672C36">
        <w:rPr>
          <w:rFonts w:cs="Open Sans"/>
        </w:rPr>
        <w:t xml:space="preserve">28. </w:t>
      </w:r>
    </w:p>
  </w:endnote>
  <w:endnote w:id="750">
    <w:p w:rsidRPr="00672C36" w:rsidR="00452E54" w:rsidP="00452E54" w:rsidRDefault="00452E54" w14:paraId="5C0A2693" w14:textId="77777777">
      <w:pPr>
        <w:pStyle w:val="EndnoteText"/>
        <w:rPr>
          <w:rFonts w:cs="Open Sans"/>
        </w:rPr>
      </w:pPr>
      <w:r w:rsidRPr="00672C36">
        <w:rPr>
          <w:rStyle w:val="EndnoteReference"/>
          <w:rFonts w:cs="Open Sans"/>
        </w:rPr>
        <w:endnoteRef/>
      </w:r>
      <w:r w:rsidRPr="00672C36">
        <w:rPr>
          <w:rFonts w:cs="Open Sans"/>
        </w:rPr>
        <w:t xml:space="preserve"> Submission 52,</w:t>
      </w:r>
      <w:r w:rsidRPr="00705B64">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9.</w:t>
      </w:r>
    </w:p>
  </w:endnote>
  <w:endnote w:id="751">
    <w:p w:rsidRPr="00672C36" w:rsidR="00452E54" w:rsidP="00452E54" w:rsidRDefault="00452E54" w14:paraId="0C76CE1E" w14:textId="77777777">
      <w:pPr>
        <w:pStyle w:val="EndnoteText"/>
        <w:rPr>
          <w:rFonts w:cs="Open Sans"/>
        </w:rPr>
      </w:pPr>
      <w:r w:rsidRPr="00672C36">
        <w:rPr>
          <w:rStyle w:val="EndnoteReference"/>
          <w:rFonts w:cs="Open Sans"/>
        </w:rPr>
        <w:endnoteRef/>
      </w:r>
      <w:r w:rsidRPr="00672C36">
        <w:rPr>
          <w:rFonts w:cs="Open Sans"/>
        </w:rPr>
        <w:t xml:space="preserve"> Submission 55, </w:t>
      </w:r>
      <w:r>
        <w:rPr>
          <w:rFonts w:cs="Open Sans"/>
          <w:i/>
          <w:iCs/>
        </w:rPr>
        <w:t>Intersex Inquiry</w:t>
      </w:r>
      <w:r>
        <w:rPr>
          <w:rFonts w:cs="Open Sans"/>
        </w:rPr>
        <w:t>,</w:t>
      </w:r>
      <w:r>
        <w:rPr>
          <w:rFonts w:cs="Open Sans"/>
          <w:i/>
          <w:iCs/>
        </w:rPr>
        <w:t xml:space="preserve"> </w:t>
      </w:r>
      <w:r w:rsidRPr="00672C36">
        <w:rPr>
          <w:rFonts w:cs="Open Sans"/>
        </w:rPr>
        <w:t xml:space="preserve">11. </w:t>
      </w:r>
    </w:p>
  </w:endnote>
  <w:endnote w:id="752">
    <w:p w:rsidRPr="00672C36" w:rsidR="00452E54" w:rsidP="00452E54" w:rsidRDefault="00452E54" w14:paraId="44CDF9EA" w14:textId="77777777">
      <w:pPr>
        <w:pStyle w:val="EndnoteText"/>
        <w:rPr>
          <w:rFonts w:cs="Open Sans"/>
        </w:rPr>
      </w:pPr>
      <w:r w:rsidRPr="00672C36">
        <w:rPr>
          <w:rStyle w:val="EndnoteReference"/>
          <w:rFonts w:cs="Open Sans"/>
        </w:rPr>
        <w:endnoteRef/>
      </w:r>
      <w:r w:rsidRPr="00672C36">
        <w:rPr>
          <w:rFonts w:cs="Open Sans"/>
        </w:rPr>
        <w:t xml:space="preserve"> Interview 1</w:t>
      </w:r>
      <w:r>
        <w:rPr>
          <w:rFonts w:cs="Open Sans"/>
          <w:i/>
          <w:iCs/>
        </w:rPr>
        <w:t>, Intersex Inquiry</w:t>
      </w:r>
      <w:r w:rsidRPr="00672C36">
        <w:rPr>
          <w:rFonts w:cs="Open Sans"/>
        </w:rPr>
        <w:t xml:space="preserve">. </w:t>
      </w:r>
    </w:p>
  </w:endnote>
  <w:endnote w:id="753">
    <w:p w:rsidRPr="00672C36" w:rsidR="00452E54" w:rsidP="00452E54" w:rsidRDefault="00452E54" w14:paraId="2CF95582" w14:textId="77777777">
      <w:pPr>
        <w:pStyle w:val="EndnoteText"/>
        <w:rPr>
          <w:rFonts w:cs="Open Sans"/>
          <w:lang w:val="en-US"/>
        </w:rPr>
      </w:pPr>
      <w:r w:rsidRPr="00672C36">
        <w:rPr>
          <w:rStyle w:val="EndnoteReference"/>
          <w:rFonts w:cs="Open Sans"/>
        </w:rPr>
        <w:endnoteRef/>
      </w:r>
      <w:r w:rsidRPr="00672C36">
        <w:rPr>
          <w:rFonts w:cs="Open Sans"/>
        </w:rPr>
        <w:t xml:space="preserve"> </w:t>
      </w:r>
      <w:r w:rsidRPr="00672C36">
        <w:rPr>
          <w:rFonts w:cs="Open Sans"/>
          <w:lang w:val="en-US"/>
        </w:rPr>
        <w:t xml:space="preserve">For example, The Medical Board of Australia </w:t>
      </w:r>
      <w:r w:rsidRPr="00672C36">
        <w:rPr>
          <w:rFonts w:cs="Open Sans"/>
          <w:i/>
          <w:iCs/>
          <w:lang w:val="en-US"/>
        </w:rPr>
        <w:t>Good Medical Practice: A Code of Conduct for Doctors in Australia</w:t>
      </w:r>
      <w:r w:rsidRPr="00672C36">
        <w:rPr>
          <w:rFonts w:cs="Open Sans"/>
          <w:lang w:val="en-US"/>
        </w:rPr>
        <w:t>.</w:t>
      </w:r>
    </w:p>
  </w:endnote>
  <w:endnote w:id="754">
    <w:p w:rsidRPr="00672C36" w:rsidR="00452E54" w:rsidP="00452E54" w:rsidRDefault="00452E54" w14:paraId="74522B59" w14:textId="77777777">
      <w:pPr>
        <w:pStyle w:val="EndnoteText"/>
        <w:rPr>
          <w:rFonts w:cs="Open Sans"/>
          <w:lang w:val="en-US"/>
        </w:rPr>
      </w:pPr>
      <w:r w:rsidRPr="00672C36">
        <w:rPr>
          <w:rStyle w:val="EndnoteReference"/>
          <w:rFonts w:cs="Open Sans"/>
        </w:rPr>
        <w:endnoteRef/>
      </w:r>
      <w:r w:rsidRPr="00672C36">
        <w:rPr>
          <w:rFonts w:cs="Open Sans"/>
        </w:rPr>
        <w:t xml:space="preserve"> </w:t>
      </w:r>
      <w:r w:rsidRPr="00672C36">
        <w:rPr>
          <w:rFonts w:cs="Open Sans"/>
          <w:lang w:val="en-US"/>
        </w:rPr>
        <w:t xml:space="preserve">See, eg, </w:t>
      </w:r>
      <w:r w:rsidRPr="00672C36">
        <w:rPr>
          <w:rFonts w:cs="Open Sans"/>
          <w:i/>
          <w:iCs/>
          <w:lang w:val="en-US"/>
        </w:rPr>
        <w:t>Health Records and Information Privacy Act 2002</w:t>
      </w:r>
      <w:r w:rsidRPr="00672C36">
        <w:rPr>
          <w:rFonts w:cs="Open Sans"/>
          <w:lang w:val="en-US"/>
        </w:rPr>
        <w:t xml:space="preserve"> (NSW).</w:t>
      </w:r>
    </w:p>
  </w:endnote>
  <w:endnote w:id="755">
    <w:p w:rsidRPr="00672C36" w:rsidR="00452E54" w:rsidP="00452E54" w:rsidRDefault="00452E54" w14:paraId="0F55EE58" w14:textId="77777777">
      <w:pPr>
        <w:pStyle w:val="EndnoteText"/>
        <w:rPr>
          <w:rFonts w:cs="Open Sans"/>
          <w:lang w:val="en-US"/>
        </w:rPr>
      </w:pPr>
      <w:r w:rsidRPr="00672C36">
        <w:rPr>
          <w:rStyle w:val="EndnoteReference"/>
          <w:rFonts w:cs="Open Sans"/>
        </w:rPr>
        <w:endnoteRef/>
      </w:r>
      <w:r w:rsidRPr="00672C36">
        <w:rPr>
          <w:rFonts w:cs="Open Sans"/>
        </w:rPr>
        <w:t xml:space="preserve"> </w:t>
      </w:r>
      <w:r w:rsidRPr="00672C36">
        <w:rPr>
          <w:rFonts w:cs="Open Sans"/>
          <w:i/>
          <w:iCs/>
          <w:lang w:val="en-US"/>
        </w:rPr>
        <w:t>Privacy Act 1988</w:t>
      </w:r>
      <w:r w:rsidRPr="00672C36">
        <w:rPr>
          <w:rFonts w:cs="Open Sans"/>
          <w:lang w:val="en-US"/>
        </w:rPr>
        <w:t xml:space="preserve"> (Cth), APP 11.2. </w:t>
      </w:r>
    </w:p>
  </w:endnote>
  <w:endnote w:id="756">
    <w:p w:rsidRPr="00672C36" w:rsidR="00452E54" w:rsidP="00452E54" w:rsidRDefault="00452E54" w14:paraId="6EA566EE" w14:textId="116D4F44">
      <w:pPr>
        <w:pStyle w:val="EndnoteText"/>
        <w:rPr>
          <w:rFonts w:cs="Open Sans"/>
          <w:lang w:val="en-US"/>
        </w:rPr>
      </w:pPr>
      <w:r w:rsidRPr="00672C36">
        <w:rPr>
          <w:rStyle w:val="EndnoteReference"/>
          <w:rFonts w:cs="Open Sans"/>
        </w:rPr>
        <w:endnoteRef/>
      </w:r>
      <w:r w:rsidRPr="00672C36">
        <w:rPr>
          <w:rFonts w:cs="Open Sans"/>
        </w:rPr>
        <w:t xml:space="preserve"> </w:t>
      </w:r>
      <w:r w:rsidRPr="00672C36">
        <w:rPr>
          <w:rFonts w:cs="Open Sans"/>
          <w:lang w:val="en-US"/>
        </w:rPr>
        <w:t>See, eg, Health Practitioner Regulation (New South Wales) Regulation 2016 (NSW), reg 9.</w:t>
      </w:r>
    </w:p>
  </w:endnote>
  <w:endnote w:id="757">
    <w:p w:rsidRPr="00672C36" w:rsidR="00452E54" w:rsidP="00452E54" w:rsidRDefault="00452E54" w14:paraId="5A6AA4CE" w14:textId="77777777">
      <w:pPr>
        <w:pStyle w:val="EndnoteText"/>
        <w:rPr>
          <w:rFonts w:cs="Open Sans"/>
          <w:lang w:val="en-US"/>
        </w:rPr>
      </w:pPr>
      <w:r w:rsidRPr="00672C36">
        <w:rPr>
          <w:rStyle w:val="EndnoteReference"/>
          <w:rFonts w:cs="Open Sans"/>
        </w:rPr>
        <w:endnoteRef/>
      </w:r>
      <w:r w:rsidRPr="00672C36">
        <w:rPr>
          <w:rFonts w:cs="Open Sans"/>
        </w:rPr>
        <w:t xml:space="preserve"> See, eg, in NSW, Health Services, Public: Patient/Client records (GDA17), a general retention and disposal authority issued under </w:t>
      </w:r>
      <w:r w:rsidRPr="00672C36">
        <w:rPr>
          <w:rFonts w:cs="Open Sans"/>
          <w:i/>
          <w:iCs/>
        </w:rPr>
        <w:t>State Records Act 1998</w:t>
      </w:r>
      <w:r w:rsidRPr="00672C36">
        <w:rPr>
          <w:rFonts w:cs="Open Sans"/>
        </w:rPr>
        <w:t xml:space="preserve"> (NSW) s 21(2).</w:t>
      </w:r>
    </w:p>
  </w:endnote>
  <w:endnote w:id="758">
    <w:p w:rsidRPr="00672C36" w:rsidR="00452E54" w:rsidP="00452E54" w:rsidRDefault="00452E54" w14:paraId="484165DA" w14:textId="77777777">
      <w:pPr>
        <w:pStyle w:val="EndnoteText"/>
        <w:rPr>
          <w:rFonts w:cs="Open Sans"/>
          <w:lang w:val="en-US"/>
        </w:rPr>
      </w:pPr>
      <w:r w:rsidRPr="00672C36">
        <w:rPr>
          <w:rStyle w:val="EndnoteReference"/>
          <w:rFonts w:cs="Open Sans"/>
        </w:rPr>
        <w:endnoteRef/>
      </w:r>
      <w:r w:rsidRPr="00672C36">
        <w:rPr>
          <w:rFonts w:cs="Open Sans"/>
        </w:rPr>
        <w:t xml:space="preserve"> </w:t>
      </w:r>
      <w:r w:rsidRPr="00672C36">
        <w:rPr>
          <w:rFonts w:eastAsia="Times New Roman" w:cs="Open Sans"/>
          <w:i/>
          <w:iCs/>
        </w:rPr>
        <w:t>My Health Records Act 2012</w:t>
      </w:r>
      <w:r w:rsidRPr="00672C36">
        <w:rPr>
          <w:rFonts w:eastAsia="Times New Roman" w:cs="Open Sans"/>
        </w:rPr>
        <w:t xml:space="preserve"> (Cth) s 17.</w:t>
      </w:r>
    </w:p>
  </w:endnote>
  <w:endnote w:id="759">
    <w:p w:rsidRPr="00672C36" w:rsidR="00452E54" w:rsidP="00452E54" w:rsidRDefault="00452E54" w14:paraId="0FED2F12" w14:textId="77777777">
      <w:pPr>
        <w:pStyle w:val="EndnoteText"/>
        <w:rPr>
          <w:rFonts w:cs="Open Sans"/>
        </w:rPr>
      </w:pPr>
      <w:r w:rsidRPr="00672C36">
        <w:rPr>
          <w:rStyle w:val="EndnoteReference"/>
          <w:rFonts w:cs="Open Sans"/>
        </w:rPr>
        <w:endnoteRef/>
      </w:r>
      <w:r w:rsidRPr="00672C36">
        <w:rPr>
          <w:rFonts w:cs="Open Sans"/>
        </w:rPr>
        <w:t xml:space="preserve"> Australian Government, The Australian Digital Health Agency, </w:t>
      </w:r>
      <w:r w:rsidRPr="00672C36">
        <w:rPr>
          <w:rFonts w:cs="Open Sans"/>
          <w:i/>
          <w:iCs/>
        </w:rPr>
        <w:t>My Health for teens</w:t>
      </w:r>
      <w:r w:rsidRPr="00672C36">
        <w:rPr>
          <w:rFonts w:cs="Open Sans"/>
        </w:rPr>
        <w:t xml:space="preserve"> &lt;</w:t>
      </w:r>
      <w:hyperlink w:history="1" r:id="rId57">
        <w:r w:rsidRPr="00672C36">
          <w:rPr>
            <w:rStyle w:val="Hyperlink"/>
            <w:rFonts w:cs="Open Sans"/>
          </w:rPr>
          <w:t>https://www.myhealthrecord.gov.au/for-teens</w:t>
        </w:r>
      </w:hyperlink>
      <w:r w:rsidRPr="00672C36">
        <w:rPr>
          <w:rFonts w:cs="Open Sans"/>
        </w:rPr>
        <w:t>&gt;.</w:t>
      </w:r>
    </w:p>
  </w:endnote>
  <w:endnote w:id="760">
    <w:p w:rsidRPr="00672C36" w:rsidR="00452E54" w:rsidP="00452E54" w:rsidRDefault="00452E54" w14:paraId="193374F9" w14:textId="77777777">
      <w:pPr>
        <w:pStyle w:val="EndnoteText"/>
        <w:rPr>
          <w:rFonts w:cs="Open Sans"/>
        </w:rPr>
      </w:pPr>
      <w:r w:rsidRPr="00672C36">
        <w:rPr>
          <w:rStyle w:val="EndnoteReference"/>
          <w:rFonts w:cs="Open Sans"/>
        </w:rPr>
        <w:endnoteRef/>
      </w:r>
      <w:r w:rsidRPr="00672C36">
        <w:rPr>
          <w:rFonts w:cs="Open Sans"/>
        </w:rPr>
        <w:t xml:space="preserve"> Australasian Paediatric Endocrine Group, Submission 20, </w:t>
      </w:r>
      <w:r>
        <w:rPr>
          <w:rFonts w:cs="Open Sans"/>
          <w:i/>
          <w:iCs/>
        </w:rPr>
        <w:t>Intersex Inquiry</w:t>
      </w:r>
      <w:r>
        <w:rPr>
          <w:rFonts w:cs="Open Sans"/>
        </w:rPr>
        <w:t>,</w:t>
      </w:r>
      <w:r>
        <w:rPr>
          <w:rFonts w:cs="Open Sans"/>
          <w:i/>
          <w:iCs/>
        </w:rPr>
        <w:t xml:space="preserve"> </w:t>
      </w:r>
      <w:r w:rsidRPr="00672C36">
        <w:rPr>
          <w:rFonts w:cs="Open Sans"/>
        </w:rPr>
        <w:t xml:space="preserve">3 cited gonadectomies for individuals with complete androgen insensitivity syndrome as one example of this. </w:t>
      </w:r>
    </w:p>
  </w:endnote>
  <w:endnote w:id="761">
    <w:p w:rsidRPr="00672C36" w:rsidR="00452E54" w:rsidP="00452E54" w:rsidRDefault="00452E54" w14:paraId="661B271B" w14:textId="77777777">
      <w:pPr>
        <w:pStyle w:val="EndnoteText"/>
        <w:rPr>
          <w:rFonts w:cs="Open Sans"/>
        </w:rPr>
      </w:pPr>
      <w:r w:rsidRPr="00672C36">
        <w:rPr>
          <w:rStyle w:val="EndnoteReference"/>
          <w:rFonts w:cs="Open Sans"/>
        </w:rPr>
        <w:endnoteRef/>
      </w:r>
      <w:r w:rsidRPr="00672C36">
        <w:rPr>
          <w:rFonts w:cs="Open Sans"/>
        </w:rPr>
        <w:t xml:space="preserve"> Australasian Paediatric Endocrine Group, Submission 20,</w:t>
      </w:r>
      <w:r w:rsidRPr="00E1221B">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 xml:space="preserve">3. </w:t>
      </w:r>
    </w:p>
  </w:endnote>
  <w:endnote w:id="762">
    <w:p w:rsidRPr="00672C36" w:rsidR="00452E54" w:rsidP="00452E54" w:rsidRDefault="00452E54" w14:paraId="3AB82EEB" w14:textId="77777777">
      <w:pPr>
        <w:pStyle w:val="EndnoteText"/>
        <w:rPr>
          <w:rFonts w:cs="Open Sans"/>
          <w:lang w:val="en-US"/>
        </w:rPr>
      </w:pPr>
      <w:r w:rsidRPr="00672C36">
        <w:rPr>
          <w:rStyle w:val="EndnoteReference"/>
          <w:rFonts w:cs="Open Sans"/>
        </w:rPr>
        <w:endnoteRef/>
      </w:r>
      <w:r w:rsidRPr="00672C36">
        <w:rPr>
          <w:rFonts w:cs="Open Sans"/>
        </w:rPr>
        <w:t xml:space="preserve"> Submission 37,</w:t>
      </w:r>
      <w:r w:rsidRPr="00E1221B">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 xml:space="preserve">1; NHMRC Funded Program, Submission 30, </w:t>
      </w:r>
      <w:r>
        <w:rPr>
          <w:rFonts w:cs="Open Sans"/>
          <w:i/>
          <w:iCs/>
        </w:rPr>
        <w:t>Intersex Inquiry</w:t>
      </w:r>
      <w:r>
        <w:rPr>
          <w:rFonts w:cs="Open Sans"/>
        </w:rPr>
        <w:t>,</w:t>
      </w:r>
      <w:r>
        <w:rPr>
          <w:rFonts w:cs="Open Sans"/>
          <w:i/>
          <w:iCs/>
        </w:rPr>
        <w:t xml:space="preserve"> </w:t>
      </w:r>
      <w:r w:rsidRPr="00672C36">
        <w:rPr>
          <w:rFonts w:cs="Open Sans"/>
        </w:rPr>
        <w:t xml:space="preserve">2. </w:t>
      </w:r>
    </w:p>
  </w:endnote>
  <w:endnote w:id="763">
    <w:p w:rsidRPr="00672C36" w:rsidR="00452E54" w:rsidP="00452E54" w:rsidRDefault="00452E54" w14:paraId="46ECCDBB" w14:textId="77777777">
      <w:pPr>
        <w:pStyle w:val="EndnoteText"/>
        <w:rPr>
          <w:rFonts w:cs="Open Sans"/>
          <w:lang w:val="en-US"/>
        </w:rPr>
      </w:pPr>
      <w:r w:rsidRPr="00672C36">
        <w:rPr>
          <w:rStyle w:val="EndnoteReference"/>
          <w:rFonts w:cs="Open Sans"/>
        </w:rPr>
        <w:endnoteRef/>
      </w:r>
      <w:r w:rsidRPr="00672C36">
        <w:rPr>
          <w:rFonts w:cs="Open Sans"/>
        </w:rPr>
        <w:t xml:space="preserve"> A Gender Agenda, Submission 52, </w:t>
      </w:r>
      <w:r>
        <w:rPr>
          <w:rFonts w:cs="Open Sans"/>
          <w:i/>
          <w:iCs/>
        </w:rPr>
        <w:t>Intersex Inquiry</w:t>
      </w:r>
      <w:r>
        <w:rPr>
          <w:rFonts w:cs="Open Sans"/>
        </w:rPr>
        <w:t>,</w:t>
      </w:r>
      <w:r>
        <w:rPr>
          <w:rFonts w:cs="Open Sans"/>
          <w:i/>
          <w:iCs/>
        </w:rPr>
        <w:t xml:space="preserve"> </w:t>
      </w:r>
      <w:r w:rsidRPr="00672C36">
        <w:rPr>
          <w:rFonts w:cs="Open Sans"/>
        </w:rPr>
        <w:t xml:space="preserve">6; Submission 36, </w:t>
      </w:r>
      <w:r>
        <w:rPr>
          <w:rFonts w:cs="Open Sans"/>
          <w:i/>
          <w:iCs/>
        </w:rPr>
        <w:t>Intersex Inquiry</w:t>
      </w:r>
      <w:r>
        <w:rPr>
          <w:rFonts w:cs="Open Sans"/>
        </w:rPr>
        <w:t>,</w:t>
      </w:r>
      <w:r>
        <w:rPr>
          <w:rFonts w:cs="Open Sans"/>
          <w:i/>
          <w:iCs/>
        </w:rPr>
        <w:t xml:space="preserve"> </w:t>
      </w:r>
      <w:r w:rsidRPr="00672C36">
        <w:rPr>
          <w:rFonts w:cs="Open Sans"/>
        </w:rPr>
        <w:t xml:space="preserve">25. </w:t>
      </w:r>
    </w:p>
  </w:endnote>
  <w:endnote w:id="764">
    <w:p w:rsidRPr="00672C36" w:rsidR="00452E54" w:rsidP="00452E54" w:rsidRDefault="00452E54" w14:paraId="059D490B" w14:textId="77777777">
      <w:pPr>
        <w:pStyle w:val="EndnoteText"/>
        <w:rPr>
          <w:rFonts w:cs="Open Sans"/>
        </w:rPr>
      </w:pPr>
      <w:r w:rsidRPr="00672C36">
        <w:rPr>
          <w:rStyle w:val="EndnoteReference"/>
          <w:rFonts w:cs="Open Sans"/>
        </w:rPr>
        <w:endnoteRef/>
      </w:r>
      <w:r w:rsidRPr="00672C36">
        <w:rPr>
          <w:rFonts w:cs="Open Sans"/>
        </w:rPr>
        <w:t xml:space="preserve"> Australasian Paediatric Endocrine Group, Submission 20,</w:t>
      </w:r>
      <w:r w:rsidRPr="00E1221B">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8; Submission 68,</w:t>
      </w:r>
      <w:r w:rsidRPr="00E1221B">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5; Submission 65,</w:t>
      </w:r>
      <w:r w:rsidRPr="00E1221B">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 xml:space="preserve">4; Submission 50, </w:t>
      </w:r>
      <w:r>
        <w:rPr>
          <w:rFonts w:cs="Open Sans"/>
          <w:i/>
          <w:iCs/>
        </w:rPr>
        <w:t>Intersex Inquiry</w:t>
      </w:r>
      <w:r>
        <w:rPr>
          <w:rFonts w:cs="Open Sans"/>
        </w:rPr>
        <w:t>,</w:t>
      </w:r>
      <w:r>
        <w:rPr>
          <w:rFonts w:cs="Open Sans"/>
          <w:i/>
          <w:iCs/>
        </w:rPr>
        <w:t xml:space="preserve"> </w:t>
      </w:r>
      <w:r w:rsidRPr="00672C36">
        <w:rPr>
          <w:rFonts w:cs="Open Sans"/>
        </w:rPr>
        <w:t xml:space="preserve">4; Submission 55, </w:t>
      </w:r>
      <w:r>
        <w:rPr>
          <w:rFonts w:cs="Open Sans"/>
          <w:i/>
          <w:iCs/>
        </w:rPr>
        <w:t>Intersex Inquiry</w:t>
      </w:r>
      <w:r>
        <w:rPr>
          <w:rFonts w:cs="Open Sans"/>
        </w:rPr>
        <w:t>,</w:t>
      </w:r>
      <w:r>
        <w:rPr>
          <w:rFonts w:cs="Open Sans"/>
          <w:i/>
          <w:iCs/>
        </w:rPr>
        <w:t xml:space="preserve"> </w:t>
      </w:r>
      <w:r w:rsidRPr="00672C36">
        <w:rPr>
          <w:rFonts w:cs="Open Sans"/>
        </w:rPr>
        <w:t xml:space="preserve">11; Submission 20, </w:t>
      </w:r>
      <w:r>
        <w:rPr>
          <w:rFonts w:cs="Open Sans"/>
          <w:i/>
          <w:iCs/>
        </w:rPr>
        <w:t>Intersex Inquiry</w:t>
      </w:r>
      <w:r>
        <w:rPr>
          <w:rFonts w:cs="Open Sans"/>
        </w:rPr>
        <w:t>,</w:t>
      </w:r>
      <w:r>
        <w:rPr>
          <w:rFonts w:cs="Open Sans"/>
          <w:i/>
          <w:iCs/>
        </w:rPr>
        <w:t xml:space="preserve"> </w:t>
      </w:r>
      <w:r w:rsidRPr="00672C36">
        <w:rPr>
          <w:rFonts w:cs="Open Sans"/>
        </w:rPr>
        <w:t xml:space="preserve">8; Western Australian Multidisciplinary DSD Team, Submission 43, </w:t>
      </w:r>
      <w:r>
        <w:rPr>
          <w:rFonts w:cs="Open Sans"/>
          <w:i/>
          <w:iCs/>
        </w:rPr>
        <w:t>Intersex Inquiry</w:t>
      </w:r>
      <w:r>
        <w:rPr>
          <w:rFonts w:cs="Open Sans"/>
        </w:rPr>
        <w:t>,</w:t>
      </w:r>
      <w:r>
        <w:rPr>
          <w:rFonts w:cs="Open Sans"/>
          <w:i/>
          <w:iCs/>
        </w:rPr>
        <w:t xml:space="preserve"> </w:t>
      </w:r>
      <w:r w:rsidRPr="00672C36">
        <w:rPr>
          <w:rFonts w:cs="Open Sans"/>
        </w:rPr>
        <w:t xml:space="preserve">3. </w:t>
      </w:r>
    </w:p>
  </w:endnote>
  <w:endnote w:id="765">
    <w:p w:rsidRPr="00672C36" w:rsidR="00452E54" w:rsidP="00452E54" w:rsidRDefault="00452E54" w14:paraId="7E07D0C2" w14:textId="77777777">
      <w:pPr>
        <w:spacing w:before="0" w:after="0"/>
        <w:rPr>
          <w:rFonts w:eastAsia="Times New Roman" w:cs="Open Sans"/>
          <w:color w:val="000000"/>
          <w:sz w:val="20"/>
          <w:szCs w:val="20"/>
          <w:lang w:val="en-US" w:eastAsia="en-US"/>
        </w:rPr>
      </w:pPr>
      <w:r w:rsidRPr="00672C36">
        <w:rPr>
          <w:rStyle w:val="EndnoteReference"/>
          <w:rFonts w:cs="Open Sans"/>
          <w:szCs w:val="20"/>
        </w:rPr>
        <w:endnoteRef/>
      </w:r>
      <w:r w:rsidRPr="00672C36">
        <w:rPr>
          <w:rFonts w:cs="Open Sans"/>
          <w:sz w:val="20"/>
          <w:szCs w:val="20"/>
        </w:rPr>
        <w:t xml:space="preserve"> Endocrine Society of Australia, Submission 39,</w:t>
      </w:r>
      <w:r w:rsidRPr="00E1221B">
        <w:rPr>
          <w:rFonts w:cs="Open Sans"/>
          <w:i/>
          <w:sz w:val="20"/>
          <w:szCs w:val="20"/>
        </w:rPr>
        <w:t xml:space="preserve"> </w:t>
      </w:r>
      <w:r>
        <w:rPr>
          <w:rFonts w:cs="Open Sans"/>
          <w:i/>
          <w:iCs/>
          <w:sz w:val="20"/>
          <w:szCs w:val="20"/>
        </w:rPr>
        <w:t>Intersex Inquiry</w:t>
      </w:r>
      <w:r>
        <w:rPr>
          <w:rFonts w:cs="Open Sans"/>
          <w:sz w:val="20"/>
          <w:szCs w:val="20"/>
        </w:rPr>
        <w:t>,</w:t>
      </w:r>
      <w:r>
        <w:rPr>
          <w:rFonts w:cs="Open Sans"/>
          <w:i/>
          <w:iCs/>
        </w:rPr>
        <w:t xml:space="preserve"> </w:t>
      </w:r>
      <w:r w:rsidRPr="00672C36">
        <w:rPr>
          <w:rFonts w:cs="Open Sans"/>
          <w:sz w:val="20"/>
          <w:szCs w:val="20"/>
        </w:rPr>
        <w:t xml:space="preserve">4; Submission 68, </w:t>
      </w:r>
      <w:r>
        <w:rPr>
          <w:rFonts w:cs="Open Sans"/>
          <w:i/>
          <w:iCs/>
          <w:sz w:val="20"/>
          <w:szCs w:val="20"/>
        </w:rPr>
        <w:t>Intersex Inquiry</w:t>
      </w:r>
      <w:r>
        <w:rPr>
          <w:rFonts w:cs="Open Sans"/>
          <w:sz w:val="20"/>
          <w:szCs w:val="20"/>
        </w:rPr>
        <w:t>,</w:t>
      </w:r>
      <w:r>
        <w:rPr>
          <w:rFonts w:cs="Open Sans"/>
          <w:i/>
          <w:iCs/>
        </w:rPr>
        <w:t xml:space="preserve"> </w:t>
      </w:r>
      <w:r w:rsidRPr="00672C36">
        <w:rPr>
          <w:rFonts w:cs="Open Sans"/>
          <w:sz w:val="20"/>
          <w:szCs w:val="20"/>
        </w:rPr>
        <w:t>3.</w:t>
      </w:r>
    </w:p>
  </w:endnote>
  <w:endnote w:id="766">
    <w:p w:rsidRPr="00672C36" w:rsidR="00452E54" w:rsidP="00452E54" w:rsidRDefault="00452E54" w14:paraId="0CE0914D" w14:textId="77777777">
      <w:pPr>
        <w:pStyle w:val="EndnoteText"/>
        <w:rPr>
          <w:rFonts w:cs="Open Sans"/>
          <w:lang w:val="en-US"/>
        </w:rPr>
      </w:pPr>
      <w:r w:rsidRPr="00672C36">
        <w:rPr>
          <w:rStyle w:val="EndnoteReference"/>
          <w:rFonts w:cs="Open Sans"/>
        </w:rPr>
        <w:endnoteRef/>
      </w:r>
      <w:r w:rsidRPr="00672C36">
        <w:rPr>
          <w:rFonts w:cs="Open Sans"/>
        </w:rPr>
        <w:t xml:space="preserve"> </w:t>
      </w:r>
      <w:r w:rsidRPr="00672C36">
        <w:rPr>
          <w:rFonts w:cs="Open Sans"/>
          <w:lang w:val="en-US"/>
        </w:rPr>
        <w:t>Submission 20,</w:t>
      </w:r>
      <w:r w:rsidRPr="00E1221B">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lang w:val="en-US"/>
        </w:rPr>
        <w:t>8.</w:t>
      </w:r>
    </w:p>
  </w:endnote>
  <w:endnote w:id="767">
    <w:p w:rsidRPr="00672C36" w:rsidR="00452E54" w:rsidP="00452E54" w:rsidRDefault="00452E54" w14:paraId="1E32DCF7" w14:textId="77777777">
      <w:pPr>
        <w:pStyle w:val="EndnoteText"/>
        <w:rPr>
          <w:rFonts w:cs="Open Sans"/>
        </w:rPr>
      </w:pPr>
      <w:r w:rsidRPr="00672C36">
        <w:rPr>
          <w:rStyle w:val="EndnoteReference"/>
          <w:rFonts w:cs="Open Sans"/>
        </w:rPr>
        <w:endnoteRef/>
      </w:r>
      <w:r w:rsidRPr="00672C36">
        <w:rPr>
          <w:rFonts w:cs="Open Sans"/>
        </w:rPr>
        <w:t xml:space="preserve"> Submission 20, </w:t>
      </w:r>
      <w:r>
        <w:rPr>
          <w:rFonts w:cs="Open Sans"/>
          <w:i/>
          <w:iCs/>
        </w:rPr>
        <w:t>Intersex Inquiry</w:t>
      </w:r>
      <w:r>
        <w:rPr>
          <w:rFonts w:cs="Open Sans"/>
        </w:rPr>
        <w:t>,</w:t>
      </w:r>
      <w:r>
        <w:rPr>
          <w:rFonts w:cs="Open Sans"/>
          <w:i/>
          <w:iCs/>
        </w:rPr>
        <w:t xml:space="preserve"> </w:t>
      </w:r>
      <w:r w:rsidRPr="00672C36">
        <w:rPr>
          <w:rFonts w:cs="Open Sans"/>
        </w:rPr>
        <w:t>6.</w:t>
      </w:r>
    </w:p>
  </w:endnote>
  <w:endnote w:id="768">
    <w:p w:rsidRPr="00672C36" w:rsidR="00452E54" w:rsidP="00452E54" w:rsidRDefault="00452E54" w14:paraId="2053A6BB" w14:textId="77777777">
      <w:pPr>
        <w:pStyle w:val="EndnoteText"/>
        <w:rPr>
          <w:rFonts w:cs="Open Sans"/>
        </w:rPr>
      </w:pPr>
      <w:r w:rsidRPr="00672C36">
        <w:rPr>
          <w:rStyle w:val="EndnoteReference"/>
          <w:rFonts w:cs="Open Sans"/>
        </w:rPr>
        <w:endnoteRef/>
      </w:r>
      <w:r w:rsidRPr="00672C36">
        <w:rPr>
          <w:rFonts w:cs="Open Sans"/>
        </w:rPr>
        <w:t xml:space="preserve"> Submission 50,</w:t>
      </w:r>
      <w:r w:rsidRPr="00E1221B">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3.</w:t>
      </w:r>
    </w:p>
  </w:endnote>
  <w:endnote w:id="769">
    <w:p w:rsidRPr="00672C36" w:rsidR="00452E54" w:rsidP="00452E54" w:rsidRDefault="00452E54" w14:paraId="443013D9" w14:textId="77777777">
      <w:pPr>
        <w:pStyle w:val="EndnoteText"/>
        <w:rPr>
          <w:rFonts w:cs="Open Sans"/>
        </w:rPr>
      </w:pPr>
      <w:r w:rsidRPr="00672C36">
        <w:rPr>
          <w:rStyle w:val="EndnoteReference"/>
          <w:rFonts w:cs="Open Sans"/>
        </w:rPr>
        <w:endnoteRef/>
      </w:r>
      <w:r w:rsidRPr="00672C36">
        <w:rPr>
          <w:rFonts w:cs="Open Sans"/>
        </w:rPr>
        <w:t xml:space="preserve"> Submission 68, </w:t>
      </w:r>
      <w:r>
        <w:rPr>
          <w:rFonts w:cs="Open Sans"/>
          <w:i/>
          <w:iCs/>
        </w:rPr>
        <w:t>Intersex Inquiry</w:t>
      </w:r>
      <w:r>
        <w:rPr>
          <w:rFonts w:cs="Open Sans"/>
        </w:rPr>
        <w:t>,</w:t>
      </w:r>
      <w:r>
        <w:rPr>
          <w:rFonts w:cs="Open Sans"/>
          <w:i/>
          <w:iCs/>
        </w:rPr>
        <w:t xml:space="preserve"> </w:t>
      </w:r>
      <w:r w:rsidRPr="00672C36">
        <w:rPr>
          <w:rFonts w:cs="Open Sans"/>
        </w:rPr>
        <w:t xml:space="preserve">6. </w:t>
      </w:r>
    </w:p>
  </w:endnote>
  <w:endnote w:id="770">
    <w:p w:rsidRPr="00672C36" w:rsidR="00452E54" w:rsidP="00452E54" w:rsidRDefault="00452E54" w14:paraId="0376435A" w14:textId="77777777">
      <w:pPr>
        <w:pStyle w:val="EndnoteText"/>
        <w:rPr>
          <w:rFonts w:cs="Open Sans"/>
          <w:lang w:val="en-US"/>
        </w:rPr>
      </w:pPr>
      <w:r w:rsidRPr="00672C36">
        <w:rPr>
          <w:rStyle w:val="EndnoteReference"/>
          <w:rFonts w:cs="Open Sans"/>
        </w:rPr>
        <w:endnoteRef/>
      </w:r>
      <w:r w:rsidRPr="00672C36">
        <w:rPr>
          <w:rFonts w:cs="Open Sans"/>
        </w:rPr>
        <w:t xml:space="preserve"> </w:t>
      </w:r>
      <w:r w:rsidRPr="00672C36">
        <w:rPr>
          <w:rFonts w:cs="Open Sans"/>
          <w:lang w:val="en-US"/>
        </w:rPr>
        <w:t xml:space="preserve">A Gender Agenda, Submission 52, </w:t>
      </w:r>
      <w:r>
        <w:rPr>
          <w:rFonts w:cs="Open Sans"/>
          <w:i/>
          <w:iCs/>
        </w:rPr>
        <w:t>Intersex Inquiry</w:t>
      </w:r>
      <w:r>
        <w:rPr>
          <w:rFonts w:cs="Open Sans"/>
        </w:rPr>
        <w:t>,</w:t>
      </w:r>
      <w:r>
        <w:rPr>
          <w:rFonts w:cs="Open Sans"/>
          <w:i/>
          <w:iCs/>
        </w:rPr>
        <w:t xml:space="preserve"> </w:t>
      </w:r>
      <w:r w:rsidRPr="00672C36">
        <w:rPr>
          <w:rFonts w:cs="Open Sans"/>
          <w:lang w:val="en-US"/>
        </w:rPr>
        <w:t xml:space="preserve">6; Submission 36, </w:t>
      </w:r>
      <w:r>
        <w:rPr>
          <w:rFonts w:cs="Open Sans"/>
          <w:i/>
          <w:iCs/>
        </w:rPr>
        <w:t>Intersex Inquiry</w:t>
      </w:r>
      <w:r>
        <w:rPr>
          <w:rFonts w:cs="Open Sans"/>
        </w:rPr>
        <w:t>,</w:t>
      </w:r>
      <w:r>
        <w:rPr>
          <w:rFonts w:cs="Open Sans"/>
          <w:i/>
          <w:iCs/>
        </w:rPr>
        <w:t xml:space="preserve"> </w:t>
      </w:r>
      <w:r w:rsidRPr="00672C36">
        <w:rPr>
          <w:rFonts w:cs="Open Sans"/>
          <w:lang w:val="en-US"/>
        </w:rPr>
        <w:t xml:space="preserve">23. </w:t>
      </w:r>
    </w:p>
  </w:endnote>
  <w:endnote w:id="771">
    <w:p w:rsidRPr="00672C36" w:rsidR="00452E54" w:rsidP="00452E54" w:rsidRDefault="00452E54" w14:paraId="6B028D2A" w14:textId="77777777">
      <w:pPr>
        <w:pStyle w:val="EndnoteText"/>
        <w:rPr>
          <w:rFonts w:cs="Open Sans"/>
          <w:lang w:val="en-US"/>
        </w:rPr>
      </w:pPr>
      <w:r w:rsidRPr="00672C36">
        <w:rPr>
          <w:rStyle w:val="EndnoteReference"/>
          <w:rFonts w:cs="Open Sans"/>
        </w:rPr>
        <w:endnoteRef/>
      </w:r>
      <w:r w:rsidRPr="00672C36">
        <w:rPr>
          <w:rFonts w:cs="Open Sans"/>
        </w:rPr>
        <w:t xml:space="preserve"> Submission 36, </w:t>
      </w:r>
      <w:r>
        <w:rPr>
          <w:rFonts w:cs="Open Sans"/>
          <w:i/>
          <w:iCs/>
        </w:rPr>
        <w:t>Intersex Inquiry</w:t>
      </w:r>
      <w:r>
        <w:rPr>
          <w:rFonts w:cs="Open Sans"/>
        </w:rPr>
        <w:t>,</w:t>
      </w:r>
      <w:r>
        <w:rPr>
          <w:rFonts w:cs="Open Sans"/>
          <w:i/>
          <w:iCs/>
        </w:rPr>
        <w:t xml:space="preserve"> </w:t>
      </w:r>
      <w:r w:rsidRPr="00672C36">
        <w:rPr>
          <w:rFonts w:cs="Open Sans"/>
        </w:rPr>
        <w:t xml:space="preserve">10. </w:t>
      </w:r>
    </w:p>
  </w:endnote>
  <w:endnote w:id="772">
    <w:p w:rsidRPr="00672C36" w:rsidR="00452E54" w:rsidP="00452E54" w:rsidRDefault="00452E54" w14:paraId="5BEE6A4F" w14:textId="77777777">
      <w:pPr>
        <w:pStyle w:val="EndnoteText"/>
        <w:rPr>
          <w:rFonts w:cs="Open Sans"/>
          <w:lang w:val="en-US"/>
        </w:rPr>
      </w:pPr>
      <w:r w:rsidRPr="00672C36">
        <w:rPr>
          <w:rStyle w:val="EndnoteReference"/>
          <w:rFonts w:cs="Open Sans"/>
        </w:rPr>
        <w:endnoteRef/>
      </w:r>
      <w:r w:rsidRPr="00672C36">
        <w:rPr>
          <w:rFonts w:cs="Open Sans"/>
        </w:rPr>
        <w:t xml:space="preserve"> </w:t>
      </w:r>
      <w:r w:rsidRPr="00672C36">
        <w:rPr>
          <w:rFonts w:cs="Open Sans"/>
          <w:lang w:val="en-US"/>
        </w:rPr>
        <w:t>Submission 36,</w:t>
      </w:r>
      <w:r w:rsidRPr="00E1221B">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lang w:val="en-US"/>
        </w:rPr>
        <w:t>10.</w:t>
      </w:r>
    </w:p>
  </w:endnote>
  <w:endnote w:id="773">
    <w:p w:rsidRPr="00672C36" w:rsidR="00452E54" w:rsidP="00452E54" w:rsidRDefault="00452E54" w14:paraId="647141D2" w14:textId="77777777">
      <w:pPr>
        <w:pStyle w:val="EndnoteText"/>
        <w:rPr>
          <w:rFonts w:cs="Open Sans"/>
        </w:rPr>
      </w:pPr>
      <w:r w:rsidRPr="00672C36">
        <w:rPr>
          <w:rStyle w:val="EndnoteReference"/>
          <w:rFonts w:cs="Open Sans"/>
        </w:rPr>
        <w:endnoteRef/>
      </w:r>
      <w:r w:rsidRPr="00672C36">
        <w:rPr>
          <w:rFonts w:cs="Open Sans"/>
        </w:rPr>
        <w:t xml:space="preserve"> Submission 52,</w:t>
      </w:r>
      <w:r w:rsidRPr="00E1221B">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 xml:space="preserve">9. </w:t>
      </w:r>
    </w:p>
  </w:endnote>
  <w:endnote w:id="774">
    <w:p w:rsidRPr="00672C36" w:rsidR="00452E54" w:rsidP="00452E54" w:rsidRDefault="00452E54" w14:paraId="67F70F6C" w14:textId="77777777">
      <w:pPr>
        <w:pStyle w:val="EndnoteText"/>
        <w:rPr>
          <w:rFonts w:cs="Open Sans"/>
        </w:rPr>
      </w:pPr>
      <w:r w:rsidRPr="00672C36">
        <w:rPr>
          <w:rStyle w:val="EndnoteReference"/>
          <w:rFonts w:cs="Open Sans"/>
        </w:rPr>
        <w:endnoteRef/>
      </w:r>
      <w:r w:rsidRPr="00672C36">
        <w:rPr>
          <w:rFonts w:cs="Open Sans"/>
        </w:rPr>
        <w:t xml:space="preserve"> Royal Australian New Zealand College of Psychiatrists, Submission 26,</w:t>
      </w:r>
      <w:r w:rsidRPr="000A7D32">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2.</w:t>
      </w:r>
    </w:p>
  </w:endnote>
  <w:endnote w:id="775">
    <w:p w:rsidRPr="00672C36" w:rsidR="00452E54" w:rsidP="00452E54" w:rsidRDefault="00452E54" w14:paraId="0C177EED" w14:textId="77777777">
      <w:pPr>
        <w:pStyle w:val="EndnoteText"/>
        <w:rPr>
          <w:rFonts w:cs="Open Sans"/>
        </w:rPr>
      </w:pPr>
      <w:r w:rsidRPr="00672C36">
        <w:rPr>
          <w:rStyle w:val="EndnoteReference"/>
          <w:rFonts w:cs="Open Sans"/>
        </w:rPr>
        <w:endnoteRef/>
      </w:r>
      <w:r w:rsidRPr="00672C36">
        <w:rPr>
          <w:rFonts w:cs="Open Sans"/>
        </w:rPr>
        <w:t xml:space="preserve"> Submission 68, </w:t>
      </w:r>
      <w:r>
        <w:rPr>
          <w:rFonts w:cs="Open Sans"/>
          <w:i/>
          <w:iCs/>
        </w:rPr>
        <w:t>Intersex Inquiry</w:t>
      </w:r>
      <w:r>
        <w:rPr>
          <w:rFonts w:cs="Open Sans"/>
        </w:rPr>
        <w:t>,</w:t>
      </w:r>
      <w:r>
        <w:rPr>
          <w:rFonts w:cs="Open Sans"/>
          <w:i/>
          <w:iCs/>
        </w:rPr>
        <w:t xml:space="preserve"> </w:t>
      </w:r>
      <w:r w:rsidRPr="00672C36">
        <w:rPr>
          <w:rFonts w:cs="Open Sans"/>
        </w:rPr>
        <w:t xml:space="preserve">5-6; Australian Paediatric Group, Submission 20, </w:t>
      </w:r>
      <w:r>
        <w:rPr>
          <w:rFonts w:cs="Open Sans"/>
          <w:i/>
          <w:iCs/>
        </w:rPr>
        <w:t>Intersex Inquiry</w:t>
      </w:r>
      <w:r>
        <w:rPr>
          <w:rFonts w:cs="Open Sans"/>
        </w:rPr>
        <w:t>,</w:t>
      </w:r>
      <w:r>
        <w:rPr>
          <w:rFonts w:cs="Open Sans"/>
          <w:i/>
          <w:iCs/>
        </w:rPr>
        <w:t xml:space="preserve"> </w:t>
      </w:r>
      <w:r w:rsidRPr="00672C36">
        <w:rPr>
          <w:rFonts w:cs="Open Sans"/>
        </w:rPr>
        <w:t>7.</w:t>
      </w:r>
    </w:p>
  </w:endnote>
  <w:endnote w:id="776">
    <w:p w:rsidRPr="00672C36" w:rsidR="00452E54" w:rsidP="00452E54" w:rsidRDefault="00452E54" w14:paraId="7C6CF1A8" w14:textId="77777777">
      <w:pPr>
        <w:pStyle w:val="EndnoteText"/>
        <w:rPr>
          <w:rFonts w:cs="Open Sans"/>
        </w:rPr>
      </w:pPr>
      <w:r w:rsidRPr="00672C36">
        <w:rPr>
          <w:rStyle w:val="EndnoteReference"/>
          <w:rFonts w:cs="Open Sans"/>
        </w:rPr>
        <w:endnoteRef/>
      </w:r>
      <w:r w:rsidRPr="00672C36">
        <w:rPr>
          <w:rFonts w:cs="Open Sans"/>
        </w:rPr>
        <w:t xml:space="preserve"> Submission 36,</w:t>
      </w:r>
      <w:r w:rsidRPr="000A7D32">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9.</w:t>
      </w:r>
    </w:p>
  </w:endnote>
  <w:endnote w:id="777">
    <w:p w:rsidRPr="00672C36" w:rsidR="00452E54" w:rsidP="00452E54" w:rsidRDefault="00452E54" w14:paraId="7A7FB6A2" w14:textId="77777777">
      <w:pPr>
        <w:pStyle w:val="EndnoteText"/>
        <w:rPr>
          <w:rFonts w:cs="Open Sans"/>
        </w:rPr>
      </w:pPr>
      <w:r w:rsidRPr="00672C36">
        <w:rPr>
          <w:rStyle w:val="EndnoteReference"/>
          <w:rFonts w:cs="Open Sans"/>
        </w:rPr>
        <w:endnoteRef/>
      </w:r>
      <w:r w:rsidRPr="00672C36">
        <w:rPr>
          <w:rFonts w:cs="Open Sans"/>
        </w:rPr>
        <w:t xml:space="preserve"> Submission 41,</w:t>
      </w:r>
      <w:r w:rsidRPr="000A7D32">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7; Submission 50,</w:t>
      </w:r>
      <w:r w:rsidRPr="000A7D32">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5.</w:t>
      </w:r>
    </w:p>
  </w:endnote>
  <w:endnote w:id="778">
    <w:p w:rsidRPr="00672C36" w:rsidR="00452E54" w:rsidP="00452E54" w:rsidRDefault="00452E54" w14:paraId="108E67C1" w14:textId="77777777">
      <w:pPr>
        <w:pStyle w:val="EndnoteText"/>
        <w:rPr>
          <w:rFonts w:cs="Open Sans"/>
        </w:rPr>
      </w:pPr>
      <w:r w:rsidRPr="00672C36">
        <w:rPr>
          <w:rStyle w:val="EndnoteReference"/>
          <w:rFonts w:cs="Open Sans"/>
        </w:rPr>
        <w:endnoteRef/>
      </w:r>
      <w:r w:rsidRPr="00672C36">
        <w:rPr>
          <w:rFonts w:cs="Open Sans"/>
        </w:rPr>
        <w:t xml:space="preserve"> The Endocrine Society of Australia, Submission 39, </w:t>
      </w:r>
      <w:r>
        <w:rPr>
          <w:rFonts w:cs="Open Sans"/>
          <w:i/>
          <w:iCs/>
        </w:rPr>
        <w:t>Intersex Inquiry</w:t>
      </w:r>
      <w:r>
        <w:rPr>
          <w:rFonts w:cs="Open Sans"/>
        </w:rPr>
        <w:t>,</w:t>
      </w:r>
      <w:r>
        <w:rPr>
          <w:rFonts w:cs="Open Sans"/>
          <w:i/>
          <w:iCs/>
        </w:rPr>
        <w:t xml:space="preserve"> </w:t>
      </w:r>
      <w:r w:rsidRPr="00672C36">
        <w:rPr>
          <w:rFonts w:cs="Open Sans"/>
        </w:rPr>
        <w:t xml:space="preserve">4; Western Australian Multidisciplinary DSD Team, Submission 23, </w:t>
      </w:r>
      <w:r>
        <w:rPr>
          <w:rFonts w:cs="Open Sans"/>
          <w:i/>
          <w:iCs/>
        </w:rPr>
        <w:t>Intersex Inquiry</w:t>
      </w:r>
      <w:r>
        <w:rPr>
          <w:rFonts w:cs="Open Sans"/>
        </w:rPr>
        <w:t>,</w:t>
      </w:r>
      <w:r>
        <w:rPr>
          <w:rFonts w:cs="Open Sans"/>
          <w:i/>
          <w:iCs/>
        </w:rPr>
        <w:t xml:space="preserve"> </w:t>
      </w:r>
      <w:r w:rsidRPr="00672C36">
        <w:rPr>
          <w:rFonts w:cs="Open Sans"/>
        </w:rPr>
        <w:t xml:space="preserve">4; Intersex Human Rights Australia, Submission 40, </w:t>
      </w:r>
      <w:r>
        <w:rPr>
          <w:rFonts w:cs="Open Sans"/>
          <w:i/>
          <w:iCs/>
        </w:rPr>
        <w:t>Intersex Inquiry</w:t>
      </w:r>
      <w:r>
        <w:rPr>
          <w:rFonts w:cs="Open Sans"/>
        </w:rPr>
        <w:t>,</w:t>
      </w:r>
      <w:r>
        <w:rPr>
          <w:rFonts w:cs="Open Sans"/>
          <w:i/>
          <w:iCs/>
        </w:rPr>
        <w:t xml:space="preserve"> </w:t>
      </w:r>
      <w:r w:rsidRPr="00672C36">
        <w:rPr>
          <w:rFonts w:cs="Open Sans"/>
        </w:rPr>
        <w:t>24; A Gender Agenda, Submission 52,</w:t>
      </w:r>
      <w:r w:rsidRPr="000A7D32">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8-9; Submission 68</w:t>
      </w:r>
      <w:r>
        <w:rPr>
          <w:rFonts w:cs="Open Sans"/>
          <w:i/>
          <w:iCs/>
        </w:rPr>
        <w:t>, Intersex Inquiry</w:t>
      </w:r>
      <w:r>
        <w:rPr>
          <w:rFonts w:cs="Open Sans"/>
        </w:rPr>
        <w:t>,</w:t>
      </w:r>
      <w:r>
        <w:rPr>
          <w:rFonts w:cs="Open Sans"/>
          <w:i/>
        </w:rPr>
        <w:t xml:space="preserve"> </w:t>
      </w:r>
      <w:r w:rsidRPr="00672C36">
        <w:rPr>
          <w:rFonts w:cs="Open Sans"/>
        </w:rPr>
        <w:t xml:space="preserve">(observing lack of data to support deferral or early intervention), Australasian Paediatric Endocrine Group, Submission 20, </w:t>
      </w:r>
      <w:r>
        <w:rPr>
          <w:rFonts w:cs="Open Sans"/>
          <w:i/>
          <w:iCs/>
        </w:rPr>
        <w:t>Intersex Inquiry</w:t>
      </w:r>
      <w:r>
        <w:rPr>
          <w:rFonts w:cs="Open Sans"/>
        </w:rPr>
        <w:t>,</w:t>
      </w:r>
      <w:r>
        <w:rPr>
          <w:rFonts w:cs="Open Sans"/>
          <w:i/>
          <w:iCs/>
        </w:rPr>
        <w:t xml:space="preserve"> </w:t>
      </w:r>
      <w:r w:rsidRPr="00672C36">
        <w:rPr>
          <w:rFonts w:cs="Open Sans"/>
        </w:rPr>
        <w:t xml:space="preserve">7; Royal Australian New Zealand College of Psychiatrists, WA Commissioner for Children and Young People, Submission 43, </w:t>
      </w:r>
      <w:r>
        <w:rPr>
          <w:rFonts w:cs="Open Sans"/>
          <w:i/>
          <w:iCs/>
        </w:rPr>
        <w:t>Intersex Inquiry</w:t>
      </w:r>
      <w:r>
        <w:rPr>
          <w:rFonts w:cs="Open Sans"/>
        </w:rPr>
        <w:t>,</w:t>
      </w:r>
      <w:r>
        <w:rPr>
          <w:rFonts w:cs="Open Sans"/>
          <w:i/>
          <w:iCs/>
        </w:rPr>
        <w:t xml:space="preserve"> </w:t>
      </w:r>
      <w:r w:rsidRPr="00672C36">
        <w:rPr>
          <w:rFonts w:cs="Open Sans"/>
        </w:rPr>
        <w:t>3</w:t>
      </w:r>
      <w:r>
        <w:rPr>
          <w:rFonts w:cs="Open Sans"/>
        </w:rPr>
        <w:t>;</w:t>
      </w:r>
      <w:r w:rsidRPr="00672C36">
        <w:rPr>
          <w:rFonts w:cs="Open Sans"/>
        </w:rPr>
        <w:t xml:space="preserve"> Submission 26,</w:t>
      </w:r>
      <w:r w:rsidRPr="003A7462">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 xml:space="preserve">2. </w:t>
      </w:r>
    </w:p>
  </w:endnote>
  <w:endnote w:id="779">
    <w:p w:rsidRPr="00672C36" w:rsidR="00452E54" w:rsidP="00452E54" w:rsidRDefault="00452E54" w14:paraId="422F172D" w14:textId="77777777">
      <w:pPr>
        <w:pStyle w:val="EndnoteText"/>
        <w:rPr>
          <w:rFonts w:cs="Open Sans"/>
        </w:rPr>
      </w:pPr>
      <w:r w:rsidRPr="00672C36">
        <w:rPr>
          <w:rStyle w:val="EndnoteReference"/>
          <w:rFonts w:cs="Open Sans"/>
        </w:rPr>
        <w:endnoteRef/>
      </w:r>
      <w:r w:rsidRPr="00672C36">
        <w:rPr>
          <w:rFonts w:cs="Open Sans"/>
        </w:rPr>
        <w:t xml:space="preserve"> Australasian Paediatric Endocrine Group, Submission 20,</w:t>
      </w:r>
      <w:r w:rsidRPr="003A7462">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7–8; Endocrine Society of Australia, Submission 39,</w:t>
      </w:r>
      <w:r w:rsidRPr="009A292C">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 xml:space="preserve">4. </w:t>
      </w:r>
    </w:p>
  </w:endnote>
  <w:endnote w:id="780">
    <w:p w:rsidRPr="00672C36" w:rsidR="00452E54" w:rsidP="00452E54" w:rsidRDefault="00452E54" w14:paraId="2398FECD" w14:textId="77777777">
      <w:pPr>
        <w:pStyle w:val="EndnoteText"/>
        <w:rPr>
          <w:rFonts w:cs="Open Sans"/>
        </w:rPr>
      </w:pPr>
      <w:r w:rsidRPr="00672C36">
        <w:rPr>
          <w:rStyle w:val="EndnoteReference"/>
          <w:rFonts w:cs="Open Sans"/>
        </w:rPr>
        <w:endnoteRef/>
      </w:r>
      <w:r w:rsidRPr="00672C36">
        <w:rPr>
          <w:rFonts w:cs="Open Sans"/>
        </w:rPr>
        <w:t xml:space="preserve"> Australasian Paediatric Endocrine Group, Submission 20, </w:t>
      </w:r>
      <w:r>
        <w:rPr>
          <w:rFonts w:cs="Open Sans"/>
          <w:i/>
          <w:iCs/>
        </w:rPr>
        <w:t>Intersex Inquiry</w:t>
      </w:r>
      <w:r>
        <w:rPr>
          <w:rFonts w:cs="Open Sans"/>
        </w:rPr>
        <w:t>,</w:t>
      </w:r>
      <w:r>
        <w:rPr>
          <w:rFonts w:cs="Open Sans"/>
          <w:i/>
          <w:iCs/>
        </w:rPr>
        <w:t xml:space="preserve"> </w:t>
      </w:r>
      <w:r w:rsidRPr="00672C36">
        <w:rPr>
          <w:rFonts w:cs="Open Sans"/>
        </w:rPr>
        <w:t>8.</w:t>
      </w:r>
    </w:p>
  </w:endnote>
  <w:endnote w:id="781">
    <w:p w:rsidRPr="00672C36" w:rsidR="00452E54" w:rsidP="00452E54" w:rsidRDefault="00452E54" w14:paraId="3F73D610" w14:textId="77777777">
      <w:pPr>
        <w:pStyle w:val="EndnoteText"/>
        <w:rPr>
          <w:rFonts w:cs="Open Sans"/>
          <w:lang w:val="en-US"/>
        </w:rPr>
      </w:pPr>
      <w:r w:rsidRPr="00672C36">
        <w:rPr>
          <w:rStyle w:val="EndnoteReference"/>
          <w:rFonts w:cs="Open Sans"/>
        </w:rPr>
        <w:endnoteRef/>
      </w:r>
      <w:r w:rsidRPr="00672C36">
        <w:rPr>
          <w:rFonts w:cs="Open Sans"/>
        </w:rPr>
        <w:t xml:space="preserve"> Australasian Paediatric Endocrine Group, Submission 20,</w:t>
      </w:r>
      <w:r w:rsidRPr="004C34BA">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8.</w:t>
      </w:r>
    </w:p>
  </w:endnote>
  <w:endnote w:id="782">
    <w:p w:rsidRPr="00672C36" w:rsidR="00452E54" w:rsidP="00452E54" w:rsidRDefault="00452E54" w14:paraId="59E80A9D" w14:textId="77777777">
      <w:pPr>
        <w:pStyle w:val="EndnoteText"/>
        <w:rPr>
          <w:rFonts w:cs="Open Sans"/>
        </w:rPr>
      </w:pPr>
      <w:r w:rsidRPr="00672C36">
        <w:rPr>
          <w:rStyle w:val="EndnoteReference"/>
          <w:rFonts w:cs="Open Sans"/>
        </w:rPr>
        <w:endnoteRef/>
      </w:r>
      <w:r w:rsidRPr="00672C36">
        <w:rPr>
          <w:rFonts w:cs="Open Sans"/>
        </w:rPr>
        <w:t xml:space="preserve"> Submission 45, </w:t>
      </w:r>
      <w:r>
        <w:rPr>
          <w:rFonts w:cs="Open Sans"/>
          <w:i/>
          <w:iCs/>
        </w:rPr>
        <w:t>Intersex Inquiry</w:t>
      </w:r>
      <w:r>
        <w:rPr>
          <w:rFonts w:cs="Open Sans"/>
        </w:rPr>
        <w:t>,</w:t>
      </w:r>
      <w:r>
        <w:rPr>
          <w:rFonts w:cs="Open Sans"/>
          <w:i/>
          <w:iCs/>
        </w:rPr>
        <w:t xml:space="preserve"> </w:t>
      </w:r>
      <w:r w:rsidRPr="00672C36">
        <w:rPr>
          <w:rFonts w:cs="Open Sans"/>
        </w:rPr>
        <w:t>3.</w:t>
      </w:r>
    </w:p>
  </w:endnote>
  <w:endnote w:id="783">
    <w:p w:rsidRPr="00672C36" w:rsidR="00452E54" w:rsidP="00452E54" w:rsidRDefault="00452E54" w14:paraId="35EC0AF8" w14:textId="77777777">
      <w:pPr>
        <w:pStyle w:val="EndnoteText"/>
        <w:rPr>
          <w:rFonts w:cs="Open Sans"/>
        </w:rPr>
      </w:pPr>
      <w:r w:rsidRPr="00672C36">
        <w:rPr>
          <w:rStyle w:val="EndnoteReference"/>
          <w:rFonts w:cs="Open Sans"/>
        </w:rPr>
        <w:endnoteRef/>
      </w:r>
      <w:r w:rsidRPr="00672C36">
        <w:rPr>
          <w:rFonts w:cs="Open Sans"/>
        </w:rPr>
        <w:t xml:space="preserve"> Australasian Paediatric Endocrine Group, Submission 20, </w:t>
      </w:r>
      <w:r>
        <w:rPr>
          <w:rFonts w:cs="Open Sans"/>
          <w:i/>
          <w:iCs/>
        </w:rPr>
        <w:t>Intersex Inquiry</w:t>
      </w:r>
      <w:r>
        <w:rPr>
          <w:rFonts w:cs="Open Sans"/>
        </w:rPr>
        <w:t xml:space="preserve">; </w:t>
      </w:r>
      <w:r w:rsidRPr="00672C36">
        <w:rPr>
          <w:rFonts w:cs="Open Sans"/>
        </w:rPr>
        <w:t xml:space="preserve">Submission 35, </w:t>
      </w:r>
      <w:r>
        <w:rPr>
          <w:rFonts w:cs="Open Sans"/>
          <w:i/>
          <w:iCs/>
        </w:rPr>
        <w:t>Intersex Inquiry</w:t>
      </w:r>
      <w:r w:rsidRPr="00672C36">
        <w:rPr>
          <w:rFonts w:cs="Open Sans"/>
        </w:rPr>
        <w:t>,</w:t>
      </w:r>
      <w:r>
        <w:rPr>
          <w:rFonts w:cs="Open Sans"/>
          <w:i/>
        </w:rPr>
        <w:t xml:space="preserve"> </w:t>
      </w:r>
      <w:r w:rsidRPr="00672C36">
        <w:rPr>
          <w:rFonts w:cs="Open Sans"/>
        </w:rPr>
        <w:t>4, which refers to some of the limitation of the approach taken to collecting data on sex and gender by the Australian Bureau of Statistics, as described at &lt;</w:t>
      </w:r>
      <w:hyperlink w:history="1" r:id="rId58">
        <w:r w:rsidRPr="00672C36">
          <w:rPr>
            <w:rStyle w:val="Hyperlink"/>
            <w:rFonts w:cs="Open Sans"/>
          </w:rPr>
          <w:t>http://www.abs.gov.au/websitedbs/D3310114.nsf/home/ABS+Response+to+Sex+and+Gender+Guidelines</w:t>
        </w:r>
      </w:hyperlink>
      <w:r w:rsidRPr="00672C36">
        <w:rPr>
          <w:rFonts w:cs="Open Sans"/>
        </w:rPr>
        <w:t xml:space="preserve">&gt;. </w:t>
      </w:r>
    </w:p>
  </w:endnote>
  <w:endnote w:id="784">
    <w:p w:rsidRPr="00672C36" w:rsidR="00452E54" w:rsidP="00452E54" w:rsidRDefault="00452E54" w14:paraId="3B6D8F15" w14:textId="77777777">
      <w:pPr>
        <w:pStyle w:val="EndnoteText"/>
        <w:rPr>
          <w:rFonts w:cs="Open Sans"/>
          <w:lang w:val="en-US"/>
        </w:rPr>
      </w:pPr>
      <w:r w:rsidRPr="00672C36">
        <w:rPr>
          <w:rStyle w:val="EndnoteReference"/>
          <w:rFonts w:cs="Open Sans"/>
        </w:rPr>
        <w:endnoteRef/>
      </w:r>
      <w:r w:rsidRPr="00672C36">
        <w:rPr>
          <w:rFonts w:cs="Open Sans"/>
        </w:rPr>
        <w:t xml:space="preserve"> </w:t>
      </w:r>
      <w:r w:rsidRPr="00672C36">
        <w:rPr>
          <w:rFonts w:cs="Open Sans"/>
          <w:lang w:val="en-US"/>
        </w:rPr>
        <w:t xml:space="preserve">Submission 68, </w:t>
      </w:r>
      <w:r>
        <w:rPr>
          <w:rFonts w:cs="Open Sans"/>
          <w:i/>
          <w:iCs/>
        </w:rPr>
        <w:t>Intersex Inquiry</w:t>
      </w:r>
      <w:r>
        <w:rPr>
          <w:rFonts w:cs="Open Sans"/>
        </w:rPr>
        <w:t>,</w:t>
      </w:r>
      <w:r>
        <w:rPr>
          <w:rFonts w:cs="Open Sans"/>
          <w:i/>
          <w:iCs/>
        </w:rPr>
        <w:t xml:space="preserve"> </w:t>
      </w:r>
      <w:r w:rsidRPr="00672C36">
        <w:rPr>
          <w:rFonts w:cs="Open Sans"/>
          <w:lang w:val="en-US"/>
        </w:rPr>
        <w:t xml:space="preserve">1-2. </w:t>
      </w:r>
    </w:p>
  </w:endnote>
  <w:endnote w:id="785">
    <w:p w:rsidRPr="00672C36" w:rsidR="00452E54" w:rsidP="00452E54" w:rsidRDefault="00452E54" w14:paraId="7516DAF0" w14:textId="77777777">
      <w:pPr>
        <w:pStyle w:val="EndnoteText"/>
        <w:rPr>
          <w:rFonts w:cs="Open Sans"/>
        </w:rPr>
      </w:pPr>
      <w:r w:rsidRPr="00672C36">
        <w:rPr>
          <w:rStyle w:val="EndnoteReference"/>
          <w:rFonts w:cs="Open Sans"/>
        </w:rPr>
        <w:endnoteRef/>
      </w:r>
      <w:r w:rsidRPr="00672C36">
        <w:rPr>
          <w:rFonts w:cs="Open Sans"/>
        </w:rPr>
        <w:t xml:space="preserve"> Submission 68, </w:t>
      </w:r>
      <w:r>
        <w:rPr>
          <w:rFonts w:cs="Open Sans"/>
          <w:i/>
          <w:iCs/>
        </w:rPr>
        <w:t>Intersex Inquiry</w:t>
      </w:r>
      <w:r>
        <w:rPr>
          <w:rFonts w:cs="Open Sans"/>
        </w:rPr>
        <w:t>,</w:t>
      </w:r>
      <w:r>
        <w:rPr>
          <w:rFonts w:cs="Open Sans"/>
          <w:i/>
          <w:iCs/>
        </w:rPr>
        <w:t xml:space="preserve"> </w:t>
      </w:r>
      <w:r w:rsidRPr="00672C36">
        <w:rPr>
          <w:rFonts w:cs="Open Sans"/>
        </w:rPr>
        <w:t>5; Submission 61,</w:t>
      </w:r>
      <w:r w:rsidRPr="00A66742">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5.</w:t>
      </w:r>
    </w:p>
  </w:endnote>
  <w:endnote w:id="786">
    <w:p w:rsidRPr="00672C36" w:rsidR="00452E54" w:rsidP="00452E54" w:rsidRDefault="00452E54" w14:paraId="08DA1FE1" w14:textId="77777777">
      <w:pPr>
        <w:pStyle w:val="EndnoteText"/>
        <w:rPr>
          <w:rFonts w:cs="Open Sans"/>
        </w:rPr>
      </w:pPr>
      <w:r w:rsidRPr="00672C36">
        <w:rPr>
          <w:rStyle w:val="EndnoteReference"/>
          <w:rFonts w:cs="Open Sans"/>
        </w:rPr>
        <w:endnoteRef/>
      </w:r>
      <w:r w:rsidRPr="00672C36">
        <w:rPr>
          <w:rFonts w:cs="Open Sans"/>
        </w:rPr>
        <w:t xml:space="preserve"> Australasian Paediatric Endocrine Group, Submission 20, </w:t>
      </w:r>
      <w:r>
        <w:rPr>
          <w:rFonts w:cs="Open Sans"/>
          <w:i/>
          <w:iCs/>
        </w:rPr>
        <w:t>Intersex Inquiry</w:t>
      </w:r>
      <w:r>
        <w:rPr>
          <w:rFonts w:cs="Open Sans"/>
        </w:rPr>
        <w:t>,</w:t>
      </w:r>
      <w:r>
        <w:rPr>
          <w:rFonts w:cs="Open Sans"/>
          <w:i/>
          <w:iCs/>
        </w:rPr>
        <w:t xml:space="preserve"> </w:t>
      </w:r>
      <w:r w:rsidRPr="00672C36">
        <w:rPr>
          <w:rFonts w:cs="Open Sans"/>
        </w:rPr>
        <w:t xml:space="preserve">2, 8, 10; Endocrine Society of Australia, Submission 39, </w:t>
      </w:r>
      <w:r>
        <w:rPr>
          <w:rFonts w:cs="Open Sans"/>
          <w:i/>
          <w:iCs/>
        </w:rPr>
        <w:t>Intersex Inquiry</w:t>
      </w:r>
      <w:r>
        <w:rPr>
          <w:rFonts w:cs="Open Sans"/>
        </w:rPr>
        <w:t>,</w:t>
      </w:r>
      <w:r>
        <w:rPr>
          <w:rFonts w:cs="Open Sans"/>
          <w:i/>
          <w:iCs/>
        </w:rPr>
        <w:t xml:space="preserve"> </w:t>
      </w:r>
      <w:r w:rsidRPr="00672C36">
        <w:rPr>
          <w:rFonts w:cs="Open Sans"/>
        </w:rPr>
        <w:t>2; Western Australian Multidisciplinary DSD Team, Submission 23,</w:t>
      </w:r>
      <w:r w:rsidRPr="00A33E89">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4; WA Commissioner for Children and Young People, Submission, Submission 43,</w:t>
      </w:r>
      <w:r w:rsidRPr="00A33E89">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3; Royal Australian New Zealand College of Psychiatrists, Submission 26,</w:t>
      </w:r>
      <w:r w:rsidRPr="00A33E89">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2.</w:t>
      </w:r>
    </w:p>
  </w:endnote>
  <w:endnote w:id="787">
    <w:p w:rsidRPr="00672C36" w:rsidR="00452E54" w:rsidP="00452E54" w:rsidRDefault="00452E54" w14:paraId="3305A36D" w14:textId="77777777">
      <w:pPr>
        <w:pStyle w:val="EndnoteText"/>
        <w:rPr>
          <w:rFonts w:cs="Open Sans"/>
          <w:lang w:val="en-US"/>
        </w:rPr>
      </w:pPr>
      <w:r w:rsidRPr="00672C36">
        <w:rPr>
          <w:rStyle w:val="EndnoteReference"/>
          <w:rFonts w:cs="Open Sans"/>
        </w:rPr>
        <w:endnoteRef/>
      </w:r>
      <w:r w:rsidRPr="00672C36">
        <w:rPr>
          <w:rFonts w:cs="Open Sans"/>
        </w:rPr>
        <w:t xml:space="preserve"> NHMRC Funded Program, Submission 30,</w:t>
      </w:r>
      <w:r w:rsidRPr="00A33E89">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6.</w:t>
      </w:r>
    </w:p>
  </w:endnote>
  <w:endnote w:id="788">
    <w:p w:rsidRPr="00672C36" w:rsidR="00452E54" w:rsidP="00452E54" w:rsidRDefault="00452E54" w14:paraId="7A5B5846" w14:textId="77777777">
      <w:pPr>
        <w:pStyle w:val="EndnoteText"/>
        <w:rPr>
          <w:rFonts w:cs="Open Sans"/>
        </w:rPr>
      </w:pPr>
      <w:r w:rsidRPr="00672C36">
        <w:rPr>
          <w:rStyle w:val="EndnoteReference"/>
          <w:rFonts w:cs="Open Sans"/>
        </w:rPr>
        <w:endnoteRef/>
      </w:r>
      <w:r w:rsidRPr="00672C36">
        <w:rPr>
          <w:rFonts w:cs="Open Sans"/>
        </w:rPr>
        <w:t xml:space="preserve"> Submission 41,</w:t>
      </w:r>
      <w:r w:rsidRPr="00A33E89">
        <w:rPr>
          <w:rFonts w:cs="Open Sans"/>
          <w:i/>
          <w:iCs/>
        </w:rPr>
        <w:t xml:space="preserve"> </w:t>
      </w:r>
      <w:r>
        <w:rPr>
          <w:rFonts w:cs="Open Sans"/>
          <w:i/>
          <w:iCs/>
        </w:rPr>
        <w:t>Intersex Inquiry</w:t>
      </w:r>
      <w:r>
        <w:rPr>
          <w:rFonts w:cs="Open Sans"/>
        </w:rPr>
        <w:t>,</w:t>
      </w:r>
      <w:r>
        <w:rPr>
          <w:rFonts w:cs="Open Sans"/>
          <w:i/>
          <w:iCs/>
        </w:rPr>
        <w:t xml:space="preserve"> </w:t>
      </w:r>
      <w:r w:rsidRPr="00672C36">
        <w:rPr>
          <w:rFonts w:cs="Open Sans"/>
        </w:rPr>
        <w:t>10; NHMRC Funded Program, Submission 30,</w:t>
      </w:r>
      <w:r w:rsidRPr="00A33E89">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 xml:space="preserve">6; Submission 52, </w:t>
      </w:r>
      <w:r>
        <w:rPr>
          <w:rFonts w:cs="Open Sans"/>
          <w:i/>
          <w:iCs/>
        </w:rPr>
        <w:t>Intersex Inquiry</w:t>
      </w:r>
      <w:r>
        <w:rPr>
          <w:rFonts w:cs="Open Sans"/>
        </w:rPr>
        <w:t>,</w:t>
      </w:r>
      <w:r>
        <w:rPr>
          <w:rFonts w:cs="Open Sans"/>
          <w:i/>
          <w:iCs/>
        </w:rPr>
        <w:t xml:space="preserve"> </w:t>
      </w:r>
      <w:r w:rsidRPr="00672C36">
        <w:rPr>
          <w:rFonts w:cs="Open Sans"/>
        </w:rPr>
        <w:t>8–9.</w:t>
      </w:r>
    </w:p>
  </w:endnote>
  <w:endnote w:id="789">
    <w:p w:rsidRPr="00672C36" w:rsidR="00452E54" w:rsidP="00452E54" w:rsidRDefault="00452E54" w14:paraId="1D5660CE" w14:textId="77777777">
      <w:pPr>
        <w:pStyle w:val="EndnoteText"/>
        <w:rPr>
          <w:rFonts w:cs="Open Sans"/>
        </w:rPr>
      </w:pPr>
      <w:r w:rsidRPr="00672C36">
        <w:rPr>
          <w:rStyle w:val="EndnoteReference"/>
          <w:rFonts w:cs="Open Sans"/>
        </w:rPr>
        <w:endnoteRef/>
      </w:r>
      <w:r w:rsidRPr="00672C36">
        <w:rPr>
          <w:rFonts w:cs="Open Sans"/>
        </w:rPr>
        <w:t xml:space="preserve"> Submission 39,</w:t>
      </w:r>
      <w:r w:rsidRPr="00A33E89">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1; Submission 41,</w:t>
      </w:r>
      <w:r w:rsidRPr="00A33E89">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 xml:space="preserve">8; Submission 50, </w:t>
      </w:r>
      <w:r>
        <w:rPr>
          <w:rFonts w:cs="Open Sans"/>
          <w:i/>
          <w:iCs/>
        </w:rPr>
        <w:t>Intersex Inquiry</w:t>
      </w:r>
      <w:r>
        <w:rPr>
          <w:rFonts w:cs="Open Sans"/>
        </w:rPr>
        <w:t>,</w:t>
      </w:r>
      <w:r>
        <w:rPr>
          <w:rFonts w:cs="Open Sans"/>
          <w:i/>
          <w:iCs/>
        </w:rPr>
        <w:t xml:space="preserve"> </w:t>
      </w:r>
      <w:r w:rsidRPr="00672C36">
        <w:rPr>
          <w:rFonts w:cs="Open Sans"/>
        </w:rPr>
        <w:t>5.</w:t>
      </w:r>
    </w:p>
  </w:endnote>
  <w:endnote w:id="790">
    <w:p w:rsidRPr="00672C36" w:rsidR="00452E54" w:rsidP="00452E54" w:rsidRDefault="00452E54" w14:paraId="15CC7D8E" w14:textId="77777777">
      <w:pPr>
        <w:pStyle w:val="EndnoteText"/>
        <w:rPr>
          <w:rFonts w:cs="Open Sans"/>
        </w:rPr>
      </w:pPr>
      <w:r w:rsidRPr="00672C36">
        <w:rPr>
          <w:rStyle w:val="EndnoteReference"/>
          <w:rFonts w:cs="Open Sans"/>
        </w:rPr>
        <w:endnoteRef/>
      </w:r>
      <w:r w:rsidRPr="00672C36">
        <w:rPr>
          <w:rFonts w:cs="Open Sans"/>
        </w:rPr>
        <w:t xml:space="preserve"> Submission 39,</w:t>
      </w:r>
      <w:r w:rsidRPr="00F964E8">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3.</w:t>
      </w:r>
    </w:p>
  </w:endnote>
  <w:endnote w:id="791">
    <w:p w:rsidRPr="00672C36" w:rsidR="00452E54" w:rsidP="00452E54" w:rsidRDefault="00452E54" w14:paraId="60F96555" w14:textId="77777777">
      <w:pPr>
        <w:pStyle w:val="EndnoteText"/>
        <w:rPr>
          <w:rFonts w:cs="Open Sans"/>
        </w:rPr>
      </w:pPr>
      <w:r w:rsidRPr="00672C36">
        <w:rPr>
          <w:rStyle w:val="EndnoteReference"/>
          <w:rFonts w:cs="Open Sans"/>
        </w:rPr>
        <w:endnoteRef/>
      </w:r>
      <w:r w:rsidRPr="00672C36">
        <w:rPr>
          <w:rFonts w:cs="Open Sans"/>
        </w:rPr>
        <w:t xml:space="preserve"> Submission 55, </w:t>
      </w:r>
      <w:r>
        <w:rPr>
          <w:rFonts w:cs="Open Sans"/>
          <w:i/>
          <w:iCs/>
        </w:rPr>
        <w:t>Intersex Inquiry</w:t>
      </w:r>
      <w:r>
        <w:rPr>
          <w:rFonts w:cs="Open Sans"/>
        </w:rPr>
        <w:t>,</w:t>
      </w:r>
      <w:r>
        <w:rPr>
          <w:rFonts w:cs="Open Sans"/>
          <w:i/>
          <w:iCs/>
        </w:rPr>
        <w:t xml:space="preserve"> </w:t>
      </w:r>
      <w:r w:rsidRPr="00672C36">
        <w:rPr>
          <w:rFonts w:cs="Open Sans"/>
        </w:rPr>
        <w:t xml:space="preserve">10. </w:t>
      </w:r>
    </w:p>
  </w:endnote>
  <w:endnote w:id="792">
    <w:p w:rsidRPr="00672C36" w:rsidR="00452E54" w:rsidP="00452E54" w:rsidRDefault="00452E54" w14:paraId="5AB16949" w14:textId="77777777">
      <w:pPr>
        <w:pStyle w:val="EndnoteText"/>
        <w:rPr>
          <w:rFonts w:cs="Open Sans"/>
        </w:rPr>
      </w:pPr>
      <w:r w:rsidRPr="00672C36">
        <w:rPr>
          <w:rStyle w:val="EndnoteReference"/>
          <w:rFonts w:cs="Open Sans"/>
        </w:rPr>
        <w:endnoteRef/>
      </w:r>
      <w:r w:rsidRPr="00672C36">
        <w:rPr>
          <w:rFonts w:cs="Open Sans"/>
        </w:rPr>
        <w:t xml:space="preserve"> Submission 40, </w:t>
      </w:r>
      <w:r>
        <w:rPr>
          <w:rFonts w:cs="Open Sans"/>
          <w:i/>
          <w:iCs/>
        </w:rPr>
        <w:t>Intersex Inquiry</w:t>
      </w:r>
      <w:r>
        <w:rPr>
          <w:rFonts w:cs="Open Sans"/>
        </w:rPr>
        <w:t>,</w:t>
      </w:r>
      <w:r>
        <w:rPr>
          <w:rFonts w:cs="Open Sans"/>
          <w:i/>
          <w:iCs/>
        </w:rPr>
        <w:t xml:space="preserve"> </w:t>
      </w:r>
      <w:r w:rsidRPr="00672C36">
        <w:rPr>
          <w:rFonts w:cs="Open Sans"/>
        </w:rPr>
        <w:t>82.</w:t>
      </w:r>
    </w:p>
  </w:endnote>
  <w:endnote w:id="793">
    <w:p w:rsidRPr="00672C36" w:rsidR="00452E54" w:rsidP="00452E54" w:rsidRDefault="00452E54" w14:paraId="6320F593" w14:textId="77777777">
      <w:pPr>
        <w:pStyle w:val="EndnoteText"/>
        <w:rPr>
          <w:rFonts w:cs="Open Sans"/>
        </w:rPr>
      </w:pPr>
      <w:r w:rsidRPr="00672C36">
        <w:rPr>
          <w:rStyle w:val="EndnoteReference"/>
          <w:rFonts w:cs="Open Sans"/>
        </w:rPr>
        <w:endnoteRef/>
      </w:r>
      <w:r w:rsidRPr="00672C36">
        <w:rPr>
          <w:rFonts w:cs="Open Sans"/>
        </w:rPr>
        <w:t xml:space="preserve"> Submission 36, </w:t>
      </w:r>
      <w:r>
        <w:rPr>
          <w:rFonts w:cs="Open Sans"/>
          <w:i/>
          <w:iCs/>
        </w:rPr>
        <w:t>Intersex Inquiry</w:t>
      </w:r>
      <w:r>
        <w:rPr>
          <w:rFonts w:cs="Open Sans"/>
        </w:rPr>
        <w:t>,</w:t>
      </w:r>
      <w:r>
        <w:rPr>
          <w:rFonts w:cs="Open Sans"/>
          <w:i/>
          <w:iCs/>
        </w:rPr>
        <w:t xml:space="preserve"> </w:t>
      </w:r>
      <w:r w:rsidRPr="00672C36">
        <w:rPr>
          <w:rFonts w:cs="Open Sans"/>
        </w:rPr>
        <w:t>25.</w:t>
      </w:r>
    </w:p>
  </w:endnote>
  <w:endnote w:id="794">
    <w:p w:rsidRPr="00672C36" w:rsidR="00452E54" w:rsidP="00452E54" w:rsidRDefault="00452E54" w14:paraId="027A035D" w14:textId="77777777">
      <w:pPr>
        <w:pStyle w:val="EndnoteText"/>
        <w:rPr>
          <w:rFonts w:cs="Open Sans"/>
        </w:rPr>
      </w:pPr>
      <w:r w:rsidRPr="00672C36">
        <w:rPr>
          <w:rStyle w:val="EndnoteReference"/>
          <w:rFonts w:cs="Open Sans"/>
        </w:rPr>
        <w:endnoteRef/>
      </w:r>
      <w:r w:rsidRPr="00672C36">
        <w:rPr>
          <w:rFonts w:cs="Open Sans"/>
        </w:rPr>
        <w:t xml:space="preserve"> Submission 36, </w:t>
      </w:r>
      <w:r>
        <w:rPr>
          <w:rFonts w:cs="Open Sans"/>
          <w:i/>
          <w:iCs/>
        </w:rPr>
        <w:t>Intersex Inquiry</w:t>
      </w:r>
      <w:r>
        <w:rPr>
          <w:rFonts w:cs="Open Sans"/>
        </w:rPr>
        <w:t>,</w:t>
      </w:r>
      <w:r>
        <w:rPr>
          <w:rFonts w:cs="Open Sans"/>
          <w:i/>
          <w:iCs/>
        </w:rPr>
        <w:t xml:space="preserve"> </w:t>
      </w:r>
      <w:r w:rsidRPr="00672C36">
        <w:rPr>
          <w:rFonts w:cs="Open Sans"/>
        </w:rPr>
        <w:t>24. See also Darlington Statement, paragraph 30.</w:t>
      </w:r>
    </w:p>
  </w:endnote>
  <w:endnote w:id="795">
    <w:p w:rsidRPr="00672C36" w:rsidR="00452E54" w:rsidP="00452E54" w:rsidRDefault="00452E54" w14:paraId="1DDFBD09" w14:textId="77777777">
      <w:pPr>
        <w:pStyle w:val="EndnoteText"/>
        <w:rPr>
          <w:rFonts w:cs="Open Sans"/>
        </w:rPr>
      </w:pPr>
      <w:r w:rsidRPr="00672C36">
        <w:rPr>
          <w:rStyle w:val="EndnoteReference"/>
          <w:rFonts w:cs="Open Sans"/>
        </w:rPr>
        <w:endnoteRef/>
      </w:r>
      <w:r w:rsidRPr="00672C36">
        <w:rPr>
          <w:rFonts w:cs="Open Sans"/>
        </w:rPr>
        <w:t xml:space="preserve"> Western Australian Multidisciplinary DSD Team, Submission 23,</w:t>
      </w:r>
      <w:r w:rsidRPr="00D4378A">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 xml:space="preserve">3–4; Submission 68, </w:t>
      </w:r>
      <w:r>
        <w:rPr>
          <w:rFonts w:cs="Open Sans"/>
          <w:i/>
          <w:iCs/>
        </w:rPr>
        <w:t>Intersex Inquiry</w:t>
      </w:r>
      <w:r>
        <w:rPr>
          <w:rFonts w:cs="Open Sans"/>
        </w:rPr>
        <w:t>,</w:t>
      </w:r>
      <w:r>
        <w:rPr>
          <w:rFonts w:cs="Open Sans"/>
          <w:i/>
          <w:iCs/>
        </w:rPr>
        <w:t xml:space="preserve"> </w:t>
      </w:r>
      <w:r w:rsidRPr="00672C36">
        <w:rPr>
          <w:rFonts w:cs="Open Sans"/>
        </w:rPr>
        <w:t>6; Royal Australia and New Zealand College of Psychiatrists</w:t>
      </w:r>
      <w:r>
        <w:rPr>
          <w:rFonts w:cs="Open Sans"/>
        </w:rPr>
        <w:t>, Submission</w:t>
      </w:r>
      <w:r w:rsidRPr="00672C36">
        <w:rPr>
          <w:rFonts w:cs="Open Sans"/>
        </w:rPr>
        <w:t xml:space="preserve"> 26, </w:t>
      </w:r>
      <w:r>
        <w:rPr>
          <w:rFonts w:cs="Open Sans"/>
          <w:i/>
          <w:iCs/>
        </w:rPr>
        <w:t>Intersex Inquiry</w:t>
      </w:r>
      <w:r w:rsidRPr="00672C36">
        <w:rPr>
          <w:rFonts w:cs="Open Sans"/>
        </w:rPr>
        <w:t>,</w:t>
      </w:r>
      <w:r>
        <w:rPr>
          <w:rFonts w:cs="Open Sans"/>
          <w:i/>
        </w:rPr>
        <w:t xml:space="preserve"> </w:t>
      </w:r>
      <w:r w:rsidRPr="00672C36">
        <w:rPr>
          <w:rFonts w:cs="Open Sans"/>
        </w:rPr>
        <w:t xml:space="preserve">2, advocated for a (funded) national databank dedicated to variations in sex characteristics. </w:t>
      </w:r>
    </w:p>
  </w:endnote>
  <w:endnote w:id="796">
    <w:p w:rsidRPr="00672C36" w:rsidR="00452E54" w:rsidP="00452E54" w:rsidRDefault="00452E54" w14:paraId="2B63C93B" w14:textId="77777777">
      <w:pPr>
        <w:pStyle w:val="EndnoteText"/>
        <w:rPr>
          <w:rFonts w:cs="Open Sans"/>
          <w:lang w:val="en-US"/>
        </w:rPr>
      </w:pPr>
      <w:r w:rsidRPr="00672C36">
        <w:rPr>
          <w:rStyle w:val="EndnoteReference"/>
          <w:rFonts w:cs="Open Sans"/>
        </w:rPr>
        <w:endnoteRef/>
      </w:r>
      <w:r w:rsidRPr="00672C36">
        <w:rPr>
          <w:rFonts w:cs="Open Sans"/>
        </w:rPr>
        <w:t xml:space="preserve"> </w:t>
      </w:r>
      <w:r w:rsidRPr="00672C36">
        <w:rPr>
          <w:rFonts w:cs="Open Sans"/>
          <w:lang w:val="en-US"/>
        </w:rPr>
        <w:t xml:space="preserve">Submission 41, </w:t>
      </w:r>
      <w:r>
        <w:rPr>
          <w:rFonts w:cs="Open Sans"/>
          <w:i/>
          <w:iCs/>
        </w:rPr>
        <w:t>Intersex Inquiry</w:t>
      </w:r>
      <w:r>
        <w:rPr>
          <w:rFonts w:cs="Open Sans"/>
        </w:rPr>
        <w:t>,</w:t>
      </w:r>
      <w:r>
        <w:rPr>
          <w:rFonts w:cs="Open Sans"/>
          <w:i/>
          <w:iCs/>
        </w:rPr>
        <w:t xml:space="preserve"> </w:t>
      </w:r>
      <w:r w:rsidRPr="00672C36">
        <w:rPr>
          <w:rFonts w:cs="Open Sans"/>
          <w:lang w:val="en-US"/>
        </w:rPr>
        <w:t xml:space="preserve">8, 10; A Gender Agenda, Submission 52, </w:t>
      </w:r>
      <w:r>
        <w:rPr>
          <w:rFonts w:cs="Open Sans"/>
          <w:i/>
          <w:iCs/>
        </w:rPr>
        <w:t>Intersex Inquiry</w:t>
      </w:r>
      <w:r>
        <w:rPr>
          <w:rFonts w:cs="Open Sans"/>
        </w:rPr>
        <w:t>,</w:t>
      </w:r>
      <w:r>
        <w:rPr>
          <w:rFonts w:cs="Open Sans"/>
          <w:i/>
          <w:iCs/>
        </w:rPr>
        <w:t xml:space="preserve"> </w:t>
      </w:r>
      <w:r w:rsidRPr="00672C36">
        <w:rPr>
          <w:rFonts w:cs="Open Sans"/>
          <w:lang w:val="en-US"/>
        </w:rPr>
        <w:t>8.</w:t>
      </w:r>
    </w:p>
  </w:endnote>
  <w:endnote w:id="797">
    <w:p w:rsidRPr="00672C36" w:rsidR="00452E54" w:rsidP="00452E54" w:rsidRDefault="00452E54" w14:paraId="2E2BA770" w14:textId="77777777">
      <w:pPr>
        <w:pStyle w:val="EndnoteText"/>
        <w:rPr>
          <w:rFonts w:cs="Open Sans"/>
        </w:rPr>
      </w:pPr>
      <w:r w:rsidRPr="00672C36">
        <w:rPr>
          <w:rStyle w:val="EndnoteReference"/>
          <w:rFonts w:cs="Open Sans"/>
        </w:rPr>
        <w:endnoteRef/>
      </w:r>
      <w:r w:rsidRPr="00672C36">
        <w:rPr>
          <w:rFonts w:cs="Open Sans"/>
        </w:rPr>
        <w:t xml:space="preserve"> Submission 55,</w:t>
      </w:r>
      <w:r w:rsidRPr="00D44D93">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10–11; WA Commissioner for Children and Young People, Submission 43,</w:t>
      </w:r>
      <w:r w:rsidRPr="00D44D93">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3; Australasian Paediatric Endocrine Group, Submission 20,</w:t>
      </w:r>
      <w:r w:rsidRPr="00D44D93">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8.</w:t>
      </w:r>
    </w:p>
  </w:endnote>
  <w:endnote w:id="798">
    <w:p w:rsidRPr="00672C36" w:rsidR="00452E54" w:rsidP="00452E54" w:rsidRDefault="00452E54" w14:paraId="5BC346B5" w14:textId="77777777">
      <w:pPr>
        <w:pStyle w:val="EndnoteText"/>
        <w:rPr>
          <w:rFonts w:cs="Open Sans"/>
        </w:rPr>
      </w:pPr>
      <w:r w:rsidRPr="00672C36">
        <w:rPr>
          <w:rStyle w:val="EndnoteReference"/>
          <w:rFonts w:cs="Open Sans"/>
        </w:rPr>
        <w:endnoteRef/>
      </w:r>
      <w:r w:rsidRPr="00672C36">
        <w:rPr>
          <w:rFonts w:cs="Open Sans"/>
        </w:rPr>
        <w:t xml:space="preserve"> Submission 50, </w:t>
      </w:r>
      <w:r>
        <w:rPr>
          <w:rFonts w:cs="Open Sans"/>
          <w:i/>
          <w:iCs/>
        </w:rPr>
        <w:t>Intersex Inquiry</w:t>
      </w:r>
      <w:r>
        <w:rPr>
          <w:rFonts w:cs="Open Sans"/>
        </w:rPr>
        <w:t>,</w:t>
      </w:r>
      <w:r>
        <w:rPr>
          <w:rFonts w:cs="Open Sans"/>
          <w:i/>
          <w:iCs/>
        </w:rPr>
        <w:t xml:space="preserve"> </w:t>
      </w:r>
      <w:r w:rsidRPr="00672C36">
        <w:rPr>
          <w:rFonts w:cs="Open Sans"/>
        </w:rPr>
        <w:t>4.</w:t>
      </w:r>
    </w:p>
  </w:endnote>
  <w:endnote w:id="799">
    <w:p w:rsidRPr="00672C36" w:rsidR="00452E54" w:rsidP="00452E54" w:rsidRDefault="00452E54" w14:paraId="6D7C717B" w14:textId="77777777">
      <w:pPr>
        <w:pStyle w:val="EndnoteText"/>
        <w:rPr>
          <w:rFonts w:cs="Open Sans"/>
        </w:rPr>
      </w:pPr>
      <w:r w:rsidRPr="00672C36">
        <w:rPr>
          <w:rStyle w:val="EndnoteReference"/>
          <w:rFonts w:cs="Open Sans"/>
        </w:rPr>
        <w:endnoteRef/>
      </w:r>
      <w:r w:rsidRPr="00672C36">
        <w:rPr>
          <w:rFonts w:cs="Open Sans"/>
        </w:rPr>
        <w:t xml:space="preserve"> Submission 36, </w:t>
      </w:r>
      <w:r>
        <w:rPr>
          <w:rFonts w:cs="Open Sans"/>
          <w:i/>
          <w:iCs/>
        </w:rPr>
        <w:t>Intersex Inquiry</w:t>
      </w:r>
      <w:r>
        <w:rPr>
          <w:rFonts w:cs="Open Sans"/>
        </w:rPr>
        <w:t>,</w:t>
      </w:r>
      <w:r>
        <w:rPr>
          <w:rFonts w:cs="Open Sans"/>
          <w:i/>
          <w:iCs/>
        </w:rPr>
        <w:t xml:space="preserve"> </w:t>
      </w:r>
      <w:r w:rsidRPr="00672C36">
        <w:rPr>
          <w:rFonts w:cs="Open Sans"/>
        </w:rPr>
        <w:t>24, 31, citing the Darlington Statement.</w:t>
      </w:r>
    </w:p>
  </w:endnote>
  <w:endnote w:id="800">
    <w:p w:rsidRPr="00672C36" w:rsidR="00452E54" w:rsidP="00452E54" w:rsidRDefault="00452E54" w14:paraId="5A1A72D1" w14:textId="77777777">
      <w:pPr>
        <w:pStyle w:val="EndnoteText"/>
        <w:rPr>
          <w:rFonts w:cs="Open Sans"/>
        </w:rPr>
      </w:pPr>
      <w:r w:rsidRPr="00672C36">
        <w:rPr>
          <w:rStyle w:val="EndnoteReference"/>
          <w:rFonts w:cs="Open Sans"/>
        </w:rPr>
        <w:endnoteRef/>
      </w:r>
      <w:r w:rsidRPr="00672C36">
        <w:rPr>
          <w:rFonts w:cs="Open Sans"/>
        </w:rPr>
        <w:t xml:space="preserve"> Senate Community Affairs References Committee, Parliament of Australia, </w:t>
      </w:r>
      <w:r w:rsidRPr="00672C36">
        <w:rPr>
          <w:rFonts w:cs="Open Sans"/>
          <w:i/>
        </w:rPr>
        <w:t xml:space="preserve">Involuntary or Coerced Sterilisation of Intersex People in Australia </w:t>
      </w:r>
      <w:r w:rsidRPr="00672C36">
        <w:rPr>
          <w:rFonts w:cs="Open Sans"/>
        </w:rPr>
        <w:t>(2013), 111.</w:t>
      </w:r>
    </w:p>
  </w:endnote>
  <w:endnote w:id="801">
    <w:p w:rsidRPr="00672C36" w:rsidR="00452E54" w:rsidP="00452E54" w:rsidRDefault="00452E54" w14:paraId="43B3B4EF" w14:textId="77777777">
      <w:pPr>
        <w:pStyle w:val="EndnoteText"/>
        <w:rPr>
          <w:rFonts w:cs="Open Sans"/>
        </w:rPr>
      </w:pPr>
      <w:r w:rsidRPr="00672C36">
        <w:rPr>
          <w:rStyle w:val="EndnoteReference"/>
          <w:rFonts w:cs="Open Sans"/>
        </w:rPr>
        <w:endnoteRef/>
      </w:r>
      <w:r w:rsidRPr="00672C36">
        <w:rPr>
          <w:rFonts w:cs="Open Sans"/>
        </w:rPr>
        <w:t xml:space="preserve"> Senate Community Affairs References Committee, Parliament of Australia, </w:t>
      </w:r>
      <w:r w:rsidRPr="00672C36">
        <w:rPr>
          <w:rFonts w:cs="Open Sans"/>
          <w:i/>
        </w:rPr>
        <w:t>Involuntary or Coerced Sterilisation of Intersex People in Australia</w:t>
      </w:r>
      <w:r w:rsidRPr="00672C36">
        <w:rPr>
          <w:rFonts w:cs="Open Sans"/>
        </w:rPr>
        <w:t xml:space="preserve"> (2013), Rec 13.</w:t>
      </w:r>
    </w:p>
  </w:endnote>
  <w:endnote w:id="802">
    <w:p w:rsidRPr="00672C36" w:rsidR="00452E54" w:rsidP="00452E54" w:rsidRDefault="00452E54" w14:paraId="60311C13" w14:textId="77777777">
      <w:pPr>
        <w:pStyle w:val="EndnoteText"/>
        <w:rPr>
          <w:rFonts w:cs="Open Sans"/>
          <w:lang w:val="en-US"/>
        </w:rPr>
      </w:pPr>
      <w:r w:rsidRPr="00672C36">
        <w:rPr>
          <w:rStyle w:val="EndnoteReference"/>
          <w:rFonts w:cs="Open Sans"/>
        </w:rPr>
        <w:endnoteRef/>
      </w:r>
      <w:r w:rsidRPr="00672C36">
        <w:rPr>
          <w:rFonts w:cs="Open Sans"/>
        </w:rPr>
        <w:t xml:space="preserve"> </w:t>
      </w:r>
      <w:r w:rsidRPr="00672C36">
        <w:rPr>
          <w:rFonts w:cs="Open Sans"/>
          <w:lang w:val="en-US"/>
        </w:rPr>
        <w:t>See Chapter 2</w:t>
      </w:r>
      <w:r>
        <w:rPr>
          <w:rFonts w:cs="Open Sans"/>
          <w:lang w:val="en-US"/>
        </w:rPr>
        <w:t xml:space="preserve"> – Human Rights</w:t>
      </w:r>
      <w:r w:rsidRPr="00672C36">
        <w:rPr>
          <w:rFonts w:cs="Open Sans"/>
          <w:lang w:val="en-US"/>
        </w:rPr>
        <w:t>.</w:t>
      </w:r>
    </w:p>
  </w:endnote>
  <w:endnote w:id="803">
    <w:p w:rsidRPr="00672C36" w:rsidR="00452E54" w:rsidP="00452E54" w:rsidRDefault="00452E54" w14:paraId="570EEA47" w14:textId="77777777">
      <w:pPr>
        <w:pStyle w:val="EndnoteText"/>
        <w:rPr>
          <w:rFonts w:cs="Open Sans"/>
        </w:rPr>
      </w:pPr>
      <w:r w:rsidRPr="00672C36">
        <w:rPr>
          <w:rStyle w:val="EndnoteReference"/>
          <w:rFonts w:cs="Open Sans"/>
        </w:rPr>
        <w:endnoteRef/>
      </w:r>
      <w:r w:rsidRPr="00672C36">
        <w:rPr>
          <w:rFonts w:cs="Open Sans"/>
        </w:rPr>
        <w:t xml:space="preserve"> Submission 54,</w:t>
      </w:r>
      <w:r w:rsidRPr="00C81DBA">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9.</w:t>
      </w:r>
    </w:p>
  </w:endnote>
  <w:endnote w:id="804">
    <w:p w:rsidRPr="00672C36" w:rsidR="00452E54" w:rsidP="00452E54" w:rsidRDefault="00452E54" w14:paraId="723E9CC7" w14:textId="77777777">
      <w:pPr>
        <w:pStyle w:val="EndnoteText"/>
        <w:rPr>
          <w:rFonts w:cs="Open Sans"/>
        </w:rPr>
      </w:pPr>
      <w:r w:rsidRPr="00672C36">
        <w:rPr>
          <w:rStyle w:val="EndnoteReference"/>
          <w:rFonts w:cs="Open Sans"/>
        </w:rPr>
        <w:endnoteRef/>
      </w:r>
      <w:r w:rsidRPr="00672C36">
        <w:rPr>
          <w:rFonts w:cs="Open Sans"/>
        </w:rPr>
        <w:t xml:space="preserve"> Submission 54, </w:t>
      </w:r>
      <w:r>
        <w:rPr>
          <w:rFonts w:cs="Open Sans"/>
          <w:i/>
          <w:iCs/>
        </w:rPr>
        <w:t>Intersex Inquiry</w:t>
      </w:r>
      <w:r>
        <w:rPr>
          <w:rFonts w:cs="Open Sans"/>
        </w:rPr>
        <w:t>,</w:t>
      </w:r>
      <w:r>
        <w:rPr>
          <w:rFonts w:cs="Open Sans"/>
          <w:i/>
          <w:iCs/>
        </w:rPr>
        <w:t xml:space="preserve"> </w:t>
      </w:r>
      <w:r w:rsidRPr="00672C36">
        <w:rPr>
          <w:rFonts w:cs="Open Sans"/>
        </w:rPr>
        <w:t>9.</w:t>
      </w:r>
    </w:p>
  </w:endnote>
  <w:endnote w:id="805">
    <w:p w:rsidRPr="00672C36" w:rsidR="00452E54" w:rsidP="00452E54" w:rsidRDefault="00452E54" w14:paraId="67116937" w14:textId="77777777">
      <w:pPr>
        <w:pStyle w:val="EndnoteText"/>
        <w:rPr>
          <w:rFonts w:cs="Open Sans"/>
        </w:rPr>
      </w:pPr>
      <w:r w:rsidRPr="00672C36">
        <w:rPr>
          <w:rStyle w:val="EndnoteReference"/>
          <w:rFonts w:cs="Open Sans"/>
        </w:rPr>
        <w:endnoteRef/>
      </w:r>
      <w:r w:rsidRPr="00672C36">
        <w:rPr>
          <w:rFonts w:cs="Open Sans"/>
        </w:rPr>
        <w:t xml:space="preserve"> Submission 54,</w:t>
      </w:r>
      <w:r w:rsidRPr="00C81DBA">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 xml:space="preserve">3, 9; Submission 36, </w:t>
      </w:r>
      <w:r>
        <w:rPr>
          <w:rFonts w:cs="Open Sans"/>
          <w:i/>
          <w:iCs/>
        </w:rPr>
        <w:t>Intersex Inquiry</w:t>
      </w:r>
      <w:r>
        <w:rPr>
          <w:rFonts w:cs="Open Sans"/>
        </w:rPr>
        <w:t>,</w:t>
      </w:r>
      <w:r>
        <w:rPr>
          <w:rFonts w:cs="Open Sans"/>
          <w:i/>
          <w:iCs/>
        </w:rPr>
        <w:t xml:space="preserve"> </w:t>
      </w:r>
      <w:r w:rsidRPr="00672C36">
        <w:rPr>
          <w:rFonts w:cs="Open Sans"/>
        </w:rPr>
        <w:t xml:space="preserve">18. </w:t>
      </w:r>
    </w:p>
  </w:endnote>
  <w:endnote w:id="806">
    <w:p w:rsidRPr="00672C36" w:rsidR="00452E54" w:rsidP="00452E54" w:rsidRDefault="00452E54" w14:paraId="21FE449D" w14:textId="77777777">
      <w:pPr>
        <w:pStyle w:val="EndnoteText"/>
        <w:rPr>
          <w:rFonts w:cs="Open Sans"/>
        </w:rPr>
      </w:pPr>
      <w:r w:rsidRPr="00672C36">
        <w:rPr>
          <w:rStyle w:val="EndnoteReference"/>
          <w:rFonts w:cs="Open Sans"/>
        </w:rPr>
        <w:endnoteRef/>
      </w:r>
      <w:r w:rsidRPr="00672C36">
        <w:rPr>
          <w:rFonts w:cs="Open Sans"/>
        </w:rPr>
        <w:t xml:space="preserve"> Submission 54,</w:t>
      </w:r>
      <w:r w:rsidRPr="00C81DBA">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 xml:space="preserve">9; Submission 56, </w:t>
      </w:r>
      <w:r>
        <w:rPr>
          <w:rFonts w:cs="Open Sans"/>
          <w:i/>
          <w:iCs/>
        </w:rPr>
        <w:t>Intersex Inquiry</w:t>
      </w:r>
      <w:r>
        <w:rPr>
          <w:rFonts w:cs="Open Sans"/>
        </w:rPr>
        <w:t>,</w:t>
      </w:r>
      <w:r>
        <w:rPr>
          <w:rFonts w:cs="Open Sans"/>
          <w:i/>
          <w:iCs/>
        </w:rPr>
        <w:t xml:space="preserve"> </w:t>
      </w:r>
      <w:r w:rsidRPr="00672C36">
        <w:rPr>
          <w:rFonts w:cs="Open Sans"/>
        </w:rPr>
        <w:t xml:space="preserve">3. </w:t>
      </w:r>
    </w:p>
  </w:endnote>
  <w:endnote w:id="807">
    <w:p w:rsidRPr="00672C36" w:rsidR="00452E54" w:rsidP="00452E54" w:rsidRDefault="00452E54" w14:paraId="329B0883" w14:textId="77777777">
      <w:pPr>
        <w:pStyle w:val="EndnoteText"/>
        <w:rPr>
          <w:rFonts w:cs="Open Sans"/>
        </w:rPr>
      </w:pPr>
      <w:r w:rsidRPr="00672C36">
        <w:rPr>
          <w:rStyle w:val="EndnoteReference"/>
          <w:rFonts w:cs="Open Sans"/>
        </w:rPr>
        <w:endnoteRef/>
      </w:r>
      <w:r w:rsidRPr="00672C36">
        <w:rPr>
          <w:rFonts w:cs="Open Sans"/>
        </w:rPr>
        <w:t xml:space="preserve"> Submission 36,</w:t>
      </w:r>
      <w:r w:rsidRPr="00C81DBA">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 xml:space="preserve">18; Submission 54, </w:t>
      </w:r>
      <w:r>
        <w:rPr>
          <w:rFonts w:cs="Open Sans"/>
          <w:i/>
          <w:iCs/>
        </w:rPr>
        <w:t>Intersex Inquiry</w:t>
      </w:r>
      <w:r>
        <w:rPr>
          <w:rFonts w:cs="Open Sans"/>
        </w:rPr>
        <w:t>,</w:t>
      </w:r>
      <w:r>
        <w:rPr>
          <w:rFonts w:cs="Open Sans"/>
          <w:i/>
          <w:iCs/>
        </w:rPr>
        <w:t xml:space="preserve"> </w:t>
      </w:r>
      <w:r w:rsidRPr="00672C36">
        <w:rPr>
          <w:rFonts w:cs="Open Sans"/>
        </w:rPr>
        <w:t>9.</w:t>
      </w:r>
    </w:p>
  </w:endnote>
  <w:endnote w:id="808">
    <w:p w:rsidRPr="00672C36" w:rsidR="00452E54" w:rsidP="00452E54" w:rsidRDefault="00452E54" w14:paraId="00A25C64" w14:textId="77777777">
      <w:pPr>
        <w:pStyle w:val="EndnoteText"/>
        <w:rPr>
          <w:rFonts w:cs="Open Sans"/>
        </w:rPr>
      </w:pPr>
      <w:r w:rsidRPr="00672C36">
        <w:rPr>
          <w:rStyle w:val="EndnoteReference"/>
          <w:rFonts w:cs="Open Sans"/>
        </w:rPr>
        <w:endnoteRef/>
      </w:r>
      <w:r w:rsidRPr="00672C36">
        <w:rPr>
          <w:rFonts w:cs="Open Sans"/>
        </w:rPr>
        <w:t xml:space="preserve"> Committee on the Rights of Persons with Disabilities, </w:t>
      </w:r>
      <w:r w:rsidRPr="00672C36">
        <w:rPr>
          <w:rFonts w:cs="Open Sans"/>
          <w:i/>
          <w:iCs/>
        </w:rPr>
        <w:t>Concluding observations on the combined second and third reports of Australia</w:t>
      </w:r>
      <w:r w:rsidRPr="00672C36">
        <w:rPr>
          <w:rFonts w:cs="Open Sans"/>
        </w:rPr>
        <w:t xml:space="preserve">, UN Doc CRPD/C/AUS/CO/2-3 (23 September 2019) [34b], Committee on the Elimination of Discrimination Against Women, </w:t>
      </w:r>
      <w:r w:rsidRPr="00672C36">
        <w:rPr>
          <w:rFonts w:cs="Open Sans"/>
          <w:i/>
          <w:iCs/>
        </w:rPr>
        <w:t>Concluding Observations – Australia</w:t>
      </w:r>
      <w:r w:rsidRPr="00672C36">
        <w:rPr>
          <w:rFonts w:cs="Open Sans"/>
        </w:rPr>
        <w:t>, UN Doc: CEDAW/C/Aus/CO/8, (25 July 2018) [26].</w:t>
      </w:r>
    </w:p>
  </w:endnote>
  <w:endnote w:id="809">
    <w:p w:rsidRPr="00672C36" w:rsidR="00452E54" w:rsidP="00452E54" w:rsidRDefault="00452E54" w14:paraId="6FBF10C9" w14:textId="0FA63D14">
      <w:pPr>
        <w:pStyle w:val="EndnoteText"/>
        <w:rPr>
          <w:rFonts w:cs="Open Sans"/>
          <w:lang w:val="en-US"/>
        </w:rPr>
      </w:pPr>
      <w:r w:rsidRPr="00672C36">
        <w:rPr>
          <w:rStyle w:val="EndnoteReference"/>
          <w:rFonts w:cs="Open Sans"/>
        </w:rPr>
        <w:endnoteRef/>
      </w:r>
      <w:r w:rsidRPr="00672C36">
        <w:rPr>
          <w:rFonts w:cs="Open Sans"/>
          <w:i/>
          <w:iCs/>
        </w:rPr>
        <w:t xml:space="preserve"> International Covenant on Civil and Political Rights</w:t>
      </w:r>
      <w:r w:rsidRPr="00672C36">
        <w:rPr>
          <w:rFonts w:cs="Open Sans"/>
        </w:rPr>
        <w:t xml:space="preserve">, opened for signature 16 December 1966, 999 UNTS 171 (entered into force 23 March 1976) </w:t>
      </w:r>
      <w:r w:rsidRPr="00672C36">
        <w:rPr>
          <w:rFonts w:eastAsia="Times New Roman" w:cs="Open Sans"/>
        </w:rPr>
        <w:t>art 2(3)</w:t>
      </w:r>
      <w:r w:rsidR="00C60F5D">
        <w:rPr>
          <w:rFonts w:eastAsia="Times New Roman" w:cs="Open San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4020202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roidSans-Regular">
    <w:altName w:val="Calibri"/>
    <w:panose1 w:val="020B0604020202020204"/>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465F1" w:rsidR="00AC636D" w:rsidP="000465F1" w:rsidRDefault="00AC636D" w14:paraId="1D33D792" w14:textId="77777777">
    <w:pPr>
      <w:pStyle w:val="Footer"/>
    </w:pPr>
    <w:r w:rsidRPr="000465F1">
      <w:t>ABN 47 996 232 602</w:t>
    </w:r>
  </w:p>
  <w:p w:rsidRPr="000465F1" w:rsidR="00AC636D" w:rsidP="000465F1" w:rsidRDefault="00AC636D" w14:paraId="68E1C88A" w14:textId="77777777">
    <w:pPr>
      <w:pStyle w:val="Footer"/>
    </w:pPr>
    <w:r w:rsidRPr="000465F1">
      <w:t>GPO Box 5218, Sydney NSW 2001</w:t>
    </w:r>
  </w:p>
  <w:p w:rsidRPr="000465F1" w:rsidR="00AC636D" w:rsidP="000465F1" w:rsidRDefault="00AC636D" w14:paraId="38D7416E" w14:textId="77777777">
    <w:pPr>
      <w:pStyle w:val="Footer"/>
    </w:pPr>
    <w:r w:rsidRPr="000465F1">
      <w:t>General enquiries 1300 369 711</w:t>
    </w:r>
  </w:p>
  <w:p w:rsidRPr="000465F1" w:rsidR="00AC636D" w:rsidP="000465F1" w:rsidRDefault="00990B81" w14:paraId="34F5F6FF" w14:textId="77777777">
    <w:pPr>
      <w:pStyle w:val="Footer"/>
    </w:pPr>
    <w:r>
      <w:t>National Info Service</w:t>
    </w:r>
    <w:r w:rsidRPr="000465F1" w:rsidR="00AC636D">
      <w:t xml:space="preserve"> 1300 656 419</w:t>
    </w:r>
  </w:p>
  <w:p w:rsidRPr="000465F1" w:rsidR="00B34946" w:rsidP="000465F1" w:rsidRDefault="000465F1" w14:paraId="5B116CE7" w14:textId="77777777">
    <w:pPr>
      <w:pStyle w:val="Footer"/>
    </w:pPr>
    <w:r w:rsidRPr="000465F1">
      <w:t>TTY 1800 620 241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14901"/>
      <w:docPartObj>
        <w:docPartGallery w:val="Page Numbers (Bottom of Page)"/>
        <w:docPartUnique/>
      </w:docPartObj>
    </w:sdtPr>
    <w:sdtEndPr>
      <w:rPr>
        <w:noProof/>
      </w:rPr>
    </w:sdtEndPr>
    <w:sdtContent>
      <w:p w:rsidR="00664316" w:rsidRDefault="00664316" w14:paraId="557EC3F9"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C343B" w:rsidRDefault="00DC343B" w14:paraId="7B31008B" w14:textId="77777777">
    <w:pPr>
      <w:pStyle w:val="Footer"/>
    </w:pPr>
  </w:p>
  <w:p w:rsidR="00A934DD" w:rsidRDefault="00A934DD" w14:paraId="13973002" w14:textId="77777777"/>
  <w:p w:rsidR="00A934DD" w:rsidRDefault="00A934DD" w14:paraId="0E7D2456" w14:textId="77777777"/>
  <w:p w:rsidR="00A934DD" w:rsidRDefault="00A934DD" w14:paraId="4F126CEC" w14:textId="77777777"/>
  <w:p w:rsidR="00FF47B1" w:rsidRDefault="00FF47B1" w14:paraId="3F44BD55"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1D32" w:rsidP="00E53546" w:rsidRDefault="00DA1D32" w14:paraId="62378AA3" w14:textId="77777777">
    <w:pPr>
      <w:pStyle w:val="FooterOddPageNumber"/>
    </w:pPr>
    <w:r w:rsidRPr="00AB7C8F">
      <w:fldChar w:fldCharType="begin"/>
    </w:r>
    <w:r>
      <w:instrText xml:space="preserve"> PAGE   \* MERGEFORMAT </w:instrText>
    </w:r>
    <w:r w:rsidRPr="00AB7C8F">
      <w:fldChar w:fldCharType="separate"/>
    </w:r>
    <w:r w:rsidR="008E78F0">
      <w:rPr>
        <w:noProof/>
      </w:rPr>
      <w:t>3</w:t>
    </w:r>
    <w:r w:rsidRPr="00AB7C8F">
      <w:fldChar w:fldCharType="end"/>
    </w:r>
  </w:p>
  <w:p w:rsidR="00A934DD" w:rsidRDefault="00A934DD" w14:paraId="59F02CDA" w14:textId="77777777"/>
  <w:p w:rsidR="00A934DD" w:rsidRDefault="00A934DD" w14:paraId="08FF3525" w14:textId="77777777"/>
  <w:p w:rsidR="00A934DD" w:rsidRDefault="00A934DD" w14:paraId="419717A9" w14:textId="77777777"/>
  <w:p w:rsidR="00FF47B1" w:rsidRDefault="00FF47B1" w14:paraId="020D455A"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183178"/>
      <w:docPartObj>
        <w:docPartGallery w:val="Page Numbers (Bottom of Page)"/>
        <w:docPartUnique/>
      </w:docPartObj>
    </w:sdtPr>
    <w:sdtEndPr>
      <w:rPr>
        <w:noProof/>
      </w:rPr>
    </w:sdtEndPr>
    <w:sdtContent>
      <w:p w:rsidR="00CF52CF" w:rsidRDefault="00CF52CF" w14:paraId="77BEFB68"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3009F" w:rsidP="00E53546" w:rsidRDefault="0063009F" w14:paraId="74BFBB64" w14:textId="77777777">
    <w:pPr>
      <w:pStyle w:val="FooterEvenPageNumber"/>
    </w:pPr>
  </w:p>
  <w:p w:rsidR="00A934DD" w:rsidRDefault="00A934DD" w14:paraId="480C17BE" w14:textId="77777777"/>
  <w:p w:rsidR="00A934DD" w:rsidRDefault="00A934DD" w14:paraId="0EEF34F8" w14:textId="77777777"/>
  <w:p w:rsidR="00A934DD" w:rsidRDefault="00A934DD" w14:paraId="54B50694" w14:textId="77777777"/>
  <w:p w:rsidR="00FF47B1" w:rsidRDefault="00FF47B1" w14:paraId="3DCE7772"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6AC0" w:rsidP="00F14C6D" w:rsidRDefault="00D06AC0" w14:paraId="13D5F04F" w14:textId="77777777">
      <w:r>
        <w:separator/>
      </w:r>
    </w:p>
  </w:footnote>
  <w:footnote w:type="continuationSeparator" w:id="0">
    <w:p w:rsidR="00D06AC0" w:rsidP="00F14C6D" w:rsidRDefault="00D06AC0" w14:paraId="070C5163" w14:textId="77777777">
      <w:r>
        <w:continuationSeparator/>
      </w:r>
    </w:p>
  </w:footnote>
  <w:footnote w:type="continuationNotice" w:id="1">
    <w:p w:rsidR="00D06AC0" w:rsidRDefault="00D06AC0" w14:paraId="17D956A7"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465F1" w:rsidR="00BF6406" w:rsidP="000465F1" w:rsidRDefault="00D06AC0" w14:paraId="23CAC3DC" w14:textId="77777777">
    <w:pPr>
      <w:pStyle w:val="Header"/>
    </w:pPr>
    <w:r>
      <w:pict w14:anchorId="63A6246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034833" style="position:absolute;left:0;text-align:left;margin-left:0;margin-top:0;width:930.9pt;height:1359.95pt;z-index:-251658239;mso-wrap-edited:f;mso-width-percent:0;mso-height-percent:0;mso-position-horizontal:center;mso-position-horizontal-relative:margin;mso-position-vertical:center;mso-position-vertical-relative:margin;mso-width-percent:0;mso-height-percent:0" alt="" o:spid="_x0000_s1028" o:allowincell="f" type="#_x0000_t75">
          <v:imagedata o:title="report watermark" r:id="rId1"/>
          <w10:wrap anchorx="margin" anchory="margin"/>
        </v:shape>
      </w:pict>
    </w:r>
    <w:r w:rsidRPr="000465F1" w:rsidR="00BF6406">
      <w:t>Australian Human Rights Commission</w:t>
    </w:r>
  </w:p>
  <w:p w:rsidRPr="00622508" w:rsidR="00B34946" w:rsidP="00622508" w:rsidRDefault="00BF6406" w14:paraId="34C88ADE" w14:textId="77777777">
    <w:pPr>
      <w:pStyle w:val="Footer"/>
    </w:pPr>
    <w:r w:rsidRPr="001F62CC">
      <w:rPr>
        <w:rStyle w:val="Reporttitleinheader"/>
      </w:rPr>
      <w:t>Short title</w:t>
    </w:r>
    <w:r w:rsidRPr="00622508">
      <w:rPr>
        <w:rStyle w:val="Reporttitleinheader"/>
      </w:rPr>
      <w:t>, report name</w:t>
    </w:r>
    <w:r w:rsidRPr="00622508" w:rsidR="001F62CC">
      <w:rPr>
        <w:rStyle w:val="Reporttitleinheader"/>
      </w:rPr>
      <w:t>,</w:t>
    </w:r>
    <w:r w:rsidRPr="00622508" w:rsidR="001F62CC">
      <w:t xml:space="preserve"> </w:t>
    </w:r>
    <w:r w:rsidRPr="00622508">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465F1" w:rsidR="00B34946" w:rsidP="000465F1" w:rsidRDefault="00D06AC0" w14:paraId="44B6FA9B" w14:textId="77777777">
    <w:r>
      <w:pict w14:anchorId="77CF6F2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034834" style="position:absolute;margin-left:0;margin-top:0;width:930.9pt;height:1359.95pt;z-index:-251658238;mso-wrap-edited:f;mso-width-percent:0;mso-height-percent:0;mso-position-horizontal:center;mso-position-horizontal-relative:margin;mso-position-vertical:center;mso-position-vertical-relative:margin;mso-width-percent:0;mso-height-percent:0" alt="" o:spid="_x0000_s1027" o:allowincell="f" type="#_x0000_t75">
          <v:imagedata o:title="report watermark" r:id="rId1"/>
          <w10:wrap anchorx="margin" anchory="margin"/>
        </v:shape>
      </w:pict>
    </w:r>
    <w:r w:rsidRPr="000465F1" w:rsidR="00B34946">
      <w:t>Australian Human Rights Commission</w:t>
    </w:r>
  </w:p>
  <w:p w:rsidRPr="000465F1" w:rsidR="00B34946" w:rsidP="000465F1" w:rsidRDefault="00B34946" w14:paraId="3AB8DE81" w14:textId="77777777">
    <w:pPr>
      <w:pStyle w:val="Footer"/>
    </w:pPr>
    <w:r w:rsidRPr="000465F1">
      <w:t>Short document title, 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2AA0" w:rsidP="002012F7" w:rsidRDefault="00D06AC0" w14:paraId="4EE6A5FC" w14:textId="77777777">
    <w:pPr>
      <w:pStyle w:val="Header"/>
    </w:pPr>
    <w:r>
      <w:pict w14:anchorId="6BE87FB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4066017" style="position:absolute;left:0;text-align:left;margin-left:-71.05pt;margin-top:-108.5pt;width:595.65pt;height:870.15pt;z-index:-251658237;mso-wrap-edited:f;mso-width-percent:0;mso-height-percent:0;mso-position-horizontal-relative:margin;mso-position-vertical-relative:margin;mso-width-percent:0;mso-height-percent:0" alt="" o:spid="_x0000_s1026" o:allowincell="f" type="#_x0000_t75">
          <v:imagedata o:title="MS word cover1" r:id="rId1"/>
          <w10:wrap anchorx="margin" anchory="margin"/>
        </v:shape>
      </w:pict>
    </w:r>
    <w:r>
      <w:pict w14:anchorId="51795BA3">
        <v:shape id="WordPictureWatermark1034832" style="position:absolute;left:0;text-align:left;margin-left:-70.9pt;margin-top:-109.05pt;width:595.1pt;height:869.4pt;z-index:-251658240;mso-wrap-edited:f;mso-width-percent:0;mso-height-percent:0;mso-position-horizontal-relative:margin;mso-position-vertical-relative:margin;mso-width-percent:0;mso-height-percent:0" alt="" o:spid="_x0000_s1025" o:allowincell="f" type="#_x0000_t75">
          <v:imagedata o:title="report watermark" r:id="rId2"/>
          <w10:wrap anchorx="margin" anchory="margin"/>
        </v:shape>
      </w:pict>
    </w:r>
  </w:p>
  <w:p w:rsidR="008B3899" w:rsidP="002012F7" w:rsidRDefault="008B3899" w14:paraId="017A82C7" w14:textId="77777777">
    <w:pPr>
      <w:pStyle w:val="Header"/>
    </w:pPr>
  </w:p>
  <w:p w:rsidR="008B3899" w:rsidP="002012F7" w:rsidRDefault="008B3899" w14:paraId="53F7B1AE"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465F1" w:rsidR="0015239E" w:rsidP="0015239E" w:rsidRDefault="0015239E" w14:paraId="7853ACF5" w14:textId="77777777">
    <w:pPr>
      <w:pStyle w:val="HeaderDocumentDa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02EC3" w:rsidR="00BF6406" w:rsidP="00902EC3" w:rsidRDefault="00BF6406" w14:paraId="6E10EB9F" w14:textId="77777777">
    <w:pPr>
      <w:pStyle w:val="Header"/>
    </w:pPr>
    <w:bookmarkStart w:name="_Hlk514672172" w:id="631"/>
    <w:bookmarkStart w:name="_Hlk514672173" w:id="632"/>
    <w:r w:rsidRPr="00902EC3">
      <w:t>Australian Human Rights Commission</w:t>
    </w:r>
  </w:p>
  <w:bookmarkEnd w:id="631"/>
  <w:bookmarkEnd w:id="632"/>
  <w:p w:rsidR="00A934DD" w:rsidP="0038518F" w:rsidRDefault="00A92D96" w14:paraId="37E84E27" w14:textId="2D7F06E7">
    <w:pPr>
      <w:pStyle w:val="HeaderDocumentDate"/>
    </w:pPr>
    <w:r>
      <w:rPr>
        <w:rStyle w:val="Reporttitleinheader"/>
      </w:rPr>
      <w:t>Report title</w:t>
    </w:r>
    <w:r>
      <w:t xml:space="preserve"> </w:t>
    </w:r>
    <w:r w:rsidR="009B1CCE">
      <w:fldChar w:fldCharType="begin"/>
    </w:r>
    <w:r w:rsidR="009B1CCE">
      <w:instrText xml:space="preserve"> CREATEDATE  \@ "MMMM yyyy"  \* MERGEFORMAT </w:instrText>
    </w:r>
    <w:r w:rsidR="009B1CCE">
      <w:fldChar w:fldCharType="separate"/>
    </w:r>
    <w:r w:rsidR="00935966">
      <w:rPr>
        <w:noProof/>
      </w:rPr>
      <w:t>September 2021</w:t>
    </w:r>
    <w:r w:rsidR="009B1CCE">
      <w:fldChar w:fldCharType="end"/>
    </w:r>
  </w:p>
  <w:p w:rsidR="00FF47B1" w:rsidRDefault="00FF47B1" w14:paraId="2AD7788B" w14:textId="7777777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51ECD" w:rsidR="0063009F" w:rsidP="0063009F" w:rsidRDefault="0063009F" w14:paraId="1813880F" w14:textId="77777777">
    <w:pPr>
      <w:pStyle w:val="Header"/>
      <w:rPr>
        <w:sz w:val="22"/>
        <w:szCs w:val="22"/>
      </w:rPr>
    </w:pPr>
    <w:r w:rsidRPr="00F51ECD">
      <w:rPr>
        <w:sz w:val="22"/>
        <w:szCs w:val="22"/>
      </w:rPr>
      <w:t>Australian Human Rights Commission</w:t>
    </w:r>
  </w:p>
  <w:p w:rsidR="00F40FDE" w:rsidP="0063009F" w:rsidRDefault="00F40FDE" w14:paraId="58099E79" w14:textId="77777777">
    <w:pPr>
      <w:pStyle w:val="HeaderDocumentDate"/>
      <w:rPr>
        <w:rStyle w:val="Reporttitleinheader"/>
      </w:rPr>
    </w:pPr>
    <w:r w:rsidRPr="00F40FDE">
      <w:rPr>
        <w:rStyle w:val="Reporttitleinheader"/>
      </w:rPr>
      <w:t xml:space="preserve">Ensuring health and bodily integrity: towards a human rights approach </w:t>
    </w:r>
  </w:p>
  <w:p w:rsidRPr="000465F1" w:rsidR="0063009F" w:rsidP="0063009F" w:rsidRDefault="00F40FDE" w14:paraId="40575B4D" w14:textId="0687F39D">
    <w:pPr>
      <w:pStyle w:val="HeaderDocumentDate"/>
    </w:pPr>
    <w:r w:rsidRPr="00F40FDE">
      <w:rPr>
        <w:rStyle w:val="Reporttitleinheader"/>
      </w:rPr>
      <w:t>for people born with variations in sex characteristics</w:t>
    </w:r>
    <w:r>
      <w:rPr>
        <w:rStyle w:val="Reporttitleinheader"/>
      </w:rPr>
      <w:t xml:space="preserve"> </w:t>
    </w:r>
    <w:r w:rsidR="009B1CCE">
      <w:fldChar w:fldCharType="begin"/>
    </w:r>
    <w:r w:rsidR="009B1CCE">
      <w:instrText xml:space="preserve"> CREATEDATE  \@ "MMMM yyyy"  \* MERGEFORMAT </w:instrText>
    </w:r>
    <w:r w:rsidR="009B1CCE">
      <w:fldChar w:fldCharType="separate"/>
    </w:r>
    <w:r w:rsidR="00935966">
      <w:rPr>
        <w:noProof/>
      </w:rPr>
      <w:t>September 2021</w:t>
    </w:r>
    <w:r w:rsidR="009B1CCE">
      <w:fldChar w:fldCharType="end"/>
    </w:r>
  </w:p>
  <w:p w:rsidR="00A934DD" w:rsidRDefault="00A934DD" w14:paraId="7128F239" w14:textId="77777777"/>
  <w:p w:rsidR="00FF47B1" w:rsidRDefault="00FF47B1" w14:paraId="458A7C2E"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D63CBA"/>
    <w:lvl w:ilvl="0">
      <w:start w:val="1"/>
      <w:numFmt w:val="bullet"/>
      <w:pStyle w:val="ListBullet"/>
      <w:lvlText w:val=""/>
      <w:lvlJc w:val="left"/>
      <w:pPr>
        <w:tabs>
          <w:tab w:val="num" w:pos="360"/>
        </w:tabs>
        <w:ind w:left="360" w:hanging="3"/>
      </w:pPr>
      <w:rPr>
        <w:rFonts w:hint="default" w:ascii="Symbol" w:hAnsi="Symbol"/>
      </w:rPr>
    </w:lvl>
  </w:abstractNum>
  <w:abstractNum w:abstractNumId="10" w15:restartNumberingAfterBreak="0">
    <w:nsid w:val="01BB1EE2"/>
    <w:multiLevelType w:val="hybridMultilevel"/>
    <w:tmpl w:val="196C959C"/>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11" w15:restartNumberingAfterBreak="0">
    <w:nsid w:val="07A209A7"/>
    <w:multiLevelType w:val="hybridMultilevel"/>
    <w:tmpl w:val="0D42013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099F39D2"/>
    <w:multiLevelType w:val="multilevel"/>
    <w:tmpl w:val="1376D2A8"/>
    <w:styleLink w:val="Style1"/>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3.1.1"/>
      <w:lvlJc w:val="left"/>
      <w:pPr>
        <w:tabs>
          <w:tab w:val="num" w:pos="851"/>
        </w:tabs>
        <w:ind w:left="851" w:hanging="851"/>
      </w:pPr>
      <w:rPr>
        <w:rFonts w:hint="default" w:ascii="Times New Roman" w:hAnsi="Times New Roman"/>
        <w:color w:val="auto"/>
      </w:rPr>
    </w:lvl>
    <w:lvl w:ilvl="3">
      <w:start w:val="1"/>
      <w:numFmt w:val="lowerLetter"/>
      <w:lvlText w:val="(%4)"/>
      <w:lvlJc w:val="left"/>
      <w:pPr>
        <w:tabs>
          <w:tab w:val="num" w:pos="851"/>
        </w:tabs>
        <w:ind w:left="851" w:hanging="851"/>
      </w:pPr>
      <w:rPr>
        <w:rFonts w:hint="default"/>
      </w:rPr>
    </w:lvl>
    <w:lvl w:ilvl="4">
      <w:start w:val="1"/>
      <w:numFmt w:val="lowerRoman"/>
      <w:lvlText w:val="%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3" w15:restartNumberingAfterBreak="0">
    <w:nsid w:val="09CA2A3E"/>
    <w:multiLevelType w:val="hybridMultilevel"/>
    <w:tmpl w:val="093A4796"/>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4" w15:restartNumberingAfterBreak="0">
    <w:nsid w:val="0A4822DB"/>
    <w:multiLevelType w:val="hybridMultilevel"/>
    <w:tmpl w:val="2B887B60"/>
    <w:lvl w:ilvl="0" w:tplc="0C090001">
      <w:start w:val="1"/>
      <w:numFmt w:val="bullet"/>
      <w:lvlText w:val=""/>
      <w:lvlJc w:val="left"/>
      <w:pPr>
        <w:ind w:left="720" w:hanging="360"/>
      </w:pPr>
      <w:rPr>
        <w:rFonts w:hint="default" w:ascii="Symbol" w:hAnsi="Symbol"/>
      </w:rPr>
    </w:lvl>
    <w:lvl w:ilvl="1" w:tplc="B400E96C">
      <w:numFmt w:val="bullet"/>
      <w:lvlText w:val="•"/>
      <w:lvlJc w:val="left"/>
      <w:pPr>
        <w:ind w:left="2520" w:hanging="1440"/>
      </w:pPr>
      <w:rPr>
        <w:rFonts w:hint="default" w:ascii="Open Sans" w:hAnsi="Open Sans" w:eastAsia="MS Mincho" w:cs="Open Sans"/>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0B8D5499"/>
    <w:multiLevelType w:val="multilevel"/>
    <w:tmpl w:val="8BE444DC"/>
    <w:styleLink w:val="AHRCReportHeadings"/>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none"/>
      <w:pStyle w:val="AHRCheading5"/>
      <w:lvlText w:val="-"/>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6" w15:restartNumberingAfterBreak="0">
    <w:nsid w:val="0C2A5584"/>
    <w:multiLevelType w:val="hybridMultilevel"/>
    <w:tmpl w:val="D5CEC90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0DDB3403"/>
    <w:multiLevelType w:val="hybridMultilevel"/>
    <w:tmpl w:val="080885D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100A790F"/>
    <w:multiLevelType w:val="hybridMultilevel"/>
    <w:tmpl w:val="1B4ED46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101410AC"/>
    <w:multiLevelType w:val="multilevel"/>
    <w:tmpl w:val="C3B69622"/>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i w:val="0"/>
        <w:iCs w:val="0"/>
      </w:rPr>
    </w:lvl>
    <w:lvl w:ilvl="3">
      <w:start w:val="1"/>
      <w:numFmt w:val="lowerRoman"/>
      <w:pStyle w:val="Heading4"/>
      <w:lvlText w:val="(%4)"/>
      <w:lvlJc w:val="left"/>
      <w:pPr>
        <w:tabs>
          <w:tab w:val="num" w:pos="851"/>
        </w:tabs>
        <w:ind w:left="851" w:hanging="851"/>
      </w:pPr>
      <w:rPr>
        <w:rFonts w:hint="default"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0" w15:restartNumberingAfterBreak="0">
    <w:nsid w:val="11761D8F"/>
    <w:multiLevelType w:val="hybridMultilevel"/>
    <w:tmpl w:val="6980B9D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126554F4"/>
    <w:multiLevelType w:val="hybridMultilevel"/>
    <w:tmpl w:val="DB3AF3A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131C4B35"/>
    <w:multiLevelType w:val="hybridMultilevel"/>
    <w:tmpl w:val="BE9AB57A"/>
    <w:lvl w:ilvl="0" w:tplc="0C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146A6C81"/>
    <w:multiLevelType w:val="hybridMultilevel"/>
    <w:tmpl w:val="C5724E7E"/>
    <w:lvl w:ilvl="0" w:tplc="04090001">
      <w:start w:val="1"/>
      <w:numFmt w:val="bullet"/>
      <w:lvlText w:val=""/>
      <w:lvlJc w:val="left"/>
      <w:pPr>
        <w:ind w:left="502"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14CA488E"/>
    <w:multiLevelType w:val="hybridMultilevel"/>
    <w:tmpl w:val="BE9AB57A"/>
    <w:lvl w:ilvl="0" w:tplc="0C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19562656"/>
    <w:multiLevelType w:val="hybridMultilevel"/>
    <w:tmpl w:val="FFFFFFFF"/>
    <w:lvl w:ilvl="0" w:tplc="EC0C2892">
      <w:start w:val="1"/>
      <w:numFmt w:val="decimal"/>
      <w:lvlText w:val="%1."/>
      <w:lvlJc w:val="left"/>
      <w:pPr>
        <w:ind w:left="720" w:hanging="360"/>
      </w:pPr>
    </w:lvl>
    <w:lvl w:ilvl="1" w:tplc="BF3267BC">
      <w:start w:val="1"/>
      <w:numFmt w:val="lowerLetter"/>
      <w:lvlText w:val="%2."/>
      <w:lvlJc w:val="left"/>
      <w:pPr>
        <w:ind w:left="1440" w:hanging="360"/>
      </w:pPr>
    </w:lvl>
    <w:lvl w:ilvl="2" w:tplc="F71EC05C">
      <w:start w:val="1"/>
      <w:numFmt w:val="lowerRoman"/>
      <w:lvlText w:val="%3."/>
      <w:lvlJc w:val="right"/>
      <w:pPr>
        <w:ind w:left="2160" w:hanging="180"/>
      </w:pPr>
    </w:lvl>
    <w:lvl w:ilvl="3" w:tplc="1EA8836E">
      <w:start w:val="1"/>
      <w:numFmt w:val="decimal"/>
      <w:lvlText w:val="%4."/>
      <w:lvlJc w:val="left"/>
      <w:pPr>
        <w:ind w:left="2880" w:hanging="360"/>
      </w:pPr>
    </w:lvl>
    <w:lvl w:ilvl="4" w:tplc="8AC2D4AA">
      <w:start w:val="1"/>
      <w:numFmt w:val="lowerLetter"/>
      <w:lvlText w:val="%5."/>
      <w:lvlJc w:val="left"/>
      <w:pPr>
        <w:ind w:left="3600" w:hanging="360"/>
      </w:pPr>
    </w:lvl>
    <w:lvl w:ilvl="5" w:tplc="06D8024C">
      <w:start w:val="1"/>
      <w:numFmt w:val="lowerRoman"/>
      <w:lvlText w:val="%6."/>
      <w:lvlJc w:val="right"/>
      <w:pPr>
        <w:ind w:left="4320" w:hanging="180"/>
      </w:pPr>
    </w:lvl>
    <w:lvl w:ilvl="6" w:tplc="5FC2F3B2">
      <w:start w:val="1"/>
      <w:numFmt w:val="decimal"/>
      <w:lvlText w:val="%7."/>
      <w:lvlJc w:val="left"/>
      <w:pPr>
        <w:ind w:left="5040" w:hanging="360"/>
      </w:pPr>
    </w:lvl>
    <w:lvl w:ilvl="7" w:tplc="9AF65236">
      <w:start w:val="1"/>
      <w:numFmt w:val="lowerLetter"/>
      <w:lvlText w:val="%8."/>
      <w:lvlJc w:val="left"/>
      <w:pPr>
        <w:ind w:left="5760" w:hanging="360"/>
      </w:pPr>
    </w:lvl>
    <w:lvl w:ilvl="8" w:tplc="77DCB596">
      <w:start w:val="1"/>
      <w:numFmt w:val="lowerRoman"/>
      <w:lvlText w:val="%9."/>
      <w:lvlJc w:val="right"/>
      <w:pPr>
        <w:ind w:left="6480" w:hanging="180"/>
      </w:pPr>
    </w:lvl>
  </w:abstractNum>
  <w:abstractNum w:abstractNumId="26" w15:restartNumberingAfterBreak="0">
    <w:nsid w:val="1A9B6E97"/>
    <w:multiLevelType w:val="hybridMultilevel"/>
    <w:tmpl w:val="7492A5F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1AEC7932"/>
    <w:multiLevelType w:val="hybridMultilevel"/>
    <w:tmpl w:val="54BE7754"/>
    <w:lvl w:ilvl="0" w:tplc="FFFFFFFF">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1B220C1D"/>
    <w:multiLevelType w:val="hybridMultilevel"/>
    <w:tmpl w:val="AB2EA4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1DCB237C"/>
    <w:multiLevelType w:val="hybridMultilevel"/>
    <w:tmpl w:val="E8EC5DC8"/>
    <w:lvl w:ilvl="0" w:tplc="A32EC982">
      <w:start w:val="1"/>
      <w:numFmt w:val="decimal"/>
      <w:pStyle w:val="SubmissionNormal"/>
      <w:lvlText w:val="%1."/>
      <w:lvlJc w:val="left"/>
      <w:pPr>
        <w:tabs>
          <w:tab w:val="num" w:pos="720"/>
        </w:tabs>
        <w:ind w:left="720" w:hanging="360"/>
      </w:pPr>
      <w:rPr>
        <w:rFonts w:hint="default"/>
      </w:rPr>
    </w:lvl>
    <w:lvl w:ilvl="1" w:tplc="3904ADF4">
      <w:start w:val="1"/>
      <w:numFmt w:val="lowerLetter"/>
      <w:lvlText w:val="%2."/>
      <w:lvlJc w:val="left"/>
      <w:pPr>
        <w:tabs>
          <w:tab w:val="num" w:pos="1440"/>
        </w:tabs>
        <w:ind w:left="1440" w:hanging="360"/>
      </w:pPr>
      <w:rPr>
        <w:sz w:val="24"/>
        <w:szCs w:val="24"/>
        <w:vertAlign w:val="baseline"/>
      </w:rPr>
    </w:lvl>
    <w:lvl w:ilvl="2" w:tplc="59E0782C">
      <w:start w:val="6"/>
      <w:numFmt w:val="decimal"/>
      <w:lvlText w:val="%3"/>
      <w:lvlJc w:val="left"/>
      <w:pPr>
        <w:ind w:left="2340" w:hanging="360"/>
      </w:pPr>
      <w:rPr>
        <w:rFonts w:hint="default" w:eastAsia="MS Mincho" w:cs="Times New Roman"/>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1FB10C0D"/>
    <w:multiLevelType w:val="hybridMultilevel"/>
    <w:tmpl w:val="029A051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1" w15:restartNumberingAfterBreak="0">
    <w:nsid w:val="205648FA"/>
    <w:multiLevelType w:val="hybridMultilevel"/>
    <w:tmpl w:val="A6EE727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20AD41B6"/>
    <w:multiLevelType w:val="hybridMultilevel"/>
    <w:tmpl w:val="58E85474"/>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33"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236A5600"/>
    <w:multiLevelType w:val="hybridMultilevel"/>
    <w:tmpl w:val="AB123EEE"/>
    <w:lvl w:ilvl="0" w:tplc="A9B8A952">
      <w:start w:val="1"/>
      <w:numFmt w:val="decimal"/>
      <w:pStyle w:val="AHRCEndnote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4AF0CFD"/>
    <w:multiLevelType w:val="multilevel"/>
    <w:tmpl w:val="099C080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3119"/>
        </w:tabs>
        <w:ind w:left="3119" w:hanging="851"/>
      </w:pPr>
      <w:rPr>
        <w:rFonts w:hint="default"/>
      </w:rPr>
    </w:lvl>
    <w:lvl w:ilvl="2">
      <w:start w:val="1"/>
      <w:numFmt w:val="lowerLetter"/>
      <w:lvlText w:val="(%3)"/>
      <w:lvlJc w:val="left"/>
      <w:pPr>
        <w:tabs>
          <w:tab w:val="num" w:pos="8222"/>
        </w:tabs>
        <w:ind w:left="8222" w:hanging="851"/>
      </w:pPr>
      <w:rPr>
        <w:rFonts w:hint="default"/>
      </w:rPr>
    </w:lvl>
    <w:lvl w:ilvl="3">
      <w:start w:val="1"/>
      <w:numFmt w:val="lowerRoman"/>
      <w:lvlText w:val="(%4)"/>
      <w:lvlJc w:val="left"/>
      <w:pPr>
        <w:tabs>
          <w:tab w:val="num" w:pos="2269"/>
        </w:tabs>
        <w:ind w:left="2269" w:hanging="851"/>
      </w:pPr>
      <w:rPr>
        <w:rFonts w:hint="default"/>
        <w:i w:val="0"/>
        <w:iCs w:val="0"/>
        <w:u w:val="none"/>
        <w:vertAlign w:val="baselin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6" w15:restartNumberingAfterBreak="0">
    <w:nsid w:val="24CA1700"/>
    <w:multiLevelType w:val="hybridMultilevel"/>
    <w:tmpl w:val="814A640A"/>
    <w:lvl w:ilvl="0" w:tplc="66982FD4">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8410468"/>
    <w:multiLevelType w:val="hybridMultilevel"/>
    <w:tmpl w:val="8938BB9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8" w15:restartNumberingAfterBreak="0">
    <w:nsid w:val="2A536CD9"/>
    <w:multiLevelType w:val="hybridMultilevel"/>
    <w:tmpl w:val="3F389CF6"/>
    <w:lvl w:ilvl="0" w:tplc="7024A7A0">
      <w:start w:val="1"/>
      <w:numFmt w:val="decimal"/>
      <w:lvlText w:val="%1"/>
      <w:lvlJc w:val="left"/>
      <w:pPr>
        <w:ind w:left="958" w:hanging="720"/>
      </w:pPr>
      <w:rPr>
        <w:rFont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39" w15:restartNumberingAfterBreak="0">
    <w:nsid w:val="2C0C7AAB"/>
    <w:multiLevelType w:val="hybridMultilevel"/>
    <w:tmpl w:val="6FB884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2C5565CD"/>
    <w:multiLevelType w:val="multilevel"/>
    <w:tmpl w:val="099C080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3119"/>
        </w:tabs>
        <w:ind w:left="3119" w:hanging="851"/>
      </w:pPr>
      <w:rPr>
        <w:rFonts w:hint="default"/>
      </w:rPr>
    </w:lvl>
    <w:lvl w:ilvl="2">
      <w:start w:val="1"/>
      <w:numFmt w:val="lowerLetter"/>
      <w:lvlText w:val="(%3)"/>
      <w:lvlJc w:val="left"/>
      <w:pPr>
        <w:tabs>
          <w:tab w:val="num" w:pos="8222"/>
        </w:tabs>
        <w:ind w:left="8222" w:hanging="851"/>
      </w:pPr>
      <w:rPr>
        <w:rFonts w:hint="default"/>
      </w:rPr>
    </w:lvl>
    <w:lvl w:ilvl="3">
      <w:start w:val="1"/>
      <w:numFmt w:val="lowerRoman"/>
      <w:lvlText w:val="(%4)"/>
      <w:lvlJc w:val="left"/>
      <w:pPr>
        <w:tabs>
          <w:tab w:val="num" w:pos="2269"/>
        </w:tabs>
        <w:ind w:left="2269" w:hanging="851"/>
      </w:pPr>
      <w:rPr>
        <w:rFonts w:hint="default"/>
        <w:i w:val="0"/>
        <w:iCs w:val="0"/>
        <w:u w:val="none"/>
        <w:vertAlign w:val="baselin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41" w15:restartNumberingAfterBreak="0">
    <w:nsid w:val="2D391150"/>
    <w:multiLevelType w:val="hybridMultilevel"/>
    <w:tmpl w:val="9DAC75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DEE2FC4"/>
    <w:multiLevelType w:val="hybridMultilevel"/>
    <w:tmpl w:val="580E8142"/>
    <w:lvl w:ilvl="0" w:tplc="66982FD4">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54670CB"/>
    <w:multiLevelType w:val="hybridMultilevel"/>
    <w:tmpl w:val="C31EF18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4" w15:restartNumberingAfterBreak="0">
    <w:nsid w:val="3564785A"/>
    <w:multiLevelType w:val="hybridMultilevel"/>
    <w:tmpl w:val="DB8880B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5" w15:restartNumberingAfterBreak="0">
    <w:nsid w:val="3A87131A"/>
    <w:multiLevelType w:val="hybridMultilevel"/>
    <w:tmpl w:val="07325D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3C264DA7"/>
    <w:multiLevelType w:val="hybridMultilevel"/>
    <w:tmpl w:val="A712E0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3C362DF6"/>
    <w:multiLevelType w:val="multilevel"/>
    <w:tmpl w:val="C0A874F6"/>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8"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3EEA5457"/>
    <w:multiLevelType w:val="hybridMultilevel"/>
    <w:tmpl w:val="D058464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0" w15:restartNumberingAfterBreak="0">
    <w:nsid w:val="4023532F"/>
    <w:multiLevelType w:val="hybridMultilevel"/>
    <w:tmpl w:val="03A4041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1" w15:restartNumberingAfterBreak="0">
    <w:nsid w:val="43735B3C"/>
    <w:multiLevelType w:val="hybridMultilevel"/>
    <w:tmpl w:val="BE9AB57A"/>
    <w:lvl w:ilvl="0" w:tplc="0C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43B24B07"/>
    <w:multiLevelType w:val="hybridMultilevel"/>
    <w:tmpl w:val="FFFFFFFF"/>
    <w:lvl w:ilvl="0" w:tplc="1E145CC0">
      <w:start w:val="1"/>
      <w:numFmt w:val="bullet"/>
      <w:lvlText w:val=""/>
      <w:lvlJc w:val="left"/>
      <w:pPr>
        <w:ind w:left="720" w:hanging="360"/>
      </w:pPr>
      <w:rPr>
        <w:rFonts w:hint="default" w:ascii="Symbol" w:hAnsi="Symbol"/>
      </w:rPr>
    </w:lvl>
    <w:lvl w:ilvl="1" w:tplc="92EC00BC">
      <w:start w:val="1"/>
      <w:numFmt w:val="bullet"/>
      <w:lvlText w:val="o"/>
      <w:lvlJc w:val="left"/>
      <w:pPr>
        <w:ind w:left="1440" w:hanging="360"/>
      </w:pPr>
      <w:rPr>
        <w:rFonts w:hint="default" w:ascii="Courier New" w:hAnsi="Courier New"/>
      </w:rPr>
    </w:lvl>
    <w:lvl w:ilvl="2" w:tplc="6A223544">
      <w:start w:val="1"/>
      <w:numFmt w:val="bullet"/>
      <w:lvlText w:val=""/>
      <w:lvlJc w:val="left"/>
      <w:pPr>
        <w:ind w:left="2160" w:hanging="360"/>
      </w:pPr>
      <w:rPr>
        <w:rFonts w:hint="default" w:ascii="Wingdings" w:hAnsi="Wingdings"/>
      </w:rPr>
    </w:lvl>
    <w:lvl w:ilvl="3" w:tplc="CCFA42D6">
      <w:start w:val="1"/>
      <w:numFmt w:val="bullet"/>
      <w:lvlText w:val=""/>
      <w:lvlJc w:val="left"/>
      <w:pPr>
        <w:ind w:left="2880" w:hanging="360"/>
      </w:pPr>
      <w:rPr>
        <w:rFonts w:hint="default" w:ascii="Symbol" w:hAnsi="Symbol"/>
      </w:rPr>
    </w:lvl>
    <w:lvl w:ilvl="4" w:tplc="9EA238C4">
      <w:start w:val="1"/>
      <w:numFmt w:val="bullet"/>
      <w:lvlText w:val="o"/>
      <w:lvlJc w:val="left"/>
      <w:pPr>
        <w:ind w:left="3600" w:hanging="360"/>
      </w:pPr>
      <w:rPr>
        <w:rFonts w:hint="default" w:ascii="Courier New" w:hAnsi="Courier New"/>
      </w:rPr>
    </w:lvl>
    <w:lvl w:ilvl="5" w:tplc="0CD8F5FE">
      <w:start w:val="1"/>
      <w:numFmt w:val="bullet"/>
      <w:lvlText w:val=""/>
      <w:lvlJc w:val="left"/>
      <w:pPr>
        <w:ind w:left="4320" w:hanging="360"/>
      </w:pPr>
      <w:rPr>
        <w:rFonts w:hint="default" w:ascii="Wingdings" w:hAnsi="Wingdings"/>
      </w:rPr>
    </w:lvl>
    <w:lvl w:ilvl="6" w:tplc="CF5EC91C">
      <w:start w:val="1"/>
      <w:numFmt w:val="bullet"/>
      <w:lvlText w:val=""/>
      <w:lvlJc w:val="left"/>
      <w:pPr>
        <w:ind w:left="5040" w:hanging="360"/>
      </w:pPr>
      <w:rPr>
        <w:rFonts w:hint="default" w:ascii="Symbol" w:hAnsi="Symbol"/>
      </w:rPr>
    </w:lvl>
    <w:lvl w:ilvl="7" w:tplc="DAA6C294">
      <w:start w:val="1"/>
      <w:numFmt w:val="bullet"/>
      <w:lvlText w:val="o"/>
      <w:lvlJc w:val="left"/>
      <w:pPr>
        <w:ind w:left="5760" w:hanging="360"/>
      </w:pPr>
      <w:rPr>
        <w:rFonts w:hint="default" w:ascii="Courier New" w:hAnsi="Courier New"/>
      </w:rPr>
    </w:lvl>
    <w:lvl w:ilvl="8" w:tplc="552A8DAE">
      <w:start w:val="1"/>
      <w:numFmt w:val="bullet"/>
      <w:lvlText w:val=""/>
      <w:lvlJc w:val="left"/>
      <w:pPr>
        <w:ind w:left="6480" w:hanging="360"/>
      </w:pPr>
      <w:rPr>
        <w:rFonts w:hint="default" w:ascii="Wingdings" w:hAnsi="Wingdings"/>
      </w:rPr>
    </w:lvl>
  </w:abstractNum>
  <w:abstractNum w:abstractNumId="53" w15:restartNumberingAfterBreak="0">
    <w:nsid w:val="4412243D"/>
    <w:multiLevelType w:val="hybridMultilevel"/>
    <w:tmpl w:val="CCF0B61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4" w15:restartNumberingAfterBreak="0">
    <w:nsid w:val="44FF27AC"/>
    <w:multiLevelType w:val="hybridMultilevel"/>
    <w:tmpl w:val="5E008E3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5" w15:restartNumberingAfterBreak="0">
    <w:nsid w:val="455B6AEF"/>
    <w:multiLevelType w:val="hybridMultilevel"/>
    <w:tmpl w:val="5F70D8EA"/>
    <w:lvl w:ilvl="0" w:tplc="FFFFFFFF">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56" w15:restartNumberingAfterBreak="0">
    <w:nsid w:val="46C07B6E"/>
    <w:multiLevelType w:val="multilevel"/>
    <w:tmpl w:val="13C49D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7" w15:restartNumberingAfterBreak="0">
    <w:nsid w:val="474D2918"/>
    <w:multiLevelType w:val="hybridMultilevel"/>
    <w:tmpl w:val="D72E99C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8" w15:restartNumberingAfterBreak="0">
    <w:nsid w:val="49980DC5"/>
    <w:multiLevelType w:val="hybridMultilevel"/>
    <w:tmpl w:val="BE9AB57A"/>
    <w:lvl w:ilvl="0" w:tplc="0C090017">
      <w:start w:val="1"/>
      <w:numFmt w:val="lowerLetter"/>
      <w:lvlText w:val="%1)"/>
      <w:lvlJc w:val="left"/>
      <w:pPr>
        <w:ind w:left="818" w:hanging="360"/>
      </w:pPr>
      <w:rPr>
        <w:rFonts w:hint="default"/>
      </w:rPr>
    </w:lvl>
    <w:lvl w:ilvl="1" w:tplc="08090019" w:tentative="1">
      <w:start w:val="1"/>
      <w:numFmt w:val="lowerLetter"/>
      <w:lvlText w:val="%2."/>
      <w:lvlJc w:val="left"/>
      <w:pPr>
        <w:ind w:left="1538" w:hanging="360"/>
      </w:pPr>
    </w:lvl>
    <w:lvl w:ilvl="2" w:tplc="0809001B" w:tentative="1">
      <w:start w:val="1"/>
      <w:numFmt w:val="lowerRoman"/>
      <w:lvlText w:val="%3."/>
      <w:lvlJc w:val="right"/>
      <w:pPr>
        <w:ind w:left="2258" w:hanging="180"/>
      </w:pPr>
    </w:lvl>
    <w:lvl w:ilvl="3" w:tplc="0809000F" w:tentative="1">
      <w:start w:val="1"/>
      <w:numFmt w:val="decimal"/>
      <w:lvlText w:val="%4."/>
      <w:lvlJc w:val="left"/>
      <w:pPr>
        <w:ind w:left="2978" w:hanging="360"/>
      </w:pPr>
    </w:lvl>
    <w:lvl w:ilvl="4" w:tplc="08090019" w:tentative="1">
      <w:start w:val="1"/>
      <w:numFmt w:val="lowerLetter"/>
      <w:lvlText w:val="%5."/>
      <w:lvlJc w:val="left"/>
      <w:pPr>
        <w:ind w:left="3698" w:hanging="360"/>
      </w:pPr>
    </w:lvl>
    <w:lvl w:ilvl="5" w:tplc="0809001B" w:tentative="1">
      <w:start w:val="1"/>
      <w:numFmt w:val="lowerRoman"/>
      <w:lvlText w:val="%6."/>
      <w:lvlJc w:val="right"/>
      <w:pPr>
        <w:ind w:left="4418" w:hanging="180"/>
      </w:pPr>
    </w:lvl>
    <w:lvl w:ilvl="6" w:tplc="0809000F" w:tentative="1">
      <w:start w:val="1"/>
      <w:numFmt w:val="decimal"/>
      <w:lvlText w:val="%7."/>
      <w:lvlJc w:val="left"/>
      <w:pPr>
        <w:ind w:left="5138" w:hanging="360"/>
      </w:pPr>
    </w:lvl>
    <w:lvl w:ilvl="7" w:tplc="08090019" w:tentative="1">
      <w:start w:val="1"/>
      <w:numFmt w:val="lowerLetter"/>
      <w:lvlText w:val="%8."/>
      <w:lvlJc w:val="left"/>
      <w:pPr>
        <w:ind w:left="5858" w:hanging="360"/>
      </w:pPr>
    </w:lvl>
    <w:lvl w:ilvl="8" w:tplc="0809001B" w:tentative="1">
      <w:start w:val="1"/>
      <w:numFmt w:val="lowerRoman"/>
      <w:lvlText w:val="%9."/>
      <w:lvlJc w:val="right"/>
      <w:pPr>
        <w:ind w:left="6578" w:hanging="180"/>
      </w:pPr>
    </w:lvl>
  </w:abstractNum>
  <w:abstractNum w:abstractNumId="59" w15:restartNumberingAfterBreak="0">
    <w:nsid w:val="49FF7A73"/>
    <w:multiLevelType w:val="multilevel"/>
    <w:tmpl w:val="099C080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3119"/>
        </w:tabs>
        <w:ind w:left="3119" w:hanging="851"/>
      </w:pPr>
      <w:rPr>
        <w:rFonts w:hint="default"/>
      </w:rPr>
    </w:lvl>
    <w:lvl w:ilvl="2">
      <w:start w:val="1"/>
      <w:numFmt w:val="lowerLetter"/>
      <w:lvlText w:val="(%3)"/>
      <w:lvlJc w:val="left"/>
      <w:pPr>
        <w:tabs>
          <w:tab w:val="num" w:pos="8222"/>
        </w:tabs>
        <w:ind w:left="8222" w:hanging="851"/>
      </w:pPr>
      <w:rPr>
        <w:rFonts w:hint="default"/>
      </w:rPr>
    </w:lvl>
    <w:lvl w:ilvl="3">
      <w:start w:val="1"/>
      <w:numFmt w:val="lowerRoman"/>
      <w:lvlText w:val="(%4)"/>
      <w:lvlJc w:val="left"/>
      <w:pPr>
        <w:tabs>
          <w:tab w:val="num" w:pos="2269"/>
        </w:tabs>
        <w:ind w:left="2269" w:hanging="851"/>
      </w:pPr>
      <w:rPr>
        <w:rFonts w:hint="default"/>
        <w:i w:val="0"/>
        <w:iCs w:val="0"/>
        <w:u w:val="none"/>
        <w:vertAlign w:val="baselin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60" w15:restartNumberingAfterBreak="0">
    <w:nsid w:val="4AF6729B"/>
    <w:multiLevelType w:val="hybridMultilevel"/>
    <w:tmpl w:val="F6BAF09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1" w15:restartNumberingAfterBreak="0">
    <w:nsid w:val="4B6F1DB7"/>
    <w:multiLevelType w:val="hybridMultilevel"/>
    <w:tmpl w:val="543ABEE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2" w15:restartNumberingAfterBreak="0">
    <w:nsid w:val="4BC04445"/>
    <w:multiLevelType w:val="hybridMultilevel"/>
    <w:tmpl w:val="07885BE4"/>
    <w:lvl w:ilvl="0" w:tplc="FFB68A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15:restartNumberingAfterBreak="0">
    <w:nsid w:val="4E6C51E1"/>
    <w:multiLevelType w:val="hybridMultilevel"/>
    <w:tmpl w:val="3A7ADFC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2F017B7"/>
    <w:multiLevelType w:val="hybridMultilevel"/>
    <w:tmpl w:val="DA626E46"/>
    <w:lvl w:ilvl="0" w:tplc="FA02DECE">
      <w:start w:val="1"/>
      <w:numFmt w:val="decimal"/>
      <w:lvlText w:val="%1."/>
      <w:lvlJc w:val="left"/>
      <w:pPr>
        <w:ind w:left="720" w:hanging="360"/>
      </w:pPr>
    </w:lvl>
    <w:lvl w:ilvl="1" w:tplc="1D3A947E">
      <w:start w:val="1"/>
      <w:numFmt w:val="lowerLetter"/>
      <w:lvlText w:val="%2."/>
      <w:lvlJc w:val="left"/>
      <w:pPr>
        <w:ind w:left="1440" w:hanging="360"/>
      </w:pPr>
    </w:lvl>
    <w:lvl w:ilvl="2" w:tplc="2C58BA52">
      <w:start w:val="1"/>
      <w:numFmt w:val="lowerRoman"/>
      <w:lvlText w:val="%3."/>
      <w:lvlJc w:val="right"/>
      <w:pPr>
        <w:ind w:left="2160" w:hanging="180"/>
      </w:pPr>
    </w:lvl>
    <w:lvl w:ilvl="3" w:tplc="5EAA3906">
      <w:start w:val="1"/>
      <w:numFmt w:val="decimal"/>
      <w:lvlText w:val="%4."/>
      <w:lvlJc w:val="left"/>
      <w:pPr>
        <w:ind w:left="2880" w:hanging="360"/>
      </w:pPr>
    </w:lvl>
    <w:lvl w:ilvl="4" w:tplc="1668168A">
      <w:start w:val="1"/>
      <w:numFmt w:val="lowerLetter"/>
      <w:lvlText w:val="%5."/>
      <w:lvlJc w:val="left"/>
      <w:pPr>
        <w:ind w:left="3600" w:hanging="360"/>
      </w:pPr>
    </w:lvl>
    <w:lvl w:ilvl="5" w:tplc="27CE5964">
      <w:start w:val="1"/>
      <w:numFmt w:val="lowerRoman"/>
      <w:lvlText w:val="%6."/>
      <w:lvlJc w:val="right"/>
      <w:pPr>
        <w:ind w:left="4320" w:hanging="180"/>
      </w:pPr>
    </w:lvl>
    <w:lvl w:ilvl="6" w:tplc="A82E75EC">
      <w:start w:val="1"/>
      <w:numFmt w:val="decimal"/>
      <w:lvlText w:val="%7."/>
      <w:lvlJc w:val="left"/>
      <w:pPr>
        <w:ind w:left="5040" w:hanging="360"/>
      </w:pPr>
    </w:lvl>
    <w:lvl w:ilvl="7" w:tplc="3AE01C24">
      <w:start w:val="1"/>
      <w:numFmt w:val="lowerLetter"/>
      <w:lvlText w:val="%8."/>
      <w:lvlJc w:val="left"/>
      <w:pPr>
        <w:ind w:left="5760" w:hanging="360"/>
      </w:pPr>
    </w:lvl>
    <w:lvl w:ilvl="8" w:tplc="D026EA70">
      <w:start w:val="1"/>
      <w:numFmt w:val="lowerRoman"/>
      <w:lvlText w:val="%9."/>
      <w:lvlJc w:val="right"/>
      <w:pPr>
        <w:ind w:left="6480" w:hanging="180"/>
      </w:pPr>
    </w:lvl>
  </w:abstractNum>
  <w:abstractNum w:abstractNumId="66" w15:restartNumberingAfterBreak="0">
    <w:nsid w:val="52F82931"/>
    <w:multiLevelType w:val="hybridMultilevel"/>
    <w:tmpl w:val="EE409186"/>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67" w15:restartNumberingAfterBreak="0">
    <w:nsid w:val="53D2672B"/>
    <w:multiLevelType w:val="multilevel"/>
    <w:tmpl w:val="475E7606"/>
    <w:lvl w:ilvl="0">
      <w:start w:val="1"/>
      <w:numFmt w:val="bullet"/>
      <w:lvlText w:val=""/>
      <w:lvlJc w:val="left"/>
      <w:pPr>
        <w:tabs>
          <w:tab w:val="num" w:pos="720"/>
        </w:tabs>
        <w:ind w:left="720" w:hanging="360"/>
      </w:pPr>
      <w:rPr>
        <w:rFonts w:hint="default"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547F4ECC"/>
    <w:multiLevelType w:val="hybridMultilevel"/>
    <w:tmpl w:val="72386B7A"/>
    <w:lvl w:ilvl="0" w:tplc="A6349F7C">
      <w:start w:val="1"/>
      <w:numFmt w:val="decimal"/>
      <w:lvlText w:val="%1."/>
      <w:lvlJc w:val="left"/>
      <w:pPr>
        <w:ind w:left="720" w:hanging="360"/>
      </w:pPr>
    </w:lvl>
    <w:lvl w:ilvl="1" w:tplc="056C4982">
      <w:start w:val="1"/>
      <w:numFmt w:val="lowerLetter"/>
      <w:lvlText w:val="%2."/>
      <w:lvlJc w:val="left"/>
      <w:pPr>
        <w:ind w:left="1440" w:hanging="360"/>
      </w:pPr>
    </w:lvl>
    <w:lvl w:ilvl="2" w:tplc="98FC6F18">
      <w:start w:val="1"/>
      <w:numFmt w:val="lowerRoman"/>
      <w:lvlText w:val="%3."/>
      <w:lvlJc w:val="right"/>
      <w:pPr>
        <w:ind w:left="2160" w:hanging="180"/>
      </w:pPr>
    </w:lvl>
    <w:lvl w:ilvl="3" w:tplc="74684A2A">
      <w:start w:val="1"/>
      <w:numFmt w:val="decimal"/>
      <w:lvlText w:val="%4."/>
      <w:lvlJc w:val="left"/>
      <w:pPr>
        <w:ind w:left="2880" w:hanging="360"/>
      </w:pPr>
    </w:lvl>
    <w:lvl w:ilvl="4" w:tplc="90440D2A">
      <w:start w:val="1"/>
      <w:numFmt w:val="lowerLetter"/>
      <w:lvlText w:val="%5."/>
      <w:lvlJc w:val="left"/>
      <w:pPr>
        <w:ind w:left="3600" w:hanging="360"/>
      </w:pPr>
    </w:lvl>
    <w:lvl w:ilvl="5" w:tplc="7F542BC6">
      <w:start w:val="1"/>
      <w:numFmt w:val="lowerRoman"/>
      <w:lvlText w:val="%6."/>
      <w:lvlJc w:val="right"/>
      <w:pPr>
        <w:ind w:left="4320" w:hanging="180"/>
      </w:pPr>
    </w:lvl>
    <w:lvl w:ilvl="6" w:tplc="8E4C6B32">
      <w:start w:val="1"/>
      <w:numFmt w:val="decimal"/>
      <w:lvlText w:val="%7."/>
      <w:lvlJc w:val="left"/>
      <w:pPr>
        <w:ind w:left="5040" w:hanging="360"/>
      </w:pPr>
    </w:lvl>
    <w:lvl w:ilvl="7" w:tplc="F5D0B2A4">
      <w:start w:val="1"/>
      <w:numFmt w:val="lowerLetter"/>
      <w:lvlText w:val="%8."/>
      <w:lvlJc w:val="left"/>
      <w:pPr>
        <w:ind w:left="5760" w:hanging="360"/>
      </w:pPr>
    </w:lvl>
    <w:lvl w:ilvl="8" w:tplc="EF18EA8C">
      <w:start w:val="1"/>
      <w:numFmt w:val="lowerRoman"/>
      <w:lvlText w:val="%9."/>
      <w:lvlJc w:val="right"/>
      <w:pPr>
        <w:ind w:left="6480" w:hanging="180"/>
      </w:pPr>
    </w:lvl>
  </w:abstractNum>
  <w:abstractNum w:abstractNumId="69" w15:restartNumberingAfterBreak="0">
    <w:nsid w:val="557C3670"/>
    <w:multiLevelType w:val="hybridMultilevel"/>
    <w:tmpl w:val="2DF0AC24"/>
    <w:lvl w:ilvl="0" w:tplc="FFFFFFFF">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0" w15:restartNumberingAfterBreak="0">
    <w:nsid w:val="5AF528E2"/>
    <w:multiLevelType w:val="hybridMultilevel"/>
    <w:tmpl w:val="2D7AFA8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1" w15:restartNumberingAfterBreak="0">
    <w:nsid w:val="5D7E04C1"/>
    <w:multiLevelType w:val="hybridMultilevel"/>
    <w:tmpl w:val="0292F8F8"/>
    <w:lvl w:ilvl="0" w:tplc="66982FD4">
      <w:start w:val="1"/>
      <w:numFmt w:val="lowerLetter"/>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2" w15:restartNumberingAfterBreak="0">
    <w:nsid w:val="5DB375D4"/>
    <w:multiLevelType w:val="hybridMultilevel"/>
    <w:tmpl w:val="2B9081E2"/>
    <w:lvl w:ilvl="0" w:tplc="66982FD4">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DDD2A0D"/>
    <w:multiLevelType w:val="multilevel"/>
    <w:tmpl w:val="099C080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3119"/>
        </w:tabs>
        <w:ind w:left="3119" w:hanging="851"/>
      </w:pPr>
      <w:rPr>
        <w:rFonts w:hint="default"/>
      </w:rPr>
    </w:lvl>
    <w:lvl w:ilvl="2">
      <w:start w:val="1"/>
      <w:numFmt w:val="lowerLetter"/>
      <w:lvlText w:val="(%3)"/>
      <w:lvlJc w:val="left"/>
      <w:pPr>
        <w:tabs>
          <w:tab w:val="num" w:pos="8222"/>
        </w:tabs>
        <w:ind w:left="8222" w:hanging="851"/>
      </w:pPr>
      <w:rPr>
        <w:rFonts w:hint="default"/>
      </w:rPr>
    </w:lvl>
    <w:lvl w:ilvl="3">
      <w:start w:val="1"/>
      <w:numFmt w:val="lowerRoman"/>
      <w:lvlText w:val="(%4)"/>
      <w:lvlJc w:val="left"/>
      <w:pPr>
        <w:tabs>
          <w:tab w:val="num" w:pos="2269"/>
        </w:tabs>
        <w:ind w:left="2269" w:hanging="851"/>
      </w:pPr>
      <w:rPr>
        <w:rFonts w:hint="default"/>
        <w:i w:val="0"/>
        <w:iCs w:val="0"/>
        <w:u w:val="none"/>
        <w:vertAlign w:val="baselin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74" w15:restartNumberingAfterBreak="0">
    <w:nsid w:val="5E6C2F2E"/>
    <w:multiLevelType w:val="hybridMultilevel"/>
    <w:tmpl w:val="7CE854C0"/>
    <w:lvl w:ilvl="0" w:tplc="0C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5" w15:restartNumberingAfterBreak="0">
    <w:nsid w:val="601544F5"/>
    <w:multiLevelType w:val="hybridMultilevel"/>
    <w:tmpl w:val="7A489A7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6" w15:restartNumberingAfterBreak="0">
    <w:nsid w:val="617C2F3B"/>
    <w:multiLevelType w:val="hybridMultilevel"/>
    <w:tmpl w:val="63A4FB8C"/>
    <w:lvl w:ilvl="0" w:tplc="0C090001">
      <w:start w:val="1"/>
      <w:numFmt w:val="bullet"/>
      <w:lvlText w:val=""/>
      <w:lvlJc w:val="left"/>
      <w:pPr>
        <w:ind w:left="958" w:hanging="720"/>
      </w:pPr>
      <w:rPr>
        <w:rFonts w:hint="default" w:ascii="Symbol" w:hAnsi="Symbol"/>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77" w15:restartNumberingAfterBreak="0">
    <w:nsid w:val="645F511B"/>
    <w:multiLevelType w:val="hybridMultilevel"/>
    <w:tmpl w:val="86E8FB3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8" w15:restartNumberingAfterBreak="0">
    <w:nsid w:val="64BB1AA2"/>
    <w:multiLevelType w:val="hybridMultilevel"/>
    <w:tmpl w:val="1D4C71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9" w15:restartNumberingAfterBreak="0">
    <w:nsid w:val="659B25DA"/>
    <w:multiLevelType w:val="multilevel"/>
    <w:tmpl w:val="099C080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3119"/>
        </w:tabs>
        <w:ind w:left="3119" w:hanging="851"/>
      </w:pPr>
      <w:rPr>
        <w:rFonts w:hint="default"/>
      </w:rPr>
    </w:lvl>
    <w:lvl w:ilvl="2">
      <w:start w:val="1"/>
      <w:numFmt w:val="lowerLetter"/>
      <w:lvlText w:val="(%3)"/>
      <w:lvlJc w:val="left"/>
      <w:pPr>
        <w:tabs>
          <w:tab w:val="num" w:pos="8222"/>
        </w:tabs>
        <w:ind w:left="8222" w:hanging="851"/>
      </w:pPr>
      <w:rPr>
        <w:rFonts w:hint="default"/>
      </w:rPr>
    </w:lvl>
    <w:lvl w:ilvl="3">
      <w:start w:val="1"/>
      <w:numFmt w:val="lowerRoman"/>
      <w:lvlText w:val="(%4)"/>
      <w:lvlJc w:val="left"/>
      <w:pPr>
        <w:tabs>
          <w:tab w:val="num" w:pos="2269"/>
        </w:tabs>
        <w:ind w:left="2269" w:hanging="851"/>
      </w:pPr>
      <w:rPr>
        <w:rFonts w:hint="default"/>
        <w:i w:val="0"/>
        <w:iCs w:val="0"/>
        <w:u w:val="none"/>
        <w:vertAlign w:val="baselin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80" w15:restartNumberingAfterBreak="0">
    <w:nsid w:val="6659258D"/>
    <w:multiLevelType w:val="hybridMultilevel"/>
    <w:tmpl w:val="A8F8E6A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1" w15:restartNumberingAfterBreak="0">
    <w:nsid w:val="67433641"/>
    <w:multiLevelType w:val="multilevel"/>
    <w:tmpl w:val="099C080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3119"/>
        </w:tabs>
        <w:ind w:left="3119" w:hanging="851"/>
      </w:pPr>
      <w:rPr>
        <w:rFonts w:hint="default"/>
      </w:rPr>
    </w:lvl>
    <w:lvl w:ilvl="2">
      <w:start w:val="1"/>
      <w:numFmt w:val="lowerLetter"/>
      <w:lvlText w:val="(%3)"/>
      <w:lvlJc w:val="left"/>
      <w:pPr>
        <w:tabs>
          <w:tab w:val="num" w:pos="8222"/>
        </w:tabs>
        <w:ind w:left="8222" w:hanging="851"/>
      </w:pPr>
      <w:rPr>
        <w:rFonts w:hint="default"/>
      </w:rPr>
    </w:lvl>
    <w:lvl w:ilvl="3">
      <w:start w:val="1"/>
      <w:numFmt w:val="lowerRoman"/>
      <w:lvlText w:val="(%4)"/>
      <w:lvlJc w:val="left"/>
      <w:pPr>
        <w:tabs>
          <w:tab w:val="num" w:pos="2269"/>
        </w:tabs>
        <w:ind w:left="2269" w:hanging="851"/>
      </w:pPr>
      <w:rPr>
        <w:rFonts w:hint="default"/>
        <w:i w:val="0"/>
        <w:iCs w:val="0"/>
        <w:u w:val="none"/>
        <w:vertAlign w:val="baselin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82" w15:restartNumberingAfterBreak="0">
    <w:nsid w:val="68CA501A"/>
    <w:multiLevelType w:val="hybridMultilevel"/>
    <w:tmpl w:val="90A6B18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3" w15:restartNumberingAfterBreak="0">
    <w:nsid w:val="6A25558F"/>
    <w:multiLevelType w:val="hybridMultilevel"/>
    <w:tmpl w:val="4E9E89C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4" w15:restartNumberingAfterBreak="0">
    <w:nsid w:val="6B416D9D"/>
    <w:multiLevelType w:val="hybridMultilevel"/>
    <w:tmpl w:val="7D967EAA"/>
    <w:lvl w:ilvl="0" w:tplc="D3E48130">
      <w:start w:val="1"/>
      <w:numFmt w:val="bullet"/>
      <w:lvlText w:val=""/>
      <w:lvlJc w:val="left"/>
      <w:pPr>
        <w:ind w:left="720" w:hanging="360"/>
      </w:pPr>
      <w:rPr>
        <w:rFonts w:hint="default" w:ascii="Symbol" w:hAnsi="Symbol"/>
      </w:rPr>
    </w:lvl>
    <w:lvl w:ilvl="1" w:tplc="9320A5D8">
      <w:start w:val="1"/>
      <w:numFmt w:val="bullet"/>
      <w:lvlText w:val="o"/>
      <w:lvlJc w:val="left"/>
      <w:pPr>
        <w:ind w:left="1440" w:hanging="360"/>
      </w:pPr>
      <w:rPr>
        <w:rFonts w:hint="default" w:ascii="Courier New" w:hAnsi="Courier New"/>
      </w:rPr>
    </w:lvl>
    <w:lvl w:ilvl="2" w:tplc="BB5AE070">
      <w:start w:val="1"/>
      <w:numFmt w:val="bullet"/>
      <w:lvlText w:val=""/>
      <w:lvlJc w:val="left"/>
      <w:pPr>
        <w:ind w:left="2160" w:hanging="360"/>
      </w:pPr>
      <w:rPr>
        <w:rFonts w:hint="default" w:ascii="Wingdings" w:hAnsi="Wingdings"/>
      </w:rPr>
    </w:lvl>
    <w:lvl w:ilvl="3" w:tplc="CE2AD9EA">
      <w:start w:val="1"/>
      <w:numFmt w:val="bullet"/>
      <w:lvlText w:val=""/>
      <w:lvlJc w:val="left"/>
      <w:pPr>
        <w:ind w:left="2880" w:hanging="360"/>
      </w:pPr>
      <w:rPr>
        <w:rFonts w:hint="default" w:ascii="Symbol" w:hAnsi="Symbol"/>
      </w:rPr>
    </w:lvl>
    <w:lvl w:ilvl="4" w:tplc="99B07264">
      <w:start w:val="1"/>
      <w:numFmt w:val="bullet"/>
      <w:lvlText w:val="o"/>
      <w:lvlJc w:val="left"/>
      <w:pPr>
        <w:ind w:left="3600" w:hanging="360"/>
      </w:pPr>
      <w:rPr>
        <w:rFonts w:hint="default" w:ascii="Courier New" w:hAnsi="Courier New"/>
      </w:rPr>
    </w:lvl>
    <w:lvl w:ilvl="5" w:tplc="FB164816">
      <w:start w:val="1"/>
      <w:numFmt w:val="bullet"/>
      <w:lvlText w:val=""/>
      <w:lvlJc w:val="left"/>
      <w:pPr>
        <w:ind w:left="4320" w:hanging="360"/>
      </w:pPr>
      <w:rPr>
        <w:rFonts w:hint="default" w:ascii="Wingdings" w:hAnsi="Wingdings"/>
      </w:rPr>
    </w:lvl>
    <w:lvl w:ilvl="6" w:tplc="DE68B4FE">
      <w:start w:val="1"/>
      <w:numFmt w:val="bullet"/>
      <w:lvlText w:val=""/>
      <w:lvlJc w:val="left"/>
      <w:pPr>
        <w:ind w:left="5040" w:hanging="360"/>
      </w:pPr>
      <w:rPr>
        <w:rFonts w:hint="default" w:ascii="Symbol" w:hAnsi="Symbol"/>
      </w:rPr>
    </w:lvl>
    <w:lvl w:ilvl="7" w:tplc="FDE014F2">
      <w:start w:val="1"/>
      <w:numFmt w:val="bullet"/>
      <w:lvlText w:val="o"/>
      <w:lvlJc w:val="left"/>
      <w:pPr>
        <w:ind w:left="5760" w:hanging="360"/>
      </w:pPr>
      <w:rPr>
        <w:rFonts w:hint="default" w:ascii="Courier New" w:hAnsi="Courier New"/>
      </w:rPr>
    </w:lvl>
    <w:lvl w:ilvl="8" w:tplc="043243E0">
      <w:start w:val="1"/>
      <w:numFmt w:val="bullet"/>
      <w:lvlText w:val=""/>
      <w:lvlJc w:val="left"/>
      <w:pPr>
        <w:ind w:left="6480" w:hanging="360"/>
      </w:pPr>
      <w:rPr>
        <w:rFonts w:hint="default" w:ascii="Wingdings" w:hAnsi="Wingdings"/>
      </w:rPr>
    </w:lvl>
  </w:abstractNum>
  <w:abstractNum w:abstractNumId="85" w15:restartNumberingAfterBreak="0">
    <w:nsid w:val="6BF27752"/>
    <w:multiLevelType w:val="hybridMultilevel"/>
    <w:tmpl w:val="670A6BA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6" w15:restartNumberingAfterBreak="0">
    <w:nsid w:val="6F8D5188"/>
    <w:multiLevelType w:val="hybridMultilevel"/>
    <w:tmpl w:val="16A86B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7" w15:restartNumberingAfterBreak="0">
    <w:nsid w:val="71A05C81"/>
    <w:multiLevelType w:val="hybridMultilevel"/>
    <w:tmpl w:val="FBDE1E6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8" w15:restartNumberingAfterBreak="0">
    <w:nsid w:val="75CD001D"/>
    <w:multiLevelType w:val="hybridMultilevel"/>
    <w:tmpl w:val="E840685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9" w15:restartNumberingAfterBreak="0">
    <w:nsid w:val="7671109D"/>
    <w:multiLevelType w:val="multilevel"/>
    <w:tmpl w:val="099C080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3119"/>
        </w:tabs>
        <w:ind w:left="3119" w:hanging="851"/>
      </w:pPr>
      <w:rPr>
        <w:rFonts w:hint="default"/>
      </w:rPr>
    </w:lvl>
    <w:lvl w:ilvl="2">
      <w:start w:val="1"/>
      <w:numFmt w:val="lowerLetter"/>
      <w:lvlText w:val="(%3)"/>
      <w:lvlJc w:val="left"/>
      <w:pPr>
        <w:tabs>
          <w:tab w:val="num" w:pos="8222"/>
        </w:tabs>
        <w:ind w:left="8222" w:hanging="851"/>
      </w:pPr>
      <w:rPr>
        <w:rFonts w:hint="default"/>
      </w:rPr>
    </w:lvl>
    <w:lvl w:ilvl="3">
      <w:start w:val="1"/>
      <w:numFmt w:val="lowerRoman"/>
      <w:lvlText w:val="(%4)"/>
      <w:lvlJc w:val="left"/>
      <w:pPr>
        <w:tabs>
          <w:tab w:val="num" w:pos="2269"/>
        </w:tabs>
        <w:ind w:left="2269" w:hanging="851"/>
      </w:pPr>
      <w:rPr>
        <w:rFonts w:hint="default"/>
        <w:i w:val="0"/>
        <w:iCs w:val="0"/>
        <w:u w:val="none"/>
        <w:vertAlign w:val="baselin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90" w15:restartNumberingAfterBreak="0">
    <w:nsid w:val="76C65534"/>
    <w:multiLevelType w:val="hybridMultilevel"/>
    <w:tmpl w:val="B198A84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777F25B8"/>
    <w:multiLevelType w:val="hybridMultilevel"/>
    <w:tmpl w:val="DC2E518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2" w15:restartNumberingAfterBreak="0">
    <w:nsid w:val="792A013F"/>
    <w:multiLevelType w:val="hybridMultilevel"/>
    <w:tmpl w:val="3B081224"/>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93" w15:restartNumberingAfterBreak="0">
    <w:nsid w:val="7AD92B86"/>
    <w:multiLevelType w:val="hybridMultilevel"/>
    <w:tmpl w:val="F660830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4" w15:restartNumberingAfterBreak="0">
    <w:nsid w:val="7E6B2A3E"/>
    <w:multiLevelType w:val="multilevel"/>
    <w:tmpl w:val="8BE444DC"/>
    <w:numStyleLink w:val="AHRCReportHeadings"/>
  </w:abstractNum>
  <w:abstractNum w:abstractNumId="95" w15:restartNumberingAfterBreak="0">
    <w:nsid w:val="7E997992"/>
    <w:multiLevelType w:val="hybridMultilevel"/>
    <w:tmpl w:val="5D4CA24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6" w15:restartNumberingAfterBreak="0">
    <w:nsid w:val="7F676276"/>
    <w:multiLevelType w:val="hybridMultilevel"/>
    <w:tmpl w:val="75EED01C"/>
    <w:lvl w:ilvl="0" w:tplc="D3E4813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7" w15:restartNumberingAfterBreak="0">
    <w:nsid w:val="7FF3673C"/>
    <w:multiLevelType w:val="hybridMultilevel"/>
    <w:tmpl w:val="4FECAB5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63"/>
  </w:num>
  <w:num w:numId="12">
    <w:abstractNumId w:val="48"/>
  </w:num>
  <w:num w:numId="13">
    <w:abstractNumId w:val="33"/>
  </w:num>
  <w:num w:numId="14">
    <w:abstractNumId w:val="29"/>
  </w:num>
  <w:num w:numId="15">
    <w:abstractNumId w:val="12"/>
  </w:num>
  <w:num w:numId="16">
    <w:abstractNumId w:val="15"/>
  </w:num>
  <w:num w:numId="17">
    <w:abstractNumId w:val="94"/>
  </w:num>
  <w:num w:numId="18">
    <w:abstractNumId w:val="34"/>
  </w:num>
  <w:num w:numId="19">
    <w:abstractNumId w:val="44"/>
  </w:num>
  <w:num w:numId="20">
    <w:abstractNumId w:val="70"/>
  </w:num>
  <w:num w:numId="21">
    <w:abstractNumId w:val="85"/>
  </w:num>
  <w:num w:numId="22">
    <w:abstractNumId w:val="60"/>
  </w:num>
  <w:num w:numId="23">
    <w:abstractNumId w:val="77"/>
  </w:num>
  <w:num w:numId="24">
    <w:abstractNumId w:val="67"/>
  </w:num>
  <w:num w:numId="25">
    <w:abstractNumId w:val="38"/>
  </w:num>
  <w:num w:numId="26">
    <w:abstractNumId w:val="68"/>
  </w:num>
  <w:num w:numId="27">
    <w:abstractNumId w:val="84"/>
  </w:num>
  <w:num w:numId="28">
    <w:abstractNumId w:val="10"/>
  </w:num>
  <w:num w:numId="29">
    <w:abstractNumId w:val="55"/>
  </w:num>
  <w:num w:numId="30">
    <w:abstractNumId w:val="32"/>
  </w:num>
  <w:num w:numId="31">
    <w:abstractNumId w:val="45"/>
  </w:num>
  <w:num w:numId="32">
    <w:abstractNumId w:val="96"/>
  </w:num>
  <w:num w:numId="33">
    <w:abstractNumId w:val="66"/>
  </w:num>
  <w:num w:numId="34">
    <w:abstractNumId w:val="61"/>
  </w:num>
  <w:num w:numId="35">
    <w:abstractNumId w:val="88"/>
  </w:num>
  <w:num w:numId="36">
    <w:abstractNumId w:val="92"/>
  </w:num>
  <w:num w:numId="37">
    <w:abstractNumId w:val="83"/>
  </w:num>
  <w:num w:numId="38">
    <w:abstractNumId w:val="39"/>
  </w:num>
  <w:num w:numId="39">
    <w:abstractNumId w:val="18"/>
  </w:num>
  <w:num w:numId="40">
    <w:abstractNumId w:val="86"/>
  </w:num>
  <w:num w:numId="41">
    <w:abstractNumId w:val="71"/>
  </w:num>
  <w:num w:numId="42">
    <w:abstractNumId w:val="30"/>
  </w:num>
  <w:num w:numId="43">
    <w:abstractNumId w:val="50"/>
  </w:num>
  <w:num w:numId="44">
    <w:abstractNumId w:val="23"/>
  </w:num>
  <w:num w:numId="45">
    <w:abstractNumId w:val="28"/>
  </w:num>
  <w:num w:numId="46">
    <w:abstractNumId w:val="31"/>
  </w:num>
  <w:num w:numId="47">
    <w:abstractNumId w:val="97"/>
  </w:num>
  <w:num w:numId="48">
    <w:abstractNumId w:val="16"/>
  </w:num>
  <w:num w:numId="49">
    <w:abstractNumId w:val="69"/>
  </w:num>
  <w:num w:numId="50">
    <w:abstractNumId w:val="80"/>
  </w:num>
  <w:num w:numId="51">
    <w:abstractNumId w:val="17"/>
  </w:num>
  <w:num w:numId="52">
    <w:abstractNumId w:val="27"/>
  </w:num>
  <w:num w:numId="53">
    <w:abstractNumId w:val="82"/>
  </w:num>
  <w:num w:numId="54">
    <w:abstractNumId w:val="74"/>
  </w:num>
  <w:num w:numId="55">
    <w:abstractNumId w:val="26"/>
  </w:num>
  <w:num w:numId="56">
    <w:abstractNumId w:val="20"/>
  </w:num>
  <w:num w:numId="57">
    <w:abstractNumId w:val="49"/>
  </w:num>
  <w:num w:numId="58">
    <w:abstractNumId w:val="19"/>
  </w:num>
  <w:num w:numId="59">
    <w:abstractNumId w:val="59"/>
  </w:num>
  <w:num w:numId="60">
    <w:abstractNumId w:val="14"/>
  </w:num>
  <w:num w:numId="61">
    <w:abstractNumId w:val="21"/>
  </w:num>
  <w:num w:numId="62">
    <w:abstractNumId w:val="46"/>
  </w:num>
  <w:num w:numId="63">
    <w:abstractNumId w:val="91"/>
  </w:num>
  <w:num w:numId="64">
    <w:abstractNumId w:val="13"/>
  </w:num>
  <w:num w:numId="65">
    <w:abstractNumId w:val="40"/>
  </w:num>
  <w:num w:numId="66">
    <w:abstractNumId w:val="79"/>
  </w:num>
  <w:num w:numId="67">
    <w:abstractNumId w:val="35"/>
  </w:num>
  <w:num w:numId="68">
    <w:abstractNumId w:val="54"/>
  </w:num>
  <w:num w:numId="69">
    <w:abstractNumId w:val="11"/>
  </w:num>
  <w:num w:numId="70">
    <w:abstractNumId w:val="95"/>
  </w:num>
  <w:num w:numId="71">
    <w:abstractNumId w:val="53"/>
  </w:num>
  <w:num w:numId="72">
    <w:abstractNumId w:val="87"/>
  </w:num>
  <w:num w:numId="73">
    <w:abstractNumId w:val="43"/>
  </w:num>
  <w:num w:numId="74">
    <w:abstractNumId w:val="75"/>
  </w:num>
  <w:num w:numId="75">
    <w:abstractNumId w:val="37"/>
  </w:num>
  <w:num w:numId="76">
    <w:abstractNumId w:val="57"/>
  </w:num>
  <w:num w:numId="77">
    <w:abstractNumId w:val="93"/>
  </w:num>
  <w:num w:numId="78">
    <w:abstractNumId w:val="42"/>
  </w:num>
  <w:num w:numId="79">
    <w:abstractNumId w:val="36"/>
  </w:num>
  <w:num w:numId="80">
    <w:abstractNumId w:val="72"/>
  </w:num>
  <w:num w:numId="81">
    <w:abstractNumId w:val="73"/>
  </w:num>
  <w:num w:numId="82">
    <w:abstractNumId w:val="81"/>
  </w:num>
  <w:num w:numId="83">
    <w:abstractNumId w:val="89"/>
  </w:num>
  <w:num w:numId="84">
    <w:abstractNumId w:val="76"/>
  </w:num>
  <w:num w:numId="85">
    <w:abstractNumId w:val="65"/>
  </w:num>
  <w:num w:numId="86">
    <w:abstractNumId w:val="25"/>
  </w:num>
  <w:num w:numId="87">
    <w:abstractNumId w:val="24"/>
  </w:num>
  <w:num w:numId="88">
    <w:abstractNumId w:val="51"/>
  </w:num>
  <w:num w:numId="89">
    <w:abstractNumId w:val="22"/>
  </w:num>
  <w:num w:numId="90">
    <w:abstractNumId w:val="58"/>
  </w:num>
  <w:num w:numId="91">
    <w:abstractNumId w:val="41"/>
  </w:num>
  <w:num w:numId="92">
    <w:abstractNumId w:val="52"/>
  </w:num>
  <w:num w:numId="93">
    <w:abstractNumId w:val="62"/>
  </w:num>
  <w:num w:numId="94">
    <w:abstractNumId w:val="90"/>
  </w:num>
  <w:num w:numId="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9"/>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4"/>
  </w:num>
  <w:num w:numId="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3"/>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trackRevisions w:val="false"/>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9D5"/>
    <w:rsid w:val="00000402"/>
    <w:rsid w:val="000015EC"/>
    <w:rsid w:val="00002B87"/>
    <w:rsid w:val="00003921"/>
    <w:rsid w:val="00003EA5"/>
    <w:rsid w:val="00004038"/>
    <w:rsid w:val="00005099"/>
    <w:rsid w:val="00010777"/>
    <w:rsid w:val="000161C2"/>
    <w:rsid w:val="00016F44"/>
    <w:rsid w:val="00021FFB"/>
    <w:rsid w:val="0002476A"/>
    <w:rsid w:val="000257AA"/>
    <w:rsid w:val="00025C21"/>
    <w:rsid w:val="00026D63"/>
    <w:rsid w:val="00034F10"/>
    <w:rsid w:val="00036BE4"/>
    <w:rsid w:val="00036E2A"/>
    <w:rsid w:val="00037906"/>
    <w:rsid w:val="000411C3"/>
    <w:rsid w:val="000426C0"/>
    <w:rsid w:val="000430B8"/>
    <w:rsid w:val="00045712"/>
    <w:rsid w:val="000458E5"/>
    <w:rsid w:val="00045C4B"/>
    <w:rsid w:val="00045D05"/>
    <w:rsid w:val="000465F1"/>
    <w:rsid w:val="00050268"/>
    <w:rsid w:val="000534AC"/>
    <w:rsid w:val="00054DC7"/>
    <w:rsid w:val="0005792D"/>
    <w:rsid w:val="000579B1"/>
    <w:rsid w:val="00060046"/>
    <w:rsid w:val="00061C6C"/>
    <w:rsid w:val="00062DE3"/>
    <w:rsid w:val="0006352E"/>
    <w:rsid w:val="0006398B"/>
    <w:rsid w:val="00064EDB"/>
    <w:rsid w:val="00065065"/>
    <w:rsid w:val="00065EEA"/>
    <w:rsid w:val="00066C68"/>
    <w:rsid w:val="00066D10"/>
    <w:rsid w:val="00072EDA"/>
    <w:rsid w:val="000734F5"/>
    <w:rsid w:val="00074B81"/>
    <w:rsid w:val="0007502F"/>
    <w:rsid w:val="000774A9"/>
    <w:rsid w:val="00077D60"/>
    <w:rsid w:val="0008012B"/>
    <w:rsid w:val="00081EE6"/>
    <w:rsid w:val="00084DE7"/>
    <w:rsid w:val="000853A1"/>
    <w:rsid w:val="0009021A"/>
    <w:rsid w:val="00092868"/>
    <w:rsid w:val="00093E53"/>
    <w:rsid w:val="00096884"/>
    <w:rsid w:val="00096DCE"/>
    <w:rsid w:val="000A0920"/>
    <w:rsid w:val="000A1DB8"/>
    <w:rsid w:val="000A2517"/>
    <w:rsid w:val="000A36E3"/>
    <w:rsid w:val="000A427F"/>
    <w:rsid w:val="000A48AC"/>
    <w:rsid w:val="000A520E"/>
    <w:rsid w:val="000A563F"/>
    <w:rsid w:val="000A56FF"/>
    <w:rsid w:val="000A68D2"/>
    <w:rsid w:val="000B0603"/>
    <w:rsid w:val="000B0A5D"/>
    <w:rsid w:val="000B11E7"/>
    <w:rsid w:val="000B5B68"/>
    <w:rsid w:val="000B5BBC"/>
    <w:rsid w:val="000B707C"/>
    <w:rsid w:val="000C0EE6"/>
    <w:rsid w:val="000C2E9C"/>
    <w:rsid w:val="000C2FE0"/>
    <w:rsid w:val="000C4E67"/>
    <w:rsid w:val="000C5608"/>
    <w:rsid w:val="000C5DA6"/>
    <w:rsid w:val="000C70D1"/>
    <w:rsid w:val="000D0661"/>
    <w:rsid w:val="000D08EE"/>
    <w:rsid w:val="000D2F0E"/>
    <w:rsid w:val="000D53E2"/>
    <w:rsid w:val="000D742F"/>
    <w:rsid w:val="000D759D"/>
    <w:rsid w:val="000E0835"/>
    <w:rsid w:val="000E130A"/>
    <w:rsid w:val="000E1D69"/>
    <w:rsid w:val="000E319A"/>
    <w:rsid w:val="000F04B3"/>
    <w:rsid w:val="000F0BB4"/>
    <w:rsid w:val="000F123C"/>
    <w:rsid w:val="000F1616"/>
    <w:rsid w:val="000F4C1B"/>
    <w:rsid w:val="000F6367"/>
    <w:rsid w:val="000F696C"/>
    <w:rsid w:val="00105B4E"/>
    <w:rsid w:val="001106D6"/>
    <w:rsid w:val="00115815"/>
    <w:rsid w:val="0011674F"/>
    <w:rsid w:val="001168F4"/>
    <w:rsid w:val="00116BF5"/>
    <w:rsid w:val="00120CEE"/>
    <w:rsid w:val="00126CC7"/>
    <w:rsid w:val="00127EAF"/>
    <w:rsid w:val="00132AA3"/>
    <w:rsid w:val="00133800"/>
    <w:rsid w:val="00134774"/>
    <w:rsid w:val="0013648D"/>
    <w:rsid w:val="00137946"/>
    <w:rsid w:val="00140274"/>
    <w:rsid w:val="00140398"/>
    <w:rsid w:val="00150F9F"/>
    <w:rsid w:val="00151263"/>
    <w:rsid w:val="0015239E"/>
    <w:rsid w:val="001523FB"/>
    <w:rsid w:val="0015458D"/>
    <w:rsid w:val="00154810"/>
    <w:rsid w:val="00154DDC"/>
    <w:rsid w:val="00155A2A"/>
    <w:rsid w:val="00157A1B"/>
    <w:rsid w:val="001614F3"/>
    <w:rsid w:val="00161B9F"/>
    <w:rsid w:val="0016266F"/>
    <w:rsid w:val="00162A8D"/>
    <w:rsid w:val="00163A89"/>
    <w:rsid w:val="00165E3C"/>
    <w:rsid w:val="0016600D"/>
    <w:rsid w:val="001664F5"/>
    <w:rsid w:val="00167085"/>
    <w:rsid w:val="001670D6"/>
    <w:rsid w:val="00170878"/>
    <w:rsid w:val="00170CA0"/>
    <w:rsid w:val="0017125B"/>
    <w:rsid w:val="00171575"/>
    <w:rsid w:val="00171917"/>
    <w:rsid w:val="00171C1D"/>
    <w:rsid w:val="00172D52"/>
    <w:rsid w:val="00173FB5"/>
    <w:rsid w:val="00174D9A"/>
    <w:rsid w:val="00176A44"/>
    <w:rsid w:val="00176B67"/>
    <w:rsid w:val="001839D6"/>
    <w:rsid w:val="00184271"/>
    <w:rsid w:val="001846CA"/>
    <w:rsid w:val="0018483D"/>
    <w:rsid w:val="001863A2"/>
    <w:rsid w:val="00186721"/>
    <w:rsid w:val="00192E0F"/>
    <w:rsid w:val="00193C86"/>
    <w:rsid w:val="00194542"/>
    <w:rsid w:val="001946ED"/>
    <w:rsid w:val="00195C2D"/>
    <w:rsid w:val="00195EDE"/>
    <w:rsid w:val="0019669B"/>
    <w:rsid w:val="00197508"/>
    <w:rsid w:val="001A1155"/>
    <w:rsid w:val="001A17D2"/>
    <w:rsid w:val="001A18C0"/>
    <w:rsid w:val="001A3C42"/>
    <w:rsid w:val="001A5D86"/>
    <w:rsid w:val="001B0353"/>
    <w:rsid w:val="001B0DB6"/>
    <w:rsid w:val="001B2290"/>
    <w:rsid w:val="001B2FDF"/>
    <w:rsid w:val="001B3B65"/>
    <w:rsid w:val="001B41CB"/>
    <w:rsid w:val="001B694A"/>
    <w:rsid w:val="001B7882"/>
    <w:rsid w:val="001B7C31"/>
    <w:rsid w:val="001C029E"/>
    <w:rsid w:val="001C0ECB"/>
    <w:rsid w:val="001C1F8B"/>
    <w:rsid w:val="001C2C68"/>
    <w:rsid w:val="001C2C8B"/>
    <w:rsid w:val="001C5174"/>
    <w:rsid w:val="001C5868"/>
    <w:rsid w:val="001C6927"/>
    <w:rsid w:val="001D00CF"/>
    <w:rsid w:val="001D0285"/>
    <w:rsid w:val="001D1B1B"/>
    <w:rsid w:val="001D58BA"/>
    <w:rsid w:val="001D7D07"/>
    <w:rsid w:val="001E30F6"/>
    <w:rsid w:val="001E354B"/>
    <w:rsid w:val="001E45BA"/>
    <w:rsid w:val="001E5676"/>
    <w:rsid w:val="001F2BBB"/>
    <w:rsid w:val="001F52FD"/>
    <w:rsid w:val="001F5F60"/>
    <w:rsid w:val="001F60BC"/>
    <w:rsid w:val="001F62CC"/>
    <w:rsid w:val="001F6BF4"/>
    <w:rsid w:val="001F7087"/>
    <w:rsid w:val="001F7794"/>
    <w:rsid w:val="00200677"/>
    <w:rsid w:val="00201013"/>
    <w:rsid w:val="002012B5"/>
    <w:rsid w:val="002012F7"/>
    <w:rsid w:val="00201502"/>
    <w:rsid w:val="002022F8"/>
    <w:rsid w:val="002027F6"/>
    <w:rsid w:val="002042E4"/>
    <w:rsid w:val="00204920"/>
    <w:rsid w:val="002052F0"/>
    <w:rsid w:val="002055EE"/>
    <w:rsid w:val="0020576C"/>
    <w:rsid w:val="002068EB"/>
    <w:rsid w:val="002107CD"/>
    <w:rsid w:val="00210A92"/>
    <w:rsid w:val="00214DB2"/>
    <w:rsid w:val="00216774"/>
    <w:rsid w:val="00216ACC"/>
    <w:rsid w:val="002176F5"/>
    <w:rsid w:val="002204A4"/>
    <w:rsid w:val="0022088A"/>
    <w:rsid w:val="00225E35"/>
    <w:rsid w:val="00226BFA"/>
    <w:rsid w:val="00226DB4"/>
    <w:rsid w:val="00231639"/>
    <w:rsid w:val="00231ED1"/>
    <w:rsid w:val="002329AE"/>
    <w:rsid w:val="00234D2B"/>
    <w:rsid w:val="002357AB"/>
    <w:rsid w:val="002368FD"/>
    <w:rsid w:val="00236DFB"/>
    <w:rsid w:val="00241523"/>
    <w:rsid w:val="00242624"/>
    <w:rsid w:val="00242F69"/>
    <w:rsid w:val="002433C2"/>
    <w:rsid w:val="00243ABB"/>
    <w:rsid w:val="0024557E"/>
    <w:rsid w:val="002455E1"/>
    <w:rsid w:val="002471FD"/>
    <w:rsid w:val="002476FD"/>
    <w:rsid w:val="00247F9E"/>
    <w:rsid w:val="0025151F"/>
    <w:rsid w:val="0025176E"/>
    <w:rsid w:val="002537EA"/>
    <w:rsid w:val="00253DA9"/>
    <w:rsid w:val="00254FF9"/>
    <w:rsid w:val="00257344"/>
    <w:rsid w:val="00257949"/>
    <w:rsid w:val="00260176"/>
    <w:rsid w:val="00262807"/>
    <w:rsid w:val="00262961"/>
    <w:rsid w:val="00262E08"/>
    <w:rsid w:val="002632EA"/>
    <w:rsid w:val="0026368D"/>
    <w:rsid w:val="0026545A"/>
    <w:rsid w:val="00265E7E"/>
    <w:rsid w:val="002663AF"/>
    <w:rsid w:val="00266697"/>
    <w:rsid w:val="002669D5"/>
    <w:rsid w:val="0027138B"/>
    <w:rsid w:val="0027186C"/>
    <w:rsid w:val="00271E30"/>
    <w:rsid w:val="002731C9"/>
    <w:rsid w:val="00274723"/>
    <w:rsid w:val="002754A1"/>
    <w:rsid w:val="00275C6E"/>
    <w:rsid w:val="00276969"/>
    <w:rsid w:val="0028012F"/>
    <w:rsid w:val="002801AF"/>
    <w:rsid w:val="0028193A"/>
    <w:rsid w:val="00283A75"/>
    <w:rsid w:val="002845A6"/>
    <w:rsid w:val="002849EF"/>
    <w:rsid w:val="0028506A"/>
    <w:rsid w:val="002850B0"/>
    <w:rsid w:val="002857A9"/>
    <w:rsid w:val="00285DC4"/>
    <w:rsid w:val="002863D7"/>
    <w:rsid w:val="002870BF"/>
    <w:rsid w:val="002873B4"/>
    <w:rsid w:val="00287E3C"/>
    <w:rsid w:val="00292A0D"/>
    <w:rsid w:val="00292AB5"/>
    <w:rsid w:val="00293F2B"/>
    <w:rsid w:val="00294943"/>
    <w:rsid w:val="002A01D9"/>
    <w:rsid w:val="002A2008"/>
    <w:rsid w:val="002A43C2"/>
    <w:rsid w:val="002A5AA5"/>
    <w:rsid w:val="002A5E22"/>
    <w:rsid w:val="002B0F9D"/>
    <w:rsid w:val="002B1B65"/>
    <w:rsid w:val="002B2722"/>
    <w:rsid w:val="002B773A"/>
    <w:rsid w:val="002B78AF"/>
    <w:rsid w:val="002C02DB"/>
    <w:rsid w:val="002C1866"/>
    <w:rsid w:val="002C1FA4"/>
    <w:rsid w:val="002C44DC"/>
    <w:rsid w:val="002C5943"/>
    <w:rsid w:val="002C6051"/>
    <w:rsid w:val="002D0DBA"/>
    <w:rsid w:val="002D1499"/>
    <w:rsid w:val="002D2A1A"/>
    <w:rsid w:val="002D3359"/>
    <w:rsid w:val="002D3F44"/>
    <w:rsid w:val="002D4942"/>
    <w:rsid w:val="002D7DD3"/>
    <w:rsid w:val="002E0E4E"/>
    <w:rsid w:val="002E1CCF"/>
    <w:rsid w:val="002E1DD8"/>
    <w:rsid w:val="002E2C3C"/>
    <w:rsid w:val="002E5A1B"/>
    <w:rsid w:val="002E7197"/>
    <w:rsid w:val="002F01B7"/>
    <w:rsid w:val="002F091A"/>
    <w:rsid w:val="002F10A5"/>
    <w:rsid w:val="002F1AEF"/>
    <w:rsid w:val="002F205F"/>
    <w:rsid w:val="002F3C7B"/>
    <w:rsid w:val="002F4998"/>
    <w:rsid w:val="002F499C"/>
    <w:rsid w:val="002F4CE1"/>
    <w:rsid w:val="002F5E96"/>
    <w:rsid w:val="002F7D27"/>
    <w:rsid w:val="0030053D"/>
    <w:rsid w:val="00300BD2"/>
    <w:rsid w:val="00300F22"/>
    <w:rsid w:val="003026A0"/>
    <w:rsid w:val="003031EE"/>
    <w:rsid w:val="00304441"/>
    <w:rsid w:val="00304A37"/>
    <w:rsid w:val="00304B33"/>
    <w:rsid w:val="003053EE"/>
    <w:rsid w:val="00305CAD"/>
    <w:rsid w:val="003065CE"/>
    <w:rsid w:val="00307C6C"/>
    <w:rsid w:val="0031040E"/>
    <w:rsid w:val="00310ED4"/>
    <w:rsid w:val="00312301"/>
    <w:rsid w:val="003126B2"/>
    <w:rsid w:val="00313233"/>
    <w:rsid w:val="0031492A"/>
    <w:rsid w:val="00314AF9"/>
    <w:rsid w:val="003155C1"/>
    <w:rsid w:val="00316C1A"/>
    <w:rsid w:val="0032000C"/>
    <w:rsid w:val="00320BBA"/>
    <w:rsid w:val="00321095"/>
    <w:rsid w:val="00321527"/>
    <w:rsid w:val="00323C73"/>
    <w:rsid w:val="00330183"/>
    <w:rsid w:val="00331141"/>
    <w:rsid w:val="00333204"/>
    <w:rsid w:val="00333C1A"/>
    <w:rsid w:val="003343E2"/>
    <w:rsid w:val="003354FA"/>
    <w:rsid w:val="00335668"/>
    <w:rsid w:val="00336842"/>
    <w:rsid w:val="00337835"/>
    <w:rsid w:val="00342361"/>
    <w:rsid w:val="003423F4"/>
    <w:rsid w:val="00343043"/>
    <w:rsid w:val="00343C2B"/>
    <w:rsid w:val="0034414F"/>
    <w:rsid w:val="00344758"/>
    <w:rsid w:val="00344A7B"/>
    <w:rsid w:val="00344E4F"/>
    <w:rsid w:val="00344FEC"/>
    <w:rsid w:val="00347142"/>
    <w:rsid w:val="003479D9"/>
    <w:rsid w:val="00347E0A"/>
    <w:rsid w:val="00350677"/>
    <w:rsid w:val="00350772"/>
    <w:rsid w:val="00350D1B"/>
    <w:rsid w:val="00352053"/>
    <w:rsid w:val="003551E9"/>
    <w:rsid w:val="00355437"/>
    <w:rsid w:val="003565A8"/>
    <w:rsid w:val="003566EA"/>
    <w:rsid w:val="00357B34"/>
    <w:rsid w:val="00361F8C"/>
    <w:rsid w:val="00364E84"/>
    <w:rsid w:val="0036611F"/>
    <w:rsid w:val="00366CCE"/>
    <w:rsid w:val="00370F77"/>
    <w:rsid w:val="003724A9"/>
    <w:rsid w:val="00372C79"/>
    <w:rsid w:val="00374091"/>
    <w:rsid w:val="00374A8C"/>
    <w:rsid w:val="00374C4C"/>
    <w:rsid w:val="00375EDB"/>
    <w:rsid w:val="00377C81"/>
    <w:rsid w:val="00380989"/>
    <w:rsid w:val="00382DD8"/>
    <w:rsid w:val="00383E96"/>
    <w:rsid w:val="0038518F"/>
    <w:rsid w:val="00387350"/>
    <w:rsid w:val="00394685"/>
    <w:rsid w:val="0039718F"/>
    <w:rsid w:val="00397413"/>
    <w:rsid w:val="003A168E"/>
    <w:rsid w:val="003A1DAD"/>
    <w:rsid w:val="003A2199"/>
    <w:rsid w:val="003A307B"/>
    <w:rsid w:val="003A3E7C"/>
    <w:rsid w:val="003A458C"/>
    <w:rsid w:val="003A48B7"/>
    <w:rsid w:val="003A4960"/>
    <w:rsid w:val="003A4CED"/>
    <w:rsid w:val="003A56C5"/>
    <w:rsid w:val="003A65B6"/>
    <w:rsid w:val="003A6BF2"/>
    <w:rsid w:val="003B559B"/>
    <w:rsid w:val="003B6DD2"/>
    <w:rsid w:val="003C23AE"/>
    <w:rsid w:val="003C23C9"/>
    <w:rsid w:val="003C2573"/>
    <w:rsid w:val="003C2AB2"/>
    <w:rsid w:val="003C3296"/>
    <w:rsid w:val="003C5854"/>
    <w:rsid w:val="003C64E8"/>
    <w:rsid w:val="003D1DE9"/>
    <w:rsid w:val="003D43D0"/>
    <w:rsid w:val="003D6D9F"/>
    <w:rsid w:val="003E0744"/>
    <w:rsid w:val="003E2214"/>
    <w:rsid w:val="003E4C1D"/>
    <w:rsid w:val="003E52DB"/>
    <w:rsid w:val="003E533E"/>
    <w:rsid w:val="003E5DEF"/>
    <w:rsid w:val="003E65F1"/>
    <w:rsid w:val="003F1FC7"/>
    <w:rsid w:val="003F2449"/>
    <w:rsid w:val="003F2B2D"/>
    <w:rsid w:val="003F7DF5"/>
    <w:rsid w:val="0040009A"/>
    <w:rsid w:val="004008F9"/>
    <w:rsid w:val="00401C43"/>
    <w:rsid w:val="004026C5"/>
    <w:rsid w:val="0040497E"/>
    <w:rsid w:val="00405620"/>
    <w:rsid w:val="00406A31"/>
    <w:rsid w:val="00410CD5"/>
    <w:rsid w:val="004118C8"/>
    <w:rsid w:val="00420EEE"/>
    <w:rsid w:val="00422417"/>
    <w:rsid w:val="004226FA"/>
    <w:rsid w:val="0042373E"/>
    <w:rsid w:val="00424233"/>
    <w:rsid w:val="00430FEF"/>
    <w:rsid w:val="00431025"/>
    <w:rsid w:val="00431C2E"/>
    <w:rsid w:val="0043431B"/>
    <w:rsid w:val="00434945"/>
    <w:rsid w:val="0043657C"/>
    <w:rsid w:val="00440DFD"/>
    <w:rsid w:val="00445225"/>
    <w:rsid w:val="00445CB5"/>
    <w:rsid w:val="00446BD2"/>
    <w:rsid w:val="00447DAD"/>
    <w:rsid w:val="00447E47"/>
    <w:rsid w:val="0045021B"/>
    <w:rsid w:val="004502B0"/>
    <w:rsid w:val="00452E54"/>
    <w:rsid w:val="00454979"/>
    <w:rsid w:val="00454A7A"/>
    <w:rsid w:val="004602EE"/>
    <w:rsid w:val="00460EE0"/>
    <w:rsid w:val="00463236"/>
    <w:rsid w:val="00464D8F"/>
    <w:rsid w:val="00467F2E"/>
    <w:rsid w:val="004712FB"/>
    <w:rsid w:val="00471BB7"/>
    <w:rsid w:val="00472EFF"/>
    <w:rsid w:val="00474063"/>
    <w:rsid w:val="004753AB"/>
    <w:rsid w:val="00476793"/>
    <w:rsid w:val="00477166"/>
    <w:rsid w:val="00481B2A"/>
    <w:rsid w:val="00482091"/>
    <w:rsid w:val="004821B0"/>
    <w:rsid w:val="00483E72"/>
    <w:rsid w:val="00484558"/>
    <w:rsid w:val="00484B29"/>
    <w:rsid w:val="00490EA4"/>
    <w:rsid w:val="00491A19"/>
    <w:rsid w:val="00493179"/>
    <w:rsid w:val="004936AE"/>
    <w:rsid w:val="00494AAE"/>
    <w:rsid w:val="00494D33"/>
    <w:rsid w:val="00497F86"/>
    <w:rsid w:val="004A0BC4"/>
    <w:rsid w:val="004A187B"/>
    <w:rsid w:val="004A24A5"/>
    <w:rsid w:val="004A2D3C"/>
    <w:rsid w:val="004A3D0A"/>
    <w:rsid w:val="004A4AD5"/>
    <w:rsid w:val="004A4BC9"/>
    <w:rsid w:val="004A5BA5"/>
    <w:rsid w:val="004A6716"/>
    <w:rsid w:val="004A7B70"/>
    <w:rsid w:val="004B0570"/>
    <w:rsid w:val="004B0E0D"/>
    <w:rsid w:val="004B1863"/>
    <w:rsid w:val="004B35A5"/>
    <w:rsid w:val="004B7BEC"/>
    <w:rsid w:val="004C1AE8"/>
    <w:rsid w:val="004C65F1"/>
    <w:rsid w:val="004C7412"/>
    <w:rsid w:val="004C745A"/>
    <w:rsid w:val="004C776D"/>
    <w:rsid w:val="004D04BF"/>
    <w:rsid w:val="004D3608"/>
    <w:rsid w:val="004D4299"/>
    <w:rsid w:val="004D570C"/>
    <w:rsid w:val="004D61D2"/>
    <w:rsid w:val="004E01E2"/>
    <w:rsid w:val="004E084F"/>
    <w:rsid w:val="004E0DFF"/>
    <w:rsid w:val="004E134C"/>
    <w:rsid w:val="004E18FA"/>
    <w:rsid w:val="004E1B63"/>
    <w:rsid w:val="004E2FFE"/>
    <w:rsid w:val="004E4E09"/>
    <w:rsid w:val="004E75B0"/>
    <w:rsid w:val="004F0EC7"/>
    <w:rsid w:val="004F1597"/>
    <w:rsid w:val="004F1C7C"/>
    <w:rsid w:val="004F30F3"/>
    <w:rsid w:val="004F41B8"/>
    <w:rsid w:val="00500B2A"/>
    <w:rsid w:val="0050149A"/>
    <w:rsid w:val="00501546"/>
    <w:rsid w:val="00501C4A"/>
    <w:rsid w:val="00502F3B"/>
    <w:rsid w:val="00504422"/>
    <w:rsid w:val="005069BD"/>
    <w:rsid w:val="00510390"/>
    <w:rsid w:val="005123F0"/>
    <w:rsid w:val="00513540"/>
    <w:rsid w:val="00513941"/>
    <w:rsid w:val="00515458"/>
    <w:rsid w:val="0051550A"/>
    <w:rsid w:val="005157E9"/>
    <w:rsid w:val="00520880"/>
    <w:rsid w:val="0052156D"/>
    <w:rsid w:val="00521D4B"/>
    <w:rsid w:val="00523209"/>
    <w:rsid w:val="00523ECE"/>
    <w:rsid w:val="0052610D"/>
    <w:rsid w:val="0053051D"/>
    <w:rsid w:val="00531099"/>
    <w:rsid w:val="00531FF3"/>
    <w:rsid w:val="005345AD"/>
    <w:rsid w:val="00534CEB"/>
    <w:rsid w:val="00535ED9"/>
    <w:rsid w:val="00537893"/>
    <w:rsid w:val="005408B4"/>
    <w:rsid w:val="00545373"/>
    <w:rsid w:val="005464A4"/>
    <w:rsid w:val="005515EC"/>
    <w:rsid w:val="00554C4F"/>
    <w:rsid w:val="00555110"/>
    <w:rsid w:val="00555823"/>
    <w:rsid w:val="005560C5"/>
    <w:rsid w:val="00561019"/>
    <w:rsid w:val="00562EEC"/>
    <w:rsid w:val="00563111"/>
    <w:rsid w:val="00564208"/>
    <w:rsid w:val="0056716F"/>
    <w:rsid w:val="0057072F"/>
    <w:rsid w:val="00570B2E"/>
    <w:rsid w:val="0057174B"/>
    <w:rsid w:val="00571ADD"/>
    <w:rsid w:val="00571CEB"/>
    <w:rsid w:val="005819ED"/>
    <w:rsid w:val="005829DD"/>
    <w:rsid w:val="0058477D"/>
    <w:rsid w:val="00584E0B"/>
    <w:rsid w:val="00584E97"/>
    <w:rsid w:val="0058666F"/>
    <w:rsid w:val="00591951"/>
    <w:rsid w:val="00591A65"/>
    <w:rsid w:val="005922DE"/>
    <w:rsid w:val="00592D1C"/>
    <w:rsid w:val="00593209"/>
    <w:rsid w:val="005937F7"/>
    <w:rsid w:val="00595412"/>
    <w:rsid w:val="005958F7"/>
    <w:rsid w:val="0059691B"/>
    <w:rsid w:val="005A08A0"/>
    <w:rsid w:val="005A0964"/>
    <w:rsid w:val="005A2F77"/>
    <w:rsid w:val="005A4E45"/>
    <w:rsid w:val="005A6012"/>
    <w:rsid w:val="005A6BBF"/>
    <w:rsid w:val="005B2B5E"/>
    <w:rsid w:val="005B36F6"/>
    <w:rsid w:val="005B68D6"/>
    <w:rsid w:val="005B6F12"/>
    <w:rsid w:val="005C1655"/>
    <w:rsid w:val="005C1F23"/>
    <w:rsid w:val="005C2ECF"/>
    <w:rsid w:val="005C3EAA"/>
    <w:rsid w:val="005C4450"/>
    <w:rsid w:val="005C4CC3"/>
    <w:rsid w:val="005C58BC"/>
    <w:rsid w:val="005C5D41"/>
    <w:rsid w:val="005C5F3A"/>
    <w:rsid w:val="005C64FF"/>
    <w:rsid w:val="005C6B04"/>
    <w:rsid w:val="005C7982"/>
    <w:rsid w:val="005D1839"/>
    <w:rsid w:val="005D1888"/>
    <w:rsid w:val="005D1F34"/>
    <w:rsid w:val="005D383D"/>
    <w:rsid w:val="005D4641"/>
    <w:rsid w:val="005D4BA4"/>
    <w:rsid w:val="005D4ED1"/>
    <w:rsid w:val="005E0C38"/>
    <w:rsid w:val="005E1F68"/>
    <w:rsid w:val="005E6B11"/>
    <w:rsid w:val="005F0CB1"/>
    <w:rsid w:val="005F1251"/>
    <w:rsid w:val="005F1E7A"/>
    <w:rsid w:val="005F5C6B"/>
    <w:rsid w:val="005F60A5"/>
    <w:rsid w:val="00613FA5"/>
    <w:rsid w:val="0061407D"/>
    <w:rsid w:val="006143AE"/>
    <w:rsid w:val="00614A10"/>
    <w:rsid w:val="00615065"/>
    <w:rsid w:val="00616F88"/>
    <w:rsid w:val="00617BF0"/>
    <w:rsid w:val="00621454"/>
    <w:rsid w:val="00621E54"/>
    <w:rsid w:val="00622508"/>
    <w:rsid w:val="00622A29"/>
    <w:rsid w:val="00624E38"/>
    <w:rsid w:val="00625254"/>
    <w:rsid w:val="0062731C"/>
    <w:rsid w:val="00627808"/>
    <w:rsid w:val="00627AE6"/>
    <w:rsid w:val="00627E64"/>
    <w:rsid w:val="0063009F"/>
    <w:rsid w:val="00631180"/>
    <w:rsid w:val="006324ED"/>
    <w:rsid w:val="006332E6"/>
    <w:rsid w:val="006342D2"/>
    <w:rsid w:val="0063441A"/>
    <w:rsid w:val="00634D85"/>
    <w:rsid w:val="006356C5"/>
    <w:rsid w:val="006358E1"/>
    <w:rsid w:val="006358E5"/>
    <w:rsid w:val="0063769E"/>
    <w:rsid w:val="006429C1"/>
    <w:rsid w:val="00642B7A"/>
    <w:rsid w:val="00643A0E"/>
    <w:rsid w:val="00643BFA"/>
    <w:rsid w:val="00644B30"/>
    <w:rsid w:val="006469DA"/>
    <w:rsid w:val="00646AD4"/>
    <w:rsid w:val="00646B64"/>
    <w:rsid w:val="00646F5D"/>
    <w:rsid w:val="00650E26"/>
    <w:rsid w:val="00652948"/>
    <w:rsid w:val="00652A4B"/>
    <w:rsid w:val="00652F46"/>
    <w:rsid w:val="00654793"/>
    <w:rsid w:val="00654C59"/>
    <w:rsid w:val="00654FFC"/>
    <w:rsid w:val="00655467"/>
    <w:rsid w:val="00655BF2"/>
    <w:rsid w:val="00660D24"/>
    <w:rsid w:val="00661347"/>
    <w:rsid w:val="00661A31"/>
    <w:rsid w:val="00661BE0"/>
    <w:rsid w:val="00663276"/>
    <w:rsid w:val="006637F2"/>
    <w:rsid w:val="00663806"/>
    <w:rsid w:val="00664316"/>
    <w:rsid w:val="006670F6"/>
    <w:rsid w:val="0067199C"/>
    <w:rsid w:val="0067389B"/>
    <w:rsid w:val="00674EBF"/>
    <w:rsid w:val="006767A4"/>
    <w:rsid w:val="0067693E"/>
    <w:rsid w:val="006810F0"/>
    <w:rsid w:val="0068234B"/>
    <w:rsid w:val="006827B1"/>
    <w:rsid w:val="00684908"/>
    <w:rsid w:val="00684A7F"/>
    <w:rsid w:val="0068576C"/>
    <w:rsid w:val="00685E95"/>
    <w:rsid w:val="00686B70"/>
    <w:rsid w:val="006879B6"/>
    <w:rsid w:val="00690665"/>
    <w:rsid w:val="00691E8A"/>
    <w:rsid w:val="006929BB"/>
    <w:rsid w:val="00692C70"/>
    <w:rsid w:val="006930BA"/>
    <w:rsid w:val="006966C4"/>
    <w:rsid w:val="0069674C"/>
    <w:rsid w:val="00696AB3"/>
    <w:rsid w:val="006970C1"/>
    <w:rsid w:val="006A215A"/>
    <w:rsid w:val="006A2B02"/>
    <w:rsid w:val="006A2CD0"/>
    <w:rsid w:val="006A3344"/>
    <w:rsid w:val="006A408C"/>
    <w:rsid w:val="006A41D0"/>
    <w:rsid w:val="006A5599"/>
    <w:rsid w:val="006A6BB3"/>
    <w:rsid w:val="006A77A9"/>
    <w:rsid w:val="006B33F6"/>
    <w:rsid w:val="006B3DE1"/>
    <w:rsid w:val="006B4321"/>
    <w:rsid w:val="006B6108"/>
    <w:rsid w:val="006B615C"/>
    <w:rsid w:val="006B6AD1"/>
    <w:rsid w:val="006B72A3"/>
    <w:rsid w:val="006C0642"/>
    <w:rsid w:val="006C1939"/>
    <w:rsid w:val="006C3B64"/>
    <w:rsid w:val="006D0407"/>
    <w:rsid w:val="006D1CB7"/>
    <w:rsid w:val="006D3FC4"/>
    <w:rsid w:val="006D448F"/>
    <w:rsid w:val="006D537C"/>
    <w:rsid w:val="006D5EE5"/>
    <w:rsid w:val="006D5FFE"/>
    <w:rsid w:val="006D6B3C"/>
    <w:rsid w:val="006E01EB"/>
    <w:rsid w:val="006E02B4"/>
    <w:rsid w:val="006E0A15"/>
    <w:rsid w:val="006E23F7"/>
    <w:rsid w:val="006E29AA"/>
    <w:rsid w:val="006E3555"/>
    <w:rsid w:val="006E616B"/>
    <w:rsid w:val="006E6CD9"/>
    <w:rsid w:val="006E6D3B"/>
    <w:rsid w:val="006F2CC8"/>
    <w:rsid w:val="006F6684"/>
    <w:rsid w:val="006F7FBD"/>
    <w:rsid w:val="0070077B"/>
    <w:rsid w:val="007023EF"/>
    <w:rsid w:val="00704F72"/>
    <w:rsid w:val="007125DC"/>
    <w:rsid w:val="0071288E"/>
    <w:rsid w:val="00714FF5"/>
    <w:rsid w:val="0071546E"/>
    <w:rsid w:val="00716BFB"/>
    <w:rsid w:val="00717BB7"/>
    <w:rsid w:val="00721CB7"/>
    <w:rsid w:val="00723B35"/>
    <w:rsid w:val="00723DD0"/>
    <w:rsid w:val="00725B37"/>
    <w:rsid w:val="00730A16"/>
    <w:rsid w:val="00730BD2"/>
    <w:rsid w:val="007340EA"/>
    <w:rsid w:val="00735803"/>
    <w:rsid w:val="00740A25"/>
    <w:rsid w:val="0074120F"/>
    <w:rsid w:val="0074276C"/>
    <w:rsid w:val="00744134"/>
    <w:rsid w:val="00744A79"/>
    <w:rsid w:val="007454A4"/>
    <w:rsid w:val="00746C01"/>
    <w:rsid w:val="00753317"/>
    <w:rsid w:val="007540BF"/>
    <w:rsid w:val="0075445D"/>
    <w:rsid w:val="00754EF6"/>
    <w:rsid w:val="00755481"/>
    <w:rsid w:val="00755949"/>
    <w:rsid w:val="00756819"/>
    <w:rsid w:val="00760299"/>
    <w:rsid w:val="00762AE3"/>
    <w:rsid w:val="00763284"/>
    <w:rsid w:val="007633C0"/>
    <w:rsid w:val="007637A8"/>
    <w:rsid w:val="00764DE0"/>
    <w:rsid w:val="007654EC"/>
    <w:rsid w:val="00765B58"/>
    <w:rsid w:val="00766BFB"/>
    <w:rsid w:val="00770DCB"/>
    <w:rsid w:val="00770E93"/>
    <w:rsid w:val="00775485"/>
    <w:rsid w:val="0078224E"/>
    <w:rsid w:val="00783532"/>
    <w:rsid w:val="007846B5"/>
    <w:rsid w:val="007846D8"/>
    <w:rsid w:val="00785EA1"/>
    <w:rsid w:val="007864FC"/>
    <w:rsid w:val="0078685F"/>
    <w:rsid w:val="00787FE8"/>
    <w:rsid w:val="00790615"/>
    <w:rsid w:val="007935AB"/>
    <w:rsid w:val="00793D75"/>
    <w:rsid w:val="00794304"/>
    <w:rsid w:val="007A171A"/>
    <w:rsid w:val="007A1E55"/>
    <w:rsid w:val="007A5D0B"/>
    <w:rsid w:val="007B0265"/>
    <w:rsid w:val="007B06EA"/>
    <w:rsid w:val="007B17AB"/>
    <w:rsid w:val="007B2CD0"/>
    <w:rsid w:val="007B3FB1"/>
    <w:rsid w:val="007B444D"/>
    <w:rsid w:val="007B5F11"/>
    <w:rsid w:val="007C11BB"/>
    <w:rsid w:val="007C162D"/>
    <w:rsid w:val="007C1F76"/>
    <w:rsid w:val="007C248F"/>
    <w:rsid w:val="007C2607"/>
    <w:rsid w:val="007C2DE9"/>
    <w:rsid w:val="007C3EE3"/>
    <w:rsid w:val="007C442F"/>
    <w:rsid w:val="007C5CF6"/>
    <w:rsid w:val="007C6B50"/>
    <w:rsid w:val="007D0082"/>
    <w:rsid w:val="007D0170"/>
    <w:rsid w:val="007D2F00"/>
    <w:rsid w:val="007D459B"/>
    <w:rsid w:val="007D73E8"/>
    <w:rsid w:val="007E00B4"/>
    <w:rsid w:val="007E0903"/>
    <w:rsid w:val="007E0DA3"/>
    <w:rsid w:val="007E49CD"/>
    <w:rsid w:val="007E5B88"/>
    <w:rsid w:val="007F0872"/>
    <w:rsid w:val="007F0D0B"/>
    <w:rsid w:val="007F4266"/>
    <w:rsid w:val="007F5423"/>
    <w:rsid w:val="007F59C8"/>
    <w:rsid w:val="007F6A7B"/>
    <w:rsid w:val="007F7A25"/>
    <w:rsid w:val="008007A8"/>
    <w:rsid w:val="00802361"/>
    <w:rsid w:val="008042D9"/>
    <w:rsid w:val="00804F3C"/>
    <w:rsid w:val="008100C9"/>
    <w:rsid w:val="00810FD7"/>
    <w:rsid w:val="0081174E"/>
    <w:rsid w:val="00813ADD"/>
    <w:rsid w:val="0081471E"/>
    <w:rsid w:val="00814FC0"/>
    <w:rsid w:val="008161B5"/>
    <w:rsid w:val="00817C73"/>
    <w:rsid w:val="008200FE"/>
    <w:rsid w:val="00821948"/>
    <w:rsid w:val="00821C7B"/>
    <w:rsid w:val="00823005"/>
    <w:rsid w:val="00825F13"/>
    <w:rsid w:val="00826B0B"/>
    <w:rsid w:val="008275B7"/>
    <w:rsid w:val="00830661"/>
    <w:rsid w:val="008320E8"/>
    <w:rsid w:val="0083231A"/>
    <w:rsid w:val="00832A1E"/>
    <w:rsid w:val="00832B49"/>
    <w:rsid w:val="0083394E"/>
    <w:rsid w:val="00833C29"/>
    <w:rsid w:val="008372EB"/>
    <w:rsid w:val="008372ED"/>
    <w:rsid w:val="00840231"/>
    <w:rsid w:val="00842F72"/>
    <w:rsid w:val="008449B9"/>
    <w:rsid w:val="0084625A"/>
    <w:rsid w:val="00846715"/>
    <w:rsid w:val="00847191"/>
    <w:rsid w:val="00852474"/>
    <w:rsid w:val="00853F59"/>
    <w:rsid w:val="008543F5"/>
    <w:rsid w:val="00855BB5"/>
    <w:rsid w:val="0085646F"/>
    <w:rsid w:val="00860639"/>
    <w:rsid w:val="00860E6B"/>
    <w:rsid w:val="0086254F"/>
    <w:rsid w:val="008632CA"/>
    <w:rsid w:val="00865A18"/>
    <w:rsid w:val="00866D3D"/>
    <w:rsid w:val="00867463"/>
    <w:rsid w:val="00867AF7"/>
    <w:rsid w:val="00870612"/>
    <w:rsid w:val="00870A37"/>
    <w:rsid w:val="00871B37"/>
    <w:rsid w:val="008724DE"/>
    <w:rsid w:val="00872875"/>
    <w:rsid w:val="00874A89"/>
    <w:rsid w:val="008758D9"/>
    <w:rsid w:val="00875980"/>
    <w:rsid w:val="00875E8A"/>
    <w:rsid w:val="00876250"/>
    <w:rsid w:val="008764C0"/>
    <w:rsid w:val="008765DF"/>
    <w:rsid w:val="00880291"/>
    <w:rsid w:val="008805F0"/>
    <w:rsid w:val="00881496"/>
    <w:rsid w:val="00882B0A"/>
    <w:rsid w:val="00885845"/>
    <w:rsid w:val="0088755C"/>
    <w:rsid w:val="0088782E"/>
    <w:rsid w:val="00890180"/>
    <w:rsid w:val="008904CC"/>
    <w:rsid w:val="00896273"/>
    <w:rsid w:val="00897130"/>
    <w:rsid w:val="008A0E97"/>
    <w:rsid w:val="008A2646"/>
    <w:rsid w:val="008A3D57"/>
    <w:rsid w:val="008A5664"/>
    <w:rsid w:val="008A5B55"/>
    <w:rsid w:val="008A5FCA"/>
    <w:rsid w:val="008A7305"/>
    <w:rsid w:val="008A7EC7"/>
    <w:rsid w:val="008A7EFF"/>
    <w:rsid w:val="008B026A"/>
    <w:rsid w:val="008B17FD"/>
    <w:rsid w:val="008B23BC"/>
    <w:rsid w:val="008B2A4F"/>
    <w:rsid w:val="008B3899"/>
    <w:rsid w:val="008C0259"/>
    <w:rsid w:val="008C14A1"/>
    <w:rsid w:val="008C4D2A"/>
    <w:rsid w:val="008D78FC"/>
    <w:rsid w:val="008E0A3D"/>
    <w:rsid w:val="008E1EBB"/>
    <w:rsid w:val="008E2F95"/>
    <w:rsid w:val="008E328C"/>
    <w:rsid w:val="008E3D60"/>
    <w:rsid w:val="008E3F4C"/>
    <w:rsid w:val="008E56EA"/>
    <w:rsid w:val="008E60F6"/>
    <w:rsid w:val="008E623F"/>
    <w:rsid w:val="008E78F0"/>
    <w:rsid w:val="008E7D4E"/>
    <w:rsid w:val="008F062E"/>
    <w:rsid w:val="008F43ED"/>
    <w:rsid w:val="008F4A9F"/>
    <w:rsid w:val="008F5499"/>
    <w:rsid w:val="008F5668"/>
    <w:rsid w:val="00901545"/>
    <w:rsid w:val="0090165F"/>
    <w:rsid w:val="00901B82"/>
    <w:rsid w:val="00902EC3"/>
    <w:rsid w:val="00904599"/>
    <w:rsid w:val="00905C31"/>
    <w:rsid w:val="00905C74"/>
    <w:rsid w:val="00905C85"/>
    <w:rsid w:val="00907236"/>
    <w:rsid w:val="009079CD"/>
    <w:rsid w:val="009118A7"/>
    <w:rsid w:val="00912353"/>
    <w:rsid w:val="00912B09"/>
    <w:rsid w:val="00912B67"/>
    <w:rsid w:val="009174F1"/>
    <w:rsid w:val="009176E5"/>
    <w:rsid w:val="0091791D"/>
    <w:rsid w:val="009244BB"/>
    <w:rsid w:val="00924C8F"/>
    <w:rsid w:val="00925E56"/>
    <w:rsid w:val="009270B7"/>
    <w:rsid w:val="009326C1"/>
    <w:rsid w:val="00934E5F"/>
    <w:rsid w:val="00935966"/>
    <w:rsid w:val="00943011"/>
    <w:rsid w:val="009432CF"/>
    <w:rsid w:val="0094467E"/>
    <w:rsid w:val="0094481C"/>
    <w:rsid w:val="00952289"/>
    <w:rsid w:val="009562B4"/>
    <w:rsid w:val="00957042"/>
    <w:rsid w:val="0095769A"/>
    <w:rsid w:val="00960E00"/>
    <w:rsid w:val="009610B7"/>
    <w:rsid w:val="00961135"/>
    <w:rsid w:val="00961988"/>
    <w:rsid w:val="0096689F"/>
    <w:rsid w:val="00966C2F"/>
    <w:rsid w:val="0096742A"/>
    <w:rsid w:val="00967822"/>
    <w:rsid w:val="00972BFA"/>
    <w:rsid w:val="00973B18"/>
    <w:rsid w:val="00974743"/>
    <w:rsid w:val="0097512B"/>
    <w:rsid w:val="0097682A"/>
    <w:rsid w:val="0097695D"/>
    <w:rsid w:val="00980864"/>
    <w:rsid w:val="009811C7"/>
    <w:rsid w:val="00982404"/>
    <w:rsid w:val="009831C5"/>
    <w:rsid w:val="00990B4D"/>
    <w:rsid w:val="00990B81"/>
    <w:rsid w:val="0099338D"/>
    <w:rsid w:val="009A1259"/>
    <w:rsid w:val="009A189F"/>
    <w:rsid w:val="009A45CE"/>
    <w:rsid w:val="009A4D6D"/>
    <w:rsid w:val="009A78B5"/>
    <w:rsid w:val="009A78BF"/>
    <w:rsid w:val="009B1CCE"/>
    <w:rsid w:val="009B786A"/>
    <w:rsid w:val="009C224E"/>
    <w:rsid w:val="009C28A4"/>
    <w:rsid w:val="009C2BEC"/>
    <w:rsid w:val="009C3F4E"/>
    <w:rsid w:val="009D0363"/>
    <w:rsid w:val="009D0B21"/>
    <w:rsid w:val="009D0E65"/>
    <w:rsid w:val="009D2D3E"/>
    <w:rsid w:val="009D34E7"/>
    <w:rsid w:val="009D38B0"/>
    <w:rsid w:val="009D46FE"/>
    <w:rsid w:val="009D4F31"/>
    <w:rsid w:val="009D634E"/>
    <w:rsid w:val="009D67F6"/>
    <w:rsid w:val="009D73F1"/>
    <w:rsid w:val="009E08D1"/>
    <w:rsid w:val="009E0FE1"/>
    <w:rsid w:val="009E1045"/>
    <w:rsid w:val="009E3417"/>
    <w:rsid w:val="009E4BD0"/>
    <w:rsid w:val="009E5050"/>
    <w:rsid w:val="009E7D4A"/>
    <w:rsid w:val="009F00BC"/>
    <w:rsid w:val="009F0598"/>
    <w:rsid w:val="009F2764"/>
    <w:rsid w:val="009F38A1"/>
    <w:rsid w:val="009F4E18"/>
    <w:rsid w:val="009F4F14"/>
    <w:rsid w:val="009F6532"/>
    <w:rsid w:val="00A02D7E"/>
    <w:rsid w:val="00A03F0F"/>
    <w:rsid w:val="00A0406E"/>
    <w:rsid w:val="00A04E1D"/>
    <w:rsid w:val="00A0638C"/>
    <w:rsid w:val="00A069A1"/>
    <w:rsid w:val="00A06FFE"/>
    <w:rsid w:val="00A07E15"/>
    <w:rsid w:val="00A10406"/>
    <w:rsid w:val="00A11307"/>
    <w:rsid w:val="00A12F22"/>
    <w:rsid w:val="00A13AF3"/>
    <w:rsid w:val="00A1411C"/>
    <w:rsid w:val="00A14DA2"/>
    <w:rsid w:val="00A16B4C"/>
    <w:rsid w:val="00A2016D"/>
    <w:rsid w:val="00A21388"/>
    <w:rsid w:val="00A21945"/>
    <w:rsid w:val="00A220E1"/>
    <w:rsid w:val="00A27235"/>
    <w:rsid w:val="00A27791"/>
    <w:rsid w:val="00A278E5"/>
    <w:rsid w:val="00A27ABE"/>
    <w:rsid w:val="00A355F9"/>
    <w:rsid w:val="00A372B3"/>
    <w:rsid w:val="00A406CC"/>
    <w:rsid w:val="00A40A7F"/>
    <w:rsid w:val="00A41355"/>
    <w:rsid w:val="00A437B6"/>
    <w:rsid w:val="00A43B92"/>
    <w:rsid w:val="00A44D1A"/>
    <w:rsid w:val="00A46E3D"/>
    <w:rsid w:val="00A47B7E"/>
    <w:rsid w:val="00A47BCC"/>
    <w:rsid w:val="00A50AA9"/>
    <w:rsid w:val="00A50D4C"/>
    <w:rsid w:val="00A51C1D"/>
    <w:rsid w:val="00A54251"/>
    <w:rsid w:val="00A56DBC"/>
    <w:rsid w:val="00A57B81"/>
    <w:rsid w:val="00A6043E"/>
    <w:rsid w:val="00A609B9"/>
    <w:rsid w:val="00A6179E"/>
    <w:rsid w:val="00A625D1"/>
    <w:rsid w:val="00A629EB"/>
    <w:rsid w:val="00A64316"/>
    <w:rsid w:val="00A65E90"/>
    <w:rsid w:val="00A67F5E"/>
    <w:rsid w:val="00A70332"/>
    <w:rsid w:val="00A707A0"/>
    <w:rsid w:val="00A70B1E"/>
    <w:rsid w:val="00A712F4"/>
    <w:rsid w:val="00A716AF"/>
    <w:rsid w:val="00A74E8A"/>
    <w:rsid w:val="00A75A7C"/>
    <w:rsid w:val="00A75E93"/>
    <w:rsid w:val="00A804D9"/>
    <w:rsid w:val="00A82F03"/>
    <w:rsid w:val="00A832AF"/>
    <w:rsid w:val="00A83BA0"/>
    <w:rsid w:val="00A8573B"/>
    <w:rsid w:val="00A867AD"/>
    <w:rsid w:val="00A87398"/>
    <w:rsid w:val="00A927B7"/>
    <w:rsid w:val="00A92915"/>
    <w:rsid w:val="00A92916"/>
    <w:rsid w:val="00A92D96"/>
    <w:rsid w:val="00A92F92"/>
    <w:rsid w:val="00A934DD"/>
    <w:rsid w:val="00A939B6"/>
    <w:rsid w:val="00A9414B"/>
    <w:rsid w:val="00A96892"/>
    <w:rsid w:val="00AA2051"/>
    <w:rsid w:val="00AA3456"/>
    <w:rsid w:val="00AA3680"/>
    <w:rsid w:val="00AA39C2"/>
    <w:rsid w:val="00AA5771"/>
    <w:rsid w:val="00AA6389"/>
    <w:rsid w:val="00AA70C4"/>
    <w:rsid w:val="00AB161F"/>
    <w:rsid w:val="00AB38AE"/>
    <w:rsid w:val="00AB4FAA"/>
    <w:rsid w:val="00AB6657"/>
    <w:rsid w:val="00AB6C3C"/>
    <w:rsid w:val="00AB6EE6"/>
    <w:rsid w:val="00AB7360"/>
    <w:rsid w:val="00AB74CE"/>
    <w:rsid w:val="00AB7C8F"/>
    <w:rsid w:val="00AC05FD"/>
    <w:rsid w:val="00AC2192"/>
    <w:rsid w:val="00AC238F"/>
    <w:rsid w:val="00AC2A15"/>
    <w:rsid w:val="00AC636D"/>
    <w:rsid w:val="00AC67EA"/>
    <w:rsid w:val="00AC6D2F"/>
    <w:rsid w:val="00AD208D"/>
    <w:rsid w:val="00AD3274"/>
    <w:rsid w:val="00AD4F05"/>
    <w:rsid w:val="00AD642E"/>
    <w:rsid w:val="00AD7032"/>
    <w:rsid w:val="00AD731E"/>
    <w:rsid w:val="00AD74E1"/>
    <w:rsid w:val="00AD7840"/>
    <w:rsid w:val="00AE1FEA"/>
    <w:rsid w:val="00AE4F14"/>
    <w:rsid w:val="00AE502F"/>
    <w:rsid w:val="00AE6B50"/>
    <w:rsid w:val="00AE7FEF"/>
    <w:rsid w:val="00AF130A"/>
    <w:rsid w:val="00AF153B"/>
    <w:rsid w:val="00AF3C8D"/>
    <w:rsid w:val="00AF5C7B"/>
    <w:rsid w:val="00AF61DF"/>
    <w:rsid w:val="00AF7BBA"/>
    <w:rsid w:val="00B00F61"/>
    <w:rsid w:val="00B03174"/>
    <w:rsid w:val="00B050F5"/>
    <w:rsid w:val="00B0644A"/>
    <w:rsid w:val="00B10B73"/>
    <w:rsid w:val="00B11651"/>
    <w:rsid w:val="00B121D5"/>
    <w:rsid w:val="00B12400"/>
    <w:rsid w:val="00B12755"/>
    <w:rsid w:val="00B153E6"/>
    <w:rsid w:val="00B16B5D"/>
    <w:rsid w:val="00B21F13"/>
    <w:rsid w:val="00B237FB"/>
    <w:rsid w:val="00B23D47"/>
    <w:rsid w:val="00B24B1D"/>
    <w:rsid w:val="00B26C33"/>
    <w:rsid w:val="00B26F5B"/>
    <w:rsid w:val="00B274C5"/>
    <w:rsid w:val="00B277E0"/>
    <w:rsid w:val="00B278F3"/>
    <w:rsid w:val="00B27996"/>
    <w:rsid w:val="00B3206A"/>
    <w:rsid w:val="00B3330B"/>
    <w:rsid w:val="00B34946"/>
    <w:rsid w:val="00B371CC"/>
    <w:rsid w:val="00B376AE"/>
    <w:rsid w:val="00B40FC9"/>
    <w:rsid w:val="00B43A70"/>
    <w:rsid w:val="00B445E3"/>
    <w:rsid w:val="00B502A6"/>
    <w:rsid w:val="00B505F9"/>
    <w:rsid w:val="00B519FD"/>
    <w:rsid w:val="00B520BC"/>
    <w:rsid w:val="00B523A4"/>
    <w:rsid w:val="00B52709"/>
    <w:rsid w:val="00B5287A"/>
    <w:rsid w:val="00B539CC"/>
    <w:rsid w:val="00B5665E"/>
    <w:rsid w:val="00B57B75"/>
    <w:rsid w:val="00B63D24"/>
    <w:rsid w:val="00B64ECA"/>
    <w:rsid w:val="00B72DF5"/>
    <w:rsid w:val="00B73917"/>
    <w:rsid w:val="00B74219"/>
    <w:rsid w:val="00B74525"/>
    <w:rsid w:val="00B822C5"/>
    <w:rsid w:val="00B829CE"/>
    <w:rsid w:val="00B82C35"/>
    <w:rsid w:val="00B83AAB"/>
    <w:rsid w:val="00B83FF7"/>
    <w:rsid w:val="00B85048"/>
    <w:rsid w:val="00B85057"/>
    <w:rsid w:val="00B85F68"/>
    <w:rsid w:val="00B9187B"/>
    <w:rsid w:val="00B924E6"/>
    <w:rsid w:val="00B92FE0"/>
    <w:rsid w:val="00B93675"/>
    <w:rsid w:val="00B93F2A"/>
    <w:rsid w:val="00B95C41"/>
    <w:rsid w:val="00B97BF2"/>
    <w:rsid w:val="00BA0A7C"/>
    <w:rsid w:val="00BA23E3"/>
    <w:rsid w:val="00BA262D"/>
    <w:rsid w:val="00BA2FC5"/>
    <w:rsid w:val="00BA336B"/>
    <w:rsid w:val="00BA3532"/>
    <w:rsid w:val="00BA5698"/>
    <w:rsid w:val="00BA58A7"/>
    <w:rsid w:val="00BA7DAF"/>
    <w:rsid w:val="00BB0379"/>
    <w:rsid w:val="00BB3A8E"/>
    <w:rsid w:val="00BB4BD3"/>
    <w:rsid w:val="00BB54FC"/>
    <w:rsid w:val="00BB7DAF"/>
    <w:rsid w:val="00BB7E53"/>
    <w:rsid w:val="00BC09D1"/>
    <w:rsid w:val="00BC0DAB"/>
    <w:rsid w:val="00BC1F96"/>
    <w:rsid w:val="00BC27B9"/>
    <w:rsid w:val="00BC2E2D"/>
    <w:rsid w:val="00BC4971"/>
    <w:rsid w:val="00BC566F"/>
    <w:rsid w:val="00BC5E5F"/>
    <w:rsid w:val="00BC76FE"/>
    <w:rsid w:val="00BC79EB"/>
    <w:rsid w:val="00BD0A0F"/>
    <w:rsid w:val="00BD0CD1"/>
    <w:rsid w:val="00BD2FCB"/>
    <w:rsid w:val="00BD373E"/>
    <w:rsid w:val="00BD3EBF"/>
    <w:rsid w:val="00BD4E4D"/>
    <w:rsid w:val="00BD522B"/>
    <w:rsid w:val="00BD6B29"/>
    <w:rsid w:val="00BD7FCF"/>
    <w:rsid w:val="00BE0C04"/>
    <w:rsid w:val="00BE2772"/>
    <w:rsid w:val="00BE4C4D"/>
    <w:rsid w:val="00BE5622"/>
    <w:rsid w:val="00BE6AF4"/>
    <w:rsid w:val="00BF0D9F"/>
    <w:rsid w:val="00BF0E9E"/>
    <w:rsid w:val="00BF1233"/>
    <w:rsid w:val="00BF14FA"/>
    <w:rsid w:val="00BF1AB8"/>
    <w:rsid w:val="00BF1E12"/>
    <w:rsid w:val="00BF6406"/>
    <w:rsid w:val="00BF655A"/>
    <w:rsid w:val="00C01266"/>
    <w:rsid w:val="00C029BC"/>
    <w:rsid w:val="00C02D17"/>
    <w:rsid w:val="00C03FB4"/>
    <w:rsid w:val="00C046FD"/>
    <w:rsid w:val="00C050BD"/>
    <w:rsid w:val="00C064DC"/>
    <w:rsid w:val="00C1062C"/>
    <w:rsid w:val="00C10F24"/>
    <w:rsid w:val="00C132CA"/>
    <w:rsid w:val="00C149BD"/>
    <w:rsid w:val="00C159B9"/>
    <w:rsid w:val="00C162C3"/>
    <w:rsid w:val="00C16DF5"/>
    <w:rsid w:val="00C234A9"/>
    <w:rsid w:val="00C2447C"/>
    <w:rsid w:val="00C24DC0"/>
    <w:rsid w:val="00C25BDA"/>
    <w:rsid w:val="00C2621B"/>
    <w:rsid w:val="00C27D97"/>
    <w:rsid w:val="00C3151E"/>
    <w:rsid w:val="00C31FF5"/>
    <w:rsid w:val="00C322A4"/>
    <w:rsid w:val="00C33104"/>
    <w:rsid w:val="00C33144"/>
    <w:rsid w:val="00C332D4"/>
    <w:rsid w:val="00C335B6"/>
    <w:rsid w:val="00C3472B"/>
    <w:rsid w:val="00C353BC"/>
    <w:rsid w:val="00C35E27"/>
    <w:rsid w:val="00C4029D"/>
    <w:rsid w:val="00C4063A"/>
    <w:rsid w:val="00C411B4"/>
    <w:rsid w:val="00C418E8"/>
    <w:rsid w:val="00C41CF7"/>
    <w:rsid w:val="00C44AE3"/>
    <w:rsid w:val="00C471D1"/>
    <w:rsid w:val="00C47B14"/>
    <w:rsid w:val="00C51011"/>
    <w:rsid w:val="00C514F4"/>
    <w:rsid w:val="00C53B2B"/>
    <w:rsid w:val="00C54E12"/>
    <w:rsid w:val="00C5543D"/>
    <w:rsid w:val="00C560AC"/>
    <w:rsid w:val="00C566A6"/>
    <w:rsid w:val="00C5781C"/>
    <w:rsid w:val="00C60036"/>
    <w:rsid w:val="00C6005F"/>
    <w:rsid w:val="00C602D5"/>
    <w:rsid w:val="00C60343"/>
    <w:rsid w:val="00C60F5D"/>
    <w:rsid w:val="00C61EFA"/>
    <w:rsid w:val="00C62836"/>
    <w:rsid w:val="00C637E1"/>
    <w:rsid w:val="00C652BF"/>
    <w:rsid w:val="00C718E8"/>
    <w:rsid w:val="00C73801"/>
    <w:rsid w:val="00C7387B"/>
    <w:rsid w:val="00C742B7"/>
    <w:rsid w:val="00C75961"/>
    <w:rsid w:val="00C84753"/>
    <w:rsid w:val="00C854D4"/>
    <w:rsid w:val="00C867AB"/>
    <w:rsid w:val="00C90556"/>
    <w:rsid w:val="00C93DEE"/>
    <w:rsid w:val="00C9494A"/>
    <w:rsid w:val="00C9743B"/>
    <w:rsid w:val="00C974FE"/>
    <w:rsid w:val="00CA0D78"/>
    <w:rsid w:val="00CA166A"/>
    <w:rsid w:val="00CA32D1"/>
    <w:rsid w:val="00CA3AD0"/>
    <w:rsid w:val="00CA4855"/>
    <w:rsid w:val="00CA5D90"/>
    <w:rsid w:val="00CA5E56"/>
    <w:rsid w:val="00CA6861"/>
    <w:rsid w:val="00CA6CC8"/>
    <w:rsid w:val="00CA6EEB"/>
    <w:rsid w:val="00CB0027"/>
    <w:rsid w:val="00CB0696"/>
    <w:rsid w:val="00CB08D1"/>
    <w:rsid w:val="00CB24FE"/>
    <w:rsid w:val="00CB277A"/>
    <w:rsid w:val="00CB31A8"/>
    <w:rsid w:val="00CB3A1F"/>
    <w:rsid w:val="00CB66B0"/>
    <w:rsid w:val="00CC2AA0"/>
    <w:rsid w:val="00CC692A"/>
    <w:rsid w:val="00CD0A98"/>
    <w:rsid w:val="00CD3B3E"/>
    <w:rsid w:val="00CD3F94"/>
    <w:rsid w:val="00CD58FD"/>
    <w:rsid w:val="00CD7576"/>
    <w:rsid w:val="00CE1D22"/>
    <w:rsid w:val="00CE1D2F"/>
    <w:rsid w:val="00CE3A0B"/>
    <w:rsid w:val="00CE4078"/>
    <w:rsid w:val="00CE614F"/>
    <w:rsid w:val="00CE6AF7"/>
    <w:rsid w:val="00CE6FC4"/>
    <w:rsid w:val="00CF02CD"/>
    <w:rsid w:val="00CF15F3"/>
    <w:rsid w:val="00CF47FD"/>
    <w:rsid w:val="00CF4E33"/>
    <w:rsid w:val="00CF52CF"/>
    <w:rsid w:val="00CF66B5"/>
    <w:rsid w:val="00CF6858"/>
    <w:rsid w:val="00CF7AC3"/>
    <w:rsid w:val="00D01D3C"/>
    <w:rsid w:val="00D03307"/>
    <w:rsid w:val="00D06AC0"/>
    <w:rsid w:val="00D10505"/>
    <w:rsid w:val="00D107BA"/>
    <w:rsid w:val="00D10E28"/>
    <w:rsid w:val="00D1314B"/>
    <w:rsid w:val="00D13340"/>
    <w:rsid w:val="00D1345C"/>
    <w:rsid w:val="00D15C48"/>
    <w:rsid w:val="00D15E0D"/>
    <w:rsid w:val="00D16774"/>
    <w:rsid w:val="00D1784B"/>
    <w:rsid w:val="00D17E7C"/>
    <w:rsid w:val="00D20AA2"/>
    <w:rsid w:val="00D2357E"/>
    <w:rsid w:val="00D23F1C"/>
    <w:rsid w:val="00D25173"/>
    <w:rsid w:val="00D27F56"/>
    <w:rsid w:val="00D27FDA"/>
    <w:rsid w:val="00D33412"/>
    <w:rsid w:val="00D343FA"/>
    <w:rsid w:val="00D35E12"/>
    <w:rsid w:val="00D40E03"/>
    <w:rsid w:val="00D418FF"/>
    <w:rsid w:val="00D43245"/>
    <w:rsid w:val="00D50DA0"/>
    <w:rsid w:val="00D51805"/>
    <w:rsid w:val="00D525EA"/>
    <w:rsid w:val="00D53175"/>
    <w:rsid w:val="00D53B11"/>
    <w:rsid w:val="00D54071"/>
    <w:rsid w:val="00D54602"/>
    <w:rsid w:val="00D54B30"/>
    <w:rsid w:val="00D55886"/>
    <w:rsid w:val="00D5721A"/>
    <w:rsid w:val="00D60620"/>
    <w:rsid w:val="00D63E85"/>
    <w:rsid w:val="00D65C76"/>
    <w:rsid w:val="00D67E14"/>
    <w:rsid w:val="00D70547"/>
    <w:rsid w:val="00D71037"/>
    <w:rsid w:val="00D734C7"/>
    <w:rsid w:val="00D73AA6"/>
    <w:rsid w:val="00D743F1"/>
    <w:rsid w:val="00D7542B"/>
    <w:rsid w:val="00D8054E"/>
    <w:rsid w:val="00D8351F"/>
    <w:rsid w:val="00D92588"/>
    <w:rsid w:val="00D9622A"/>
    <w:rsid w:val="00D9727C"/>
    <w:rsid w:val="00D9732D"/>
    <w:rsid w:val="00D97AAB"/>
    <w:rsid w:val="00DA08E1"/>
    <w:rsid w:val="00DA1D32"/>
    <w:rsid w:val="00DA2664"/>
    <w:rsid w:val="00DA2F73"/>
    <w:rsid w:val="00DA31E1"/>
    <w:rsid w:val="00DA43B3"/>
    <w:rsid w:val="00DA6168"/>
    <w:rsid w:val="00DA7394"/>
    <w:rsid w:val="00DA7A55"/>
    <w:rsid w:val="00DB5641"/>
    <w:rsid w:val="00DC106E"/>
    <w:rsid w:val="00DC11C4"/>
    <w:rsid w:val="00DC149C"/>
    <w:rsid w:val="00DC307B"/>
    <w:rsid w:val="00DC343B"/>
    <w:rsid w:val="00DC462F"/>
    <w:rsid w:val="00DC499A"/>
    <w:rsid w:val="00DC4D7F"/>
    <w:rsid w:val="00DC536F"/>
    <w:rsid w:val="00DC5503"/>
    <w:rsid w:val="00DC5662"/>
    <w:rsid w:val="00DC615B"/>
    <w:rsid w:val="00DC6CAB"/>
    <w:rsid w:val="00DD3A94"/>
    <w:rsid w:val="00DD4AB0"/>
    <w:rsid w:val="00DD5B35"/>
    <w:rsid w:val="00DD5DC7"/>
    <w:rsid w:val="00DD604A"/>
    <w:rsid w:val="00DD6A21"/>
    <w:rsid w:val="00DE03C6"/>
    <w:rsid w:val="00DE165A"/>
    <w:rsid w:val="00DE18A7"/>
    <w:rsid w:val="00DE26EF"/>
    <w:rsid w:val="00DE2EFB"/>
    <w:rsid w:val="00DE5AA7"/>
    <w:rsid w:val="00DE60CA"/>
    <w:rsid w:val="00DE6AE5"/>
    <w:rsid w:val="00DE6C05"/>
    <w:rsid w:val="00DE7159"/>
    <w:rsid w:val="00DE7B54"/>
    <w:rsid w:val="00DF01B6"/>
    <w:rsid w:val="00DF079E"/>
    <w:rsid w:val="00DF1A68"/>
    <w:rsid w:val="00DF2370"/>
    <w:rsid w:val="00DF28F1"/>
    <w:rsid w:val="00DF44DC"/>
    <w:rsid w:val="00DF4AF2"/>
    <w:rsid w:val="00DF5C5D"/>
    <w:rsid w:val="00E021A9"/>
    <w:rsid w:val="00E02517"/>
    <w:rsid w:val="00E02820"/>
    <w:rsid w:val="00E0694C"/>
    <w:rsid w:val="00E06A86"/>
    <w:rsid w:val="00E06FDB"/>
    <w:rsid w:val="00E10959"/>
    <w:rsid w:val="00E11E71"/>
    <w:rsid w:val="00E122B2"/>
    <w:rsid w:val="00E1290D"/>
    <w:rsid w:val="00E14833"/>
    <w:rsid w:val="00E14BFD"/>
    <w:rsid w:val="00E152C5"/>
    <w:rsid w:val="00E1675F"/>
    <w:rsid w:val="00E16DDD"/>
    <w:rsid w:val="00E17AA4"/>
    <w:rsid w:val="00E17E34"/>
    <w:rsid w:val="00E20442"/>
    <w:rsid w:val="00E206B7"/>
    <w:rsid w:val="00E20E80"/>
    <w:rsid w:val="00E2235D"/>
    <w:rsid w:val="00E23DB3"/>
    <w:rsid w:val="00E24FA3"/>
    <w:rsid w:val="00E269FF"/>
    <w:rsid w:val="00E26B28"/>
    <w:rsid w:val="00E30B0B"/>
    <w:rsid w:val="00E3137E"/>
    <w:rsid w:val="00E31465"/>
    <w:rsid w:val="00E328CD"/>
    <w:rsid w:val="00E32D19"/>
    <w:rsid w:val="00E3489E"/>
    <w:rsid w:val="00E352DF"/>
    <w:rsid w:val="00E3546C"/>
    <w:rsid w:val="00E35847"/>
    <w:rsid w:val="00E362F0"/>
    <w:rsid w:val="00E36B95"/>
    <w:rsid w:val="00E374EF"/>
    <w:rsid w:val="00E4003F"/>
    <w:rsid w:val="00E40EFF"/>
    <w:rsid w:val="00E440CB"/>
    <w:rsid w:val="00E44115"/>
    <w:rsid w:val="00E4455B"/>
    <w:rsid w:val="00E458F6"/>
    <w:rsid w:val="00E45954"/>
    <w:rsid w:val="00E45A8C"/>
    <w:rsid w:val="00E46704"/>
    <w:rsid w:val="00E47E48"/>
    <w:rsid w:val="00E51664"/>
    <w:rsid w:val="00E51C0F"/>
    <w:rsid w:val="00E51E7B"/>
    <w:rsid w:val="00E53546"/>
    <w:rsid w:val="00E54C7E"/>
    <w:rsid w:val="00E55F24"/>
    <w:rsid w:val="00E565C8"/>
    <w:rsid w:val="00E577BC"/>
    <w:rsid w:val="00E578C4"/>
    <w:rsid w:val="00E60C48"/>
    <w:rsid w:val="00E60FB9"/>
    <w:rsid w:val="00E63295"/>
    <w:rsid w:val="00E6336D"/>
    <w:rsid w:val="00E65F25"/>
    <w:rsid w:val="00E74601"/>
    <w:rsid w:val="00E77384"/>
    <w:rsid w:val="00E77707"/>
    <w:rsid w:val="00E81B94"/>
    <w:rsid w:val="00E82D47"/>
    <w:rsid w:val="00E84AA0"/>
    <w:rsid w:val="00E84D5C"/>
    <w:rsid w:val="00E86605"/>
    <w:rsid w:val="00E906FD"/>
    <w:rsid w:val="00E90E12"/>
    <w:rsid w:val="00E92055"/>
    <w:rsid w:val="00E94C51"/>
    <w:rsid w:val="00EA1178"/>
    <w:rsid w:val="00EA18DF"/>
    <w:rsid w:val="00EA1929"/>
    <w:rsid w:val="00EA1E92"/>
    <w:rsid w:val="00EA2C1C"/>
    <w:rsid w:val="00EA3AE1"/>
    <w:rsid w:val="00EA44D9"/>
    <w:rsid w:val="00EA6D35"/>
    <w:rsid w:val="00EA6D7D"/>
    <w:rsid w:val="00EA7189"/>
    <w:rsid w:val="00EA7D91"/>
    <w:rsid w:val="00EB09D5"/>
    <w:rsid w:val="00EB0C38"/>
    <w:rsid w:val="00EB6A76"/>
    <w:rsid w:val="00EB7C0B"/>
    <w:rsid w:val="00EC0C71"/>
    <w:rsid w:val="00EC1D2C"/>
    <w:rsid w:val="00EC26E6"/>
    <w:rsid w:val="00EC4402"/>
    <w:rsid w:val="00ED2866"/>
    <w:rsid w:val="00ED3582"/>
    <w:rsid w:val="00ED4AC0"/>
    <w:rsid w:val="00ED4EC5"/>
    <w:rsid w:val="00ED6EDE"/>
    <w:rsid w:val="00EE27AB"/>
    <w:rsid w:val="00EE69C3"/>
    <w:rsid w:val="00EE6ED3"/>
    <w:rsid w:val="00EE6EDE"/>
    <w:rsid w:val="00EF1202"/>
    <w:rsid w:val="00EF155E"/>
    <w:rsid w:val="00EF2BB2"/>
    <w:rsid w:val="00EF489D"/>
    <w:rsid w:val="00EF5327"/>
    <w:rsid w:val="00EF5855"/>
    <w:rsid w:val="00EF7F55"/>
    <w:rsid w:val="00F01582"/>
    <w:rsid w:val="00F01634"/>
    <w:rsid w:val="00F04522"/>
    <w:rsid w:val="00F047DD"/>
    <w:rsid w:val="00F05879"/>
    <w:rsid w:val="00F062A9"/>
    <w:rsid w:val="00F074B7"/>
    <w:rsid w:val="00F0799D"/>
    <w:rsid w:val="00F107A0"/>
    <w:rsid w:val="00F127A8"/>
    <w:rsid w:val="00F13E4B"/>
    <w:rsid w:val="00F14C6D"/>
    <w:rsid w:val="00F16F1E"/>
    <w:rsid w:val="00F220A5"/>
    <w:rsid w:val="00F23926"/>
    <w:rsid w:val="00F23DA0"/>
    <w:rsid w:val="00F24489"/>
    <w:rsid w:val="00F30192"/>
    <w:rsid w:val="00F3229C"/>
    <w:rsid w:val="00F34362"/>
    <w:rsid w:val="00F34BC9"/>
    <w:rsid w:val="00F35D1D"/>
    <w:rsid w:val="00F40FDE"/>
    <w:rsid w:val="00F426F0"/>
    <w:rsid w:val="00F44443"/>
    <w:rsid w:val="00F45CF0"/>
    <w:rsid w:val="00F45FF2"/>
    <w:rsid w:val="00F47377"/>
    <w:rsid w:val="00F513AE"/>
    <w:rsid w:val="00F51ECD"/>
    <w:rsid w:val="00F61C67"/>
    <w:rsid w:val="00F627B8"/>
    <w:rsid w:val="00F63EBB"/>
    <w:rsid w:val="00F64A73"/>
    <w:rsid w:val="00F64AAB"/>
    <w:rsid w:val="00F64BF1"/>
    <w:rsid w:val="00F64C2C"/>
    <w:rsid w:val="00F668EB"/>
    <w:rsid w:val="00F72E6F"/>
    <w:rsid w:val="00F731F6"/>
    <w:rsid w:val="00F737A2"/>
    <w:rsid w:val="00F81458"/>
    <w:rsid w:val="00F82031"/>
    <w:rsid w:val="00F82AA1"/>
    <w:rsid w:val="00F8302E"/>
    <w:rsid w:val="00F83E6E"/>
    <w:rsid w:val="00F865D8"/>
    <w:rsid w:val="00F86DAB"/>
    <w:rsid w:val="00F959A8"/>
    <w:rsid w:val="00F967F4"/>
    <w:rsid w:val="00F96D7C"/>
    <w:rsid w:val="00F97613"/>
    <w:rsid w:val="00F978EB"/>
    <w:rsid w:val="00FA22A8"/>
    <w:rsid w:val="00FA41FF"/>
    <w:rsid w:val="00FA4916"/>
    <w:rsid w:val="00FA5AB9"/>
    <w:rsid w:val="00FA5F8A"/>
    <w:rsid w:val="00FA7CCD"/>
    <w:rsid w:val="00FA7E5C"/>
    <w:rsid w:val="00FB10D4"/>
    <w:rsid w:val="00FB11A7"/>
    <w:rsid w:val="00FB193D"/>
    <w:rsid w:val="00FB3422"/>
    <w:rsid w:val="00FB366A"/>
    <w:rsid w:val="00FB3C6F"/>
    <w:rsid w:val="00FB4293"/>
    <w:rsid w:val="00FB4EA2"/>
    <w:rsid w:val="00FB78A3"/>
    <w:rsid w:val="00FB7B16"/>
    <w:rsid w:val="00FB7F28"/>
    <w:rsid w:val="00FC0026"/>
    <w:rsid w:val="00FC2011"/>
    <w:rsid w:val="00FC2251"/>
    <w:rsid w:val="00FC2CCF"/>
    <w:rsid w:val="00FC7AA2"/>
    <w:rsid w:val="00FC7AA3"/>
    <w:rsid w:val="00FC7C82"/>
    <w:rsid w:val="00FD01B5"/>
    <w:rsid w:val="00FD0D65"/>
    <w:rsid w:val="00FD1B78"/>
    <w:rsid w:val="00FD3CBE"/>
    <w:rsid w:val="00FD496C"/>
    <w:rsid w:val="00FD5BF0"/>
    <w:rsid w:val="00FD6475"/>
    <w:rsid w:val="00FD72E9"/>
    <w:rsid w:val="00FE1CA1"/>
    <w:rsid w:val="00FF4330"/>
    <w:rsid w:val="00FF47B1"/>
    <w:rsid w:val="00FF4CA4"/>
    <w:rsid w:val="00FF5A9C"/>
    <w:rsid w:val="00FF624D"/>
    <w:rsid w:val="00FF68E4"/>
    <w:rsid w:val="00FF7322"/>
    <w:rsid w:val="0117CC5D"/>
    <w:rsid w:val="0163B672"/>
    <w:rsid w:val="01655540"/>
    <w:rsid w:val="019C8087"/>
    <w:rsid w:val="01F0716F"/>
    <w:rsid w:val="026DE977"/>
    <w:rsid w:val="026EEEC3"/>
    <w:rsid w:val="0289D878"/>
    <w:rsid w:val="02FCF71D"/>
    <w:rsid w:val="03595E5A"/>
    <w:rsid w:val="03F1C06B"/>
    <w:rsid w:val="042A8EF9"/>
    <w:rsid w:val="0489B6BB"/>
    <w:rsid w:val="049ACA54"/>
    <w:rsid w:val="04AA99CD"/>
    <w:rsid w:val="05825BB1"/>
    <w:rsid w:val="05DBE8E4"/>
    <w:rsid w:val="06F3D471"/>
    <w:rsid w:val="07A52537"/>
    <w:rsid w:val="07B400CB"/>
    <w:rsid w:val="07B6F7E2"/>
    <w:rsid w:val="08409649"/>
    <w:rsid w:val="085490ED"/>
    <w:rsid w:val="08FFD2DB"/>
    <w:rsid w:val="090958B4"/>
    <w:rsid w:val="091C654F"/>
    <w:rsid w:val="09C001EF"/>
    <w:rsid w:val="09EA15AC"/>
    <w:rsid w:val="0A31A6E9"/>
    <w:rsid w:val="0A621B10"/>
    <w:rsid w:val="0A6ADD1B"/>
    <w:rsid w:val="0ACEC87B"/>
    <w:rsid w:val="0AE29FF2"/>
    <w:rsid w:val="0AF4F373"/>
    <w:rsid w:val="0B3259CC"/>
    <w:rsid w:val="0B461346"/>
    <w:rsid w:val="0B6135AF"/>
    <w:rsid w:val="0B75BA42"/>
    <w:rsid w:val="0BF94A06"/>
    <w:rsid w:val="0C0B9A73"/>
    <w:rsid w:val="0C5C6A14"/>
    <w:rsid w:val="0CAB2E76"/>
    <w:rsid w:val="0CD2F4A2"/>
    <w:rsid w:val="0D6B890F"/>
    <w:rsid w:val="0D9BDFA7"/>
    <w:rsid w:val="0DCEA420"/>
    <w:rsid w:val="0E15393E"/>
    <w:rsid w:val="0E6EC503"/>
    <w:rsid w:val="0ED3DC27"/>
    <w:rsid w:val="0F219B05"/>
    <w:rsid w:val="0F51F0EE"/>
    <w:rsid w:val="0F76F076"/>
    <w:rsid w:val="0FBDB4CF"/>
    <w:rsid w:val="10431F61"/>
    <w:rsid w:val="109935D2"/>
    <w:rsid w:val="10AA90C8"/>
    <w:rsid w:val="112B62CF"/>
    <w:rsid w:val="11D6EAA3"/>
    <w:rsid w:val="11E176F0"/>
    <w:rsid w:val="11FC5ECC"/>
    <w:rsid w:val="1291C6DB"/>
    <w:rsid w:val="12F80583"/>
    <w:rsid w:val="131B51CF"/>
    <w:rsid w:val="1393D646"/>
    <w:rsid w:val="13C44DC6"/>
    <w:rsid w:val="14132767"/>
    <w:rsid w:val="14876B02"/>
    <w:rsid w:val="14B5EB08"/>
    <w:rsid w:val="14E75692"/>
    <w:rsid w:val="154D8F9F"/>
    <w:rsid w:val="157809FC"/>
    <w:rsid w:val="15FF4EC4"/>
    <w:rsid w:val="16243888"/>
    <w:rsid w:val="162AD4B6"/>
    <w:rsid w:val="176A302C"/>
    <w:rsid w:val="17744B41"/>
    <w:rsid w:val="1786C87D"/>
    <w:rsid w:val="1787D117"/>
    <w:rsid w:val="17F31427"/>
    <w:rsid w:val="187331BC"/>
    <w:rsid w:val="18BF7503"/>
    <w:rsid w:val="18E3580E"/>
    <w:rsid w:val="191F77C2"/>
    <w:rsid w:val="195829BD"/>
    <w:rsid w:val="19C2AE08"/>
    <w:rsid w:val="1A3CCCC9"/>
    <w:rsid w:val="1A41F5EC"/>
    <w:rsid w:val="1AF24555"/>
    <w:rsid w:val="1B0EEA33"/>
    <w:rsid w:val="1B9AC55B"/>
    <w:rsid w:val="1B9D0BE5"/>
    <w:rsid w:val="1BBCC24B"/>
    <w:rsid w:val="1C2DD6EE"/>
    <w:rsid w:val="1C332AEA"/>
    <w:rsid w:val="1C707D4F"/>
    <w:rsid w:val="1C8CCA20"/>
    <w:rsid w:val="1CFDE1A0"/>
    <w:rsid w:val="1D755B78"/>
    <w:rsid w:val="1DBDD69F"/>
    <w:rsid w:val="1E17EC8A"/>
    <w:rsid w:val="1E3C1275"/>
    <w:rsid w:val="1E3CBC91"/>
    <w:rsid w:val="1E490572"/>
    <w:rsid w:val="1E65C7AA"/>
    <w:rsid w:val="1E836305"/>
    <w:rsid w:val="1EC926F4"/>
    <w:rsid w:val="1EFFA525"/>
    <w:rsid w:val="1F119AF1"/>
    <w:rsid w:val="1F3A8DFF"/>
    <w:rsid w:val="1F616671"/>
    <w:rsid w:val="2052DFB8"/>
    <w:rsid w:val="21D89AB6"/>
    <w:rsid w:val="21E1D62D"/>
    <w:rsid w:val="224F12FE"/>
    <w:rsid w:val="2284B185"/>
    <w:rsid w:val="22AD31AB"/>
    <w:rsid w:val="22B7D466"/>
    <w:rsid w:val="232487AD"/>
    <w:rsid w:val="24F4A6E2"/>
    <w:rsid w:val="2505F7E4"/>
    <w:rsid w:val="253CC9BB"/>
    <w:rsid w:val="254CAA47"/>
    <w:rsid w:val="25D55727"/>
    <w:rsid w:val="25F4EEA3"/>
    <w:rsid w:val="266DD84C"/>
    <w:rsid w:val="267CBCA0"/>
    <w:rsid w:val="268F25D1"/>
    <w:rsid w:val="271A2CD0"/>
    <w:rsid w:val="275069CE"/>
    <w:rsid w:val="278E224A"/>
    <w:rsid w:val="27D8745B"/>
    <w:rsid w:val="28961CB9"/>
    <w:rsid w:val="28C908AC"/>
    <w:rsid w:val="28D4EC8A"/>
    <w:rsid w:val="28E3F676"/>
    <w:rsid w:val="292E3FA2"/>
    <w:rsid w:val="2A4E6224"/>
    <w:rsid w:val="2A6A0DF5"/>
    <w:rsid w:val="2ABFE23E"/>
    <w:rsid w:val="2B034B72"/>
    <w:rsid w:val="2B361ABF"/>
    <w:rsid w:val="2B476BC1"/>
    <w:rsid w:val="2B74C02E"/>
    <w:rsid w:val="2B92E2E2"/>
    <w:rsid w:val="2BE2BF6C"/>
    <w:rsid w:val="2BFF75C2"/>
    <w:rsid w:val="2C27E0B8"/>
    <w:rsid w:val="2CFC5564"/>
    <w:rsid w:val="2D801B8F"/>
    <w:rsid w:val="2DB18B3E"/>
    <w:rsid w:val="2DC2917D"/>
    <w:rsid w:val="2E4AF23F"/>
    <w:rsid w:val="2E80F56D"/>
    <w:rsid w:val="2FCC165C"/>
    <w:rsid w:val="30A35E69"/>
    <w:rsid w:val="30AA5C97"/>
    <w:rsid w:val="30C762F2"/>
    <w:rsid w:val="30FCBD39"/>
    <w:rsid w:val="31118484"/>
    <w:rsid w:val="326DED9C"/>
    <w:rsid w:val="3316600D"/>
    <w:rsid w:val="336327DC"/>
    <w:rsid w:val="3539512D"/>
    <w:rsid w:val="356F2854"/>
    <w:rsid w:val="358D6DB3"/>
    <w:rsid w:val="359F451A"/>
    <w:rsid w:val="35E9C01C"/>
    <w:rsid w:val="35FFC050"/>
    <w:rsid w:val="369909FB"/>
    <w:rsid w:val="36C57794"/>
    <w:rsid w:val="37193D64"/>
    <w:rsid w:val="37C4FE9D"/>
    <w:rsid w:val="380CC66C"/>
    <w:rsid w:val="38989D34"/>
    <w:rsid w:val="38BE7779"/>
    <w:rsid w:val="38D20E71"/>
    <w:rsid w:val="38EBDC35"/>
    <w:rsid w:val="397F5F0B"/>
    <w:rsid w:val="399A2F90"/>
    <w:rsid w:val="39EC5ECC"/>
    <w:rsid w:val="39F8F7C3"/>
    <w:rsid w:val="3A0318C3"/>
    <w:rsid w:val="3A958543"/>
    <w:rsid w:val="3ADFDD98"/>
    <w:rsid w:val="3B37D1C3"/>
    <w:rsid w:val="3BCD16C8"/>
    <w:rsid w:val="3CA24EAD"/>
    <w:rsid w:val="3CC1C888"/>
    <w:rsid w:val="3CF925ED"/>
    <w:rsid w:val="3E2D11F0"/>
    <w:rsid w:val="3E3C4E0E"/>
    <w:rsid w:val="3E623966"/>
    <w:rsid w:val="3EA8C2E3"/>
    <w:rsid w:val="3ECA490E"/>
    <w:rsid w:val="3F40602D"/>
    <w:rsid w:val="3F87000A"/>
    <w:rsid w:val="3FA0F289"/>
    <w:rsid w:val="3FAF9312"/>
    <w:rsid w:val="3FE74141"/>
    <w:rsid w:val="4007729E"/>
    <w:rsid w:val="40290890"/>
    <w:rsid w:val="41679977"/>
    <w:rsid w:val="41A81D0F"/>
    <w:rsid w:val="42833249"/>
    <w:rsid w:val="43A520E1"/>
    <w:rsid w:val="43CA647B"/>
    <w:rsid w:val="43E27318"/>
    <w:rsid w:val="4452282A"/>
    <w:rsid w:val="445D38AB"/>
    <w:rsid w:val="4510A26C"/>
    <w:rsid w:val="45A54D4D"/>
    <w:rsid w:val="45AE8F67"/>
    <w:rsid w:val="45C9A583"/>
    <w:rsid w:val="47358B83"/>
    <w:rsid w:val="48458400"/>
    <w:rsid w:val="485802F7"/>
    <w:rsid w:val="488DC2E0"/>
    <w:rsid w:val="494D3DA7"/>
    <w:rsid w:val="4966F009"/>
    <w:rsid w:val="4970378B"/>
    <w:rsid w:val="4B959062"/>
    <w:rsid w:val="4C396C58"/>
    <w:rsid w:val="4C4CFD5F"/>
    <w:rsid w:val="4CA7CD6F"/>
    <w:rsid w:val="4CCBB3EB"/>
    <w:rsid w:val="4CF61A2F"/>
    <w:rsid w:val="4D06471C"/>
    <w:rsid w:val="4D3CF331"/>
    <w:rsid w:val="4DC211BB"/>
    <w:rsid w:val="4DE15824"/>
    <w:rsid w:val="4E3AEE81"/>
    <w:rsid w:val="4E47EE21"/>
    <w:rsid w:val="4EFDB11F"/>
    <w:rsid w:val="4F1A8145"/>
    <w:rsid w:val="4F787DBA"/>
    <w:rsid w:val="502A1895"/>
    <w:rsid w:val="502B2EFC"/>
    <w:rsid w:val="5042190E"/>
    <w:rsid w:val="50657B2F"/>
    <w:rsid w:val="509365E2"/>
    <w:rsid w:val="509D5221"/>
    <w:rsid w:val="5154D3FE"/>
    <w:rsid w:val="51C6FF5D"/>
    <w:rsid w:val="51F41DA2"/>
    <w:rsid w:val="525C8EB4"/>
    <w:rsid w:val="5260AC65"/>
    <w:rsid w:val="5290B46F"/>
    <w:rsid w:val="52C861A2"/>
    <w:rsid w:val="53415CA7"/>
    <w:rsid w:val="537BEE9B"/>
    <w:rsid w:val="53B90184"/>
    <w:rsid w:val="53FCF798"/>
    <w:rsid w:val="545977BA"/>
    <w:rsid w:val="54BB6ADC"/>
    <w:rsid w:val="54EF8C3A"/>
    <w:rsid w:val="5512341A"/>
    <w:rsid w:val="551E3B35"/>
    <w:rsid w:val="5627FADB"/>
    <w:rsid w:val="5696EB82"/>
    <w:rsid w:val="56E61270"/>
    <w:rsid w:val="572F1EDF"/>
    <w:rsid w:val="5747A501"/>
    <w:rsid w:val="577747D7"/>
    <w:rsid w:val="578B5670"/>
    <w:rsid w:val="58763AE6"/>
    <w:rsid w:val="58D88443"/>
    <w:rsid w:val="58E50829"/>
    <w:rsid w:val="5926CD52"/>
    <w:rsid w:val="59543726"/>
    <w:rsid w:val="5979A519"/>
    <w:rsid w:val="598431A9"/>
    <w:rsid w:val="59E81271"/>
    <w:rsid w:val="5A1413D4"/>
    <w:rsid w:val="5A3E554A"/>
    <w:rsid w:val="5A4B89D6"/>
    <w:rsid w:val="5B251063"/>
    <w:rsid w:val="5BA33BEA"/>
    <w:rsid w:val="5BD2148C"/>
    <w:rsid w:val="5C5A20B6"/>
    <w:rsid w:val="5CA6C2C3"/>
    <w:rsid w:val="5CE0ABD5"/>
    <w:rsid w:val="5CEFE3D6"/>
    <w:rsid w:val="5D84A804"/>
    <w:rsid w:val="5DC48A1F"/>
    <w:rsid w:val="5DC815F4"/>
    <w:rsid w:val="5DD65855"/>
    <w:rsid w:val="5E2DA43F"/>
    <w:rsid w:val="5E45940B"/>
    <w:rsid w:val="5F59CE5F"/>
    <w:rsid w:val="5F8D16A0"/>
    <w:rsid w:val="5FFCA05A"/>
    <w:rsid w:val="601D6F31"/>
    <w:rsid w:val="6065C789"/>
    <w:rsid w:val="607FF0C1"/>
    <w:rsid w:val="60C4EE2B"/>
    <w:rsid w:val="60E5F7DC"/>
    <w:rsid w:val="61C7D255"/>
    <w:rsid w:val="62595D47"/>
    <w:rsid w:val="625B5680"/>
    <w:rsid w:val="6260BE8C"/>
    <w:rsid w:val="628A28C3"/>
    <w:rsid w:val="62CE883A"/>
    <w:rsid w:val="62FE045F"/>
    <w:rsid w:val="637BB153"/>
    <w:rsid w:val="6387CCBE"/>
    <w:rsid w:val="63DDF132"/>
    <w:rsid w:val="6408710C"/>
    <w:rsid w:val="642A9EDF"/>
    <w:rsid w:val="6452EEE5"/>
    <w:rsid w:val="649470ED"/>
    <w:rsid w:val="64F897DB"/>
    <w:rsid w:val="650BB306"/>
    <w:rsid w:val="654FE722"/>
    <w:rsid w:val="65A4416D"/>
    <w:rsid w:val="65AB529C"/>
    <w:rsid w:val="66A2D018"/>
    <w:rsid w:val="66DF25D4"/>
    <w:rsid w:val="66E32172"/>
    <w:rsid w:val="6701920A"/>
    <w:rsid w:val="67896FEE"/>
    <w:rsid w:val="679B9BAD"/>
    <w:rsid w:val="67D42F30"/>
    <w:rsid w:val="685429F8"/>
    <w:rsid w:val="685E65AE"/>
    <w:rsid w:val="69441459"/>
    <w:rsid w:val="698ED3BF"/>
    <w:rsid w:val="6A07EB67"/>
    <w:rsid w:val="6A3BEAED"/>
    <w:rsid w:val="6A894D52"/>
    <w:rsid w:val="6A96F678"/>
    <w:rsid w:val="6A9E85D0"/>
    <w:rsid w:val="6AE10AA2"/>
    <w:rsid w:val="6B3277DB"/>
    <w:rsid w:val="6B3B4123"/>
    <w:rsid w:val="6B3EA51B"/>
    <w:rsid w:val="6B927CEF"/>
    <w:rsid w:val="6BA5D77F"/>
    <w:rsid w:val="6BFA5A94"/>
    <w:rsid w:val="6C035F01"/>
    <w:rsid w:val="6C8C8AEF"/>
    <w:rsid w:val="6D56778E"/>
    <w:rsid w:val="6D73F92B"/>
    <w:rsid w:val="6D7F96A0"/>
    <w:rsid w:val="6DAA34C6"/>
    <w:rsid w:val="6E2A1B3D"/>
    <w:rsid w:val="6E39BDC1"/>
    <w:rsid w:val="6EB44DD2"/>
    <w:rsid w:val="6F6526CD"/>
    <w:rsid w:val="6F9A2D80"/>
    <w:rsid w:val="6FBA791A"/>
    <w:rsid w:val="6FF2C7BE"/>
    <w:rsid w:val="70030676"/>
    <w:rsid w:val="70447CC7"/>
    <w:rsid w:val="707359FE"/>
    <w:rsid w:val="70D024DB"/>
    <w:rsid w:val="70E0357E"/>
    <w:rsid w:val="70F2F6EC"/>
    <w:rsid w:val="711729D7"/>
    <w:rsid w:val="71279BFF"/>
    <w:rsid w:val="71AFDFD8"/>
    <w:rsid w:val="71D73412"/>
    <w:rsid w:val="71E2BB7C"/>
    <w:rsid w:val="72306307"/>
    <w:rsid w:val="72D59D6E"/>
    <w:rsid w:val="749EFCDB"/>
    <w:rsid w:val="74E5C569"/>
    <w:rsid w:val="75208C35"/>
    <w:rsid w:val="7588595C"/>
    <w:rsid w:val="75E72133"/>
    <w:rsid w:val="7612F021"/>
    <w:rsid w:val="762EBC8D"/>
    <w:rsid w:val="7653B671"/>
    <w:rsid w:val="765FFF95"/>
    <w:rsid w:val="7682EB59"/>
    <w:rsid w:val="76960D53"/>
    <w:rsid w:val="76F598A4"/>
    <w:rsid w:val="77289C81"/>
    <w:rsid w:val="776B7F2D"/>
    <w:rsid w:val="78243072"/>
    <w:rsid w:val="78668067"/>
    <w:rsid w:val="78748D95"/>
    <w:rsid w:val="78CDF09F"/>
    <w:rsid w:val="78DABBEE"/>
    <w:rsid w:val="7907108F"/>
    <w:rsid w:val="79577A58"/>
    <w:rsid w:val="7AE235C1"/>
    <w:rsid w:val="7B09DDA9"/>
    <w:rsid w:val="7B5DE5AE"/>
    <w:rsid w:val="7B794264"/>
    <w:rsid w:val="7B8F3641"/>
    <w:rsid w:val="7BBBB541"/>
    <w:rsid w:val="7C4E42BC"/>
    <w:rsid w:val="7C6B10DA"/>
    <w:rsid w:val="7C84E7D4"/>
    <w:rsid w:val="7CF06099"/>
    <w:rsid w:val="7D7DB989"/>
    <w:rsid w:val="7D9DD1B3"/>
    <w:rsid w:val="7E8CD727"/>
    <w:rsid w:val="7F96110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D75A87"/>
  <w15:chartTrackingRefBased/>
  <w15:docId w15:val="{041B850E-74AA-467B-8BE9-59A8620EBF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toc 1" w:locked="0" w:uiPriority="39"/>
    <w:lsdException w:name="toc 2" w:locked="0" w:uiPriority="39"/>
    <w:lsdException w:name="toc 3" w:locked="0" w:uiPriority="39"/>
    <w:lsdException w:name="toc 4" w:locked="0"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locked="0" w:qFormat="1"/>
    <w:lsdException w:name="footer" w:locked="0" w:uiPriority="99"/>
    <w:lsdException w:name="caption" w:semiHidden="1" w:unhideWhenUsed="1" w:qFormat="1"/>
    <w:lsdException w:name="footnote reference" w:uiPriority="99" w:qFormat="1"/>
    <w:lsdException w:name="annotation reference" w:uiPriority="99"/>
    <w:lsdException w:name="endnote reference" w:locked="0" w:qFormat="1"/>
    <w:lsdException w:name="endnote text" w:locked="0" w:qFormat="1"/>
    <w:lsdException w:name="List Bullet" w:qFormat="1"/>
    <w:lsdException w:name="List Number" w:qFormat="1"/>
    <w:lsdException w:name="Default Paragraph Font" w:locked="0"/>
    <w:lsdException w:name="List Continue 4" w:locked="0"/>
    <w:lsdException w:name="Hyperlink" w:locked="0" w:uiPriority="99"/>
    <w:lsdException w:name="Strong" w:locked="0" w:qFormat="1"/>
    <w:lsdException w:name="HTML Top of Form" w:locked="0"/>
    <w:lsdException w:name="HTML Bottom of Form" w:locked="0"/>
    <w:lsdException w:name="HTML Keyboard"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uiPriority="99"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uiPriority="99"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uiPriority="37" w:semiHidden="1" w:unhideWhenUsed="1"/>
    <w:lsdException w:name="TOC Heading" w:locked="0" w:uiPriority="39" w:semiHidden="1"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uiPriority="99" w:semiHidden="1" w:unhideWhenUsed="1"/>
    <w:lsdException w:name="Smart Hyperlink" w:locked="0" w:uiPriority="99" w:semiHidden="1" w:unhideWhenUsed="1"/>
    <w:lsdException w:name="Hashtag" w:locked="0" w:uiPriority="99" w:semiHidden="1" w:unhideWhenUsed="1"/>
    <w:lsdException w:name="Unresolved Mention" w:locked="0" w:uiPriority="99" w:semiHidden="1" w:unhideWhenUsed="1"/>
    <w:lsdException w:name="Smart Link" w:locked="0" w:uiPriority="99" w:semiHidden="1" w:unhideWhenUsed="1"/>
  </w:latentStyles>
  <w:style w:type="paragraph" w:styleId="Normal" w:default="1">
    <w:name w:val="Normal"/>
    <w:aliases w:val="AHRC plain text"/>
    <w:qFormat/>
    <w:rsid w:val="00E53546"/>
    <w:pPr>
      <w:spacing w:before="240" w:after="240"/>
    </w:pPr>
    <w:rPr>
      <w:rFonts w:ascii="Open Sans" w:hAnsi="Open Sans" w:eastAsia="MS Mincho"/>
      <w:sz w:val="24"/>
      <w:szCs w:val="24"/>
    </w:rPr>
  </w:style>
  <w:style w:type="paragraph" w:styleId="Heading1">
    <w:name w:val="heading 1"/>
    <w:basedOn w:val="Normal"/>
    <w:next w:val="Normal"/>
    <w:link w:val="Heading1Char"/>
    <w:qFormat/>
    <w:rsid w:val="005C2ECF"/>
    <w:pPr>
      <w:keepNext/>
      <w:keepLines/>
      <w:numPr>
        <w:numId w:val="58"/>
      </w:numPr>
      <w:spacing w:before="360"/>
      <w:outlineLvl w:val="0"/>
    </w:pPr>
    <w:rPr>
      <w:b/>
      <w:bCs/>
      <w:sz w:val="36"/>
      <w:szCs w:val="28"/>
    </w:rPr>
  </w:style>
  <w:style w:type="paragraph" w:styleId="Heading2">
    <w:name w:val="heading 2"/>
    <w:basedOn w:val="Heading1"/>
    <w:next w:val="Normal"/>
    <w:link w:val="Heading2Char"/>
    <w:qFormat/>
    <w:rsid w:val="00BA23E3"/>
    <w:pPr>
      <w:numPr>
        <w:ilvl w:val="1"/>
      </w:numPr>
      <w:outlineLvl w:val="1"/>
    </w:pPr>
    <w:rPr>
      <w:bCs w:val="0"/>
      <w:sz w:val="32"/>
      <w:szCs w:val="26"/>
    </w:rPr>
  </w:style>
  <w:style w:type="paragraph" w:styleId="Heading3">
    <w:name w:val="heading 3"/>
    <w:basedOn w:val="Heading2"/>
    <w:next w:val="Normal"/>
    <w:link w:val="Heading3Char"/>
    <w:qFormat/>
    <w:rsid w:val="008007A8"/>
    <w:pPr>
      <w:numPr>
        <w:ilvl w:val="2"/>
      </w:numPr>
      <w:outlineLvl w:val="2"/>
    </w:pPr>
    <w:rPr>
      <w:b w:val="0"/>
      <w:bCs/>
      <w:sz w:val="24"/>
    </w:rPr>
  </w:style>
  <w:style w:type="paragraph" w:styleId="Heading4">
    <w:name w:val="heading 4"/>
    <w:basedOn w:val="Heading3"/>
    <w:next w:val="Normal"/>
    <w:link w:val="Heading4Char"/>
    <w:qFormat/>
    <w:locked/>
    <w:rsid w:val="008007A8"/>
    <w:pPr>
      <w:numPr>
        <w:ilvl w:val="3"/>
      </w:numPr>
      <w:outlineLvl w:val="3"/>
    </w:pPr>
    <w:rPr>
      <w:bCs w:val="0"/>
      <w:i/>
      <w:iCs/>
    </w:rPr>
  </w:style>
  <w:style w:type="paragraph" w:styleId="Heading5">
    <w:name w:val="heading 5"/>
    <w:basedOn w:val="Normal"/>
    <w:next w:val="Normal"/>
    <w:link w:val="Heading5Char"/>
    <w:qFormat/>
    <w:locked/>
    <w:rsid w:val="005C2ECF"/>
    <w:pPr>
      <w:keepNext/>
      <w:keepLines/>
      <w:numPr>
        <w:ilvl w:val="4"/>
        <w:numId w:val="58"/>
      </w:numPr>
      <w:spacing w:before="200"/>
      <w:outlineLvl w:val="4"/>
    </w:pPr>
  </w:style>
  <w:style w:type="paragraph" w:styleId="Heading6">
    <w:name w:val="heading 6"/>
    <w:basedOn w:val="Normal"/>
    <w:next w:val="Normal"/>
    <w:link w:val="Heading6Char"/>
    <w:qFormat/>
    <w:locked/>
    <w:rsid w:val="005C2ECF"/>
    <w:pPr>
      <w:keepNext/>
      <w:keepLines/>
      <w:numPr>
        <w:ilvl w:val="5"/>
        <w:numId w:val="58"/>
      </w:numPr>
      <w:spacing w:before="200"/>
      <w:outlineLvl w:val="5"/>
    </w:pPr>
    <w:rPr>
      <w:i/>
      <w:iCs/>
    </w:rPr>
  </w:style>
  <w:style w:type="paragraph" w:styleId="Heading7">
    <w:name w:val="heading 7"/>
    <w:basedOn w:val="Normal"/>
    <w:next w:val="Normal"/>
    <w:link w:val="Heading7Char"/>
    <w:qFormat/>
    <w:locked/>
    <w:rsid w:val="005C2ECF"/>
    <w:pPr>
      <w:keepNext/>
      <w:keepLines/>
      <w:numPr>
        <w:ilvl w:val="6"/>
        <w:numId w:val="58"/>
      </w:numPr>
      <w:spacing w:before="200"/>
      <w:outlineLvl w:val="6"/>
    </w:pPr>
    <w:rPr>
      <w:i/>
      <w:iCs/>
    </w:rPr>
  </w:style>
  <w:style w:type="paragraph" w:styleId="Heading8">
    <w:name w:val="heading 8"/>
    <w:basedOn w:val="Normal"/>
    <w:next w:val="Normal"/>
    <w:link w:val="Heading8Char"/>
    <w:qFormat/>
    <w:locked/>
    <w:rsid w:val="005C2ECF"/>
    <w:pPr>
      <w:keepNext/>
      <w:keepLines/>
      <w:numPr>
        <w:ilvl w:val="7"/>
        <w:numId w:val="58"/>
      </w:numPr>
      <w:spacing w:before="200"/>
      <w:outlineLvl w:val="7"/>
    </w:pPr>
    <w:rPr>
      <w:sz w:val="20"/>
      <w:szCs w:val="20"/>
    </w:rPr>
  </w:style>
  <w:style w:type="paragraph" w:styleId="Heading9">
    <w:name w:val="heading 9"/>
    <w:basedOn w:val="Normal"/>
    <w:next w:val="Normal"/>
    <w:link w:val="Heading9Char"/>
    <w:qFormat/>
    <w:locked/>
    <w:rsid w:val="005C2ECF"/>
    <w:pPr>
      <w:keepNext/>
      <w:keepLines/>
      <w:numPr>
        <w:ilvl w:val="8"/>
        <w:numId w:val="58"/>
      </w:numPr>
      <w:spacing w:before="200"/>
      <w:outlineLvl w:val="8"/>
    </w:pPr>
    <w:rPr>
      <w:i/>
      <w:i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5C2ECF"/>
    <w:rPr>
      <w:rFonts w:ascii="Open Sans" w:hAnsi="Open Sans" w:eastAsia="MS Mincho"/>
      <w:b/>
      <w:bCs/>
      <w:sz w:val="36"/>
      <w:szCs w:val="28"/>
    </w:rPr>
  </w:style>
  <w:style w:type="character" w:styleId="Heading2Char" w:customStyle="1">
    <w:name w:val="Heading 2 Char"/>
    <w:link w:val="Heading2"/>
    <w:rsid w:val="00BA23E3"/>
    <w:rPr>
      <w:rFonts w:ascii="Open Sans" w:hAnsi="Open Sans" w:eastAsia="MS Mincho"/>
      <w:b/>
      <w:sz w:val="32"/>
      <w:szCs w:val="26"/>
    </w:rPr>
  </w:style>
  <w:style w:type="character" w:styleId="Heading3Char" w:customStyle="1">
    <w:name w:val="Heading 3 Char"/>
    <w:link w:val="Heading3"/>
    <w:rsid w:val="008007A8"/>
    <w:rPr>
      <w:rFonts w:ascii="Open Sans" w:hAnsi="Open Sans" w:eastAsia="MS Mincho"/>
      <w:bCs/>
      <w:sz w:val="24"/>
      <w:szCs w:val="26"/>
    </w:rPr>
  </w:style>
  <w:style w:type="character" w:styleId="Heading4Char" w:customStyle="1">
    <w:name w:val="Heading 4 Char"/>
    <w:link w:val="Heading4"/>
    <w:rsid w:val="008007A8"/>
    <w:rPr>
      <w:rFonts w:ascii="Open Sans" w:hAnsi="Open Sans" w:eastAsia="MS Mincho"/>
      <w:i/>
      <w:iCs/>
      <w:sz w:val="24"/>
      <w:szCs w:val="26"/>
    </w:rPr>
  </w:style>
  <w:style w:type="character" w:styleId="Strong">
    <w:name w:val="Strong"/>
    <w:qFormat/>
    <w:locked/>
    <w:rsid w:val="00471BB7"/>
    <w:rPr>
      <w:rFonts w:ascii="Open Sans" w:hAnsi="Open Sans"/>
      <w:b/>
      <w:bCs/>
    </w:rPr>
  </w:style>
  <w:style w:type="character" w:styleId="Heading5Char" w:customStyle="1">
    <w:name w:val="Heading 5 Char"/>
    <w:link w:val="Heading5"/>
    <w:rsid w:val="005C2ECF"/>
    <w:rPr>
      <w:rFonts w:ascii="Open Sans" w:hAnsi="Open Sans" w:eastAsia="MS Mincho"/>
      <w:sz w:val="24"/>
      <w:szCs w:val="24"/>
    </w:rPr>
  </w:style>
  <w:style w:type="character" w:styleId="Heading6Char" w:customStyle="1">
    <w:name w:val="Heading 6 Char"/>
    <w:link w:val="Heading6"/>
    <w:rsid w:val="005C2ECF"/>
    <w:rPr>
      <w:rFonts w:ascii="Open Sans" w:hAnsi="Open Sans" w:eastAsia="MS Mincho"/>
      <w:i/>
      <w:iCs/>
      <w:sz w:val="24"/>
      <w:szCs w:val="24"/>
    </w:rPr>
  </w:style>
  <w:style w:type="character" w:styleId="Heading7Char" w:customStyle="1">
    <w:name w:val="Heading 7 Char"/>
    <w:link w:val="Heading7"/>
    <w:rsid w:val="005C2ECF"/>
    <w:rPr>
      <w:rFonts w:ascii="Open Sans" w:hAnsi="Open Sans" w:eastAsia="MS Mincho"/>
      <w:i/>
      <w:iCs/>
      <w:sz w:val="24"/>
      <w:szCs w:val="24"/>
    </w:rPr>
  </w:style>
  <w:style w:type="character" w:styleId="Heading8Char" w:customStyle="1">
    <w:name w:val="Heading 8 Char"/>
    <w:link w:val="Heading8"/>
    <w:rsid w:val="005C2ECF"/>
    <w:rPr>
      <w:rFonts w:ascii="Open Sans" w:hAnsi="Open Sans" w:eastAsia="MS Mincho"/>
    </w:rPr>
  </w:style>
  <w:style w:type="character" w:styleId="Heading9Char" w:customStyle="1">
    <w:name w:val="Heading 9 Char"/>
    <w:link w:val="Heading9"/>
    <w:rsid w:val="005C2ECF"/>
    <w:rPr>
      <w:rFonts w:ascii="Open Sans" w:hAnsi="Open Sans" w:eastAsia="MS Mincho"/>
      <w:i/>
      <w:iCs/>
    </w:rPr>
  </w:style>
  <w:style w:type="paragraph" w:styleId="Header">
    <w:name w:val="header"/>
    <w:basedOn w:val="Normal"/>
    <w:link w:val="HeaderChar"/>
    <w:qFormat/>
    <w:rsid w:val="00902EC3"/>
    <w:pPr>
      <w:tabs>
        <w:tab w:val="center" w:pos="4513"/>
        <w:tab w:val="right" w:pos="9026"/>
      </w:tabs>
      <w:spacing w:after="0"/>
      <w:jc w:val="right"/>
    </w:pPr>
    <w:rPr>
      <w:sz w:val="18"/>
    </w:rPr>
  </w:style>
  <w:style w:type="character" w:styleId="HeaderChar" w:customStyle="1">
    <w:name w:val="Header Char"/>
    <w:link w:val="Header"/>
    <w:rsid w:val="00902EC3"/>
    <w:rPr>
      <w:rFonts w:ascii="Open Sans" w:hAnsi="Open Sans" w:eastAsia="MS Mincho"/>
      <w:sz w:val="18"/>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styleId="FooterChar" w:customStyle="1">
    <w:name w:val="Footer Char"/>
    <w:link w:val="Footer"/>
    <w:uiPriority w:val="99"/>
    <w:rsid w:val="0063009F"/>
    <w:rPr>
      <w:rFonts w:ascii="Open Sans" w:hAnsi="Open Sans" w:eastAsia="MS Mincho"/>
      <w:sz w:val="18"/>
      <w:szCs w:val="24"/>
    </w:rPr>
  </w:style>
  <w:style w:type="paragraph" w:styleId="TOC3">
    <w:name w:val="toc 3"/>
    <w:basedOn w:val="Normal"/>
    <w:next w:val="Normal"/>
    <w:uiPriority w:val="39"/>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uiPriority w:val="39"/>
    <w:rsid w:val="000B5B68"/>
    <w:pPr>
      <w:tabs>
        <w:tab w:val="right" w:leader="dot" w:pos="9060"/>
      </w:tabs>
      <w:spacing w:after="0"/>
      <w:ind w:left="720" w:hanging="720"/>
    </w:pPr>
    <w:rPr>
      <w:b/>
      <w:noProof/>
    </w:rPr>
  </w:style>
  <w:style w:type="paragraph" w:styleId="TOC2">
    <w:name w:val="toc 2"/>
    <w:basedOn w:val="Normal"/>
    <w:next w:val="Normal"/>
    <w:uiPriority w:val="39"/>
    <w:locked/>
    <w:rsid w:val="00A92F92"/>
    <w:pPr>
      <w:tabs>
        <w:tab w:val="right" w:leader="dot" w:pos="9060"/>
      </w:tabs>
      <w:spacing w:before="0" w:after="0"/>
      <w:ind w:left="958" w:hanging="720"/>
    </w:pPr>
    <w:rPr>
      <w:b/>
      <w:i/>
      <w:noProof/>
    </w:rPr>
  </w:style>
  <w:style w:type="paragraph" w:styleId="TOC4">
    <w:name w:val="toc 4"/>
    <w:basedOn w:val="Normal"/>
    <w:next w:val="Normal"/>
    <w:uiPriority w:val="39"/>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qFormat/>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styleId="EndnoteTextChar1" w:customStyle="1">
    <w:name w:val="Endnote Text Char1"/>
    <w:link w:val="EndnoteText"/>
    <w:rsid w:val="00E55F24"/>
    <w:rPr>
      <w:rFonts w:ascii="Open Sans" w:hAnsi="Open Sans" w:eastAsia="MS Mincho"/>
    </w:rPr>
  </w:style>
  <w:style w:type="character" w:styleId="EndnoteReference">
    <w:name w:val="endnote reference"/>
    <w:qFormat/>
    <w:rsid w:val="00045C4B"/>
    <w:rPr>
      <w:rFonts w:ascii="Open Sans" w:hAnsi="Open Sans"/>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rsid w:val="00045C4B"/>
    <w:pPr>
      <w:spacing w:after="120"/>
      <w:ind w:left="1440" w:right="1440"/>
    </w:pPr>
  </w:style>
  <w:style w:type="paragraph" w:styleId="BodyText">
    <w:name w:val="Body Text"/>
    <w:basedOn w:val="Normal"/>
    <w:link w:val="BodyTextChar"/>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rsid w:val="00045C4B"/>
    <w:rPr>
      <w:rFonts w:ascii="Open Sans" w:hAnsi="Open Sans"/>
      <w:i w:val="0"/>
      <w:iCs/>
    </w:rPr>
  </w:style>
  <w:style w:type="paragraph" w:styleId="EnvelopeAddress">
    <w:name w:val="envelope address"/>
    <w:basedOn w:val="Normal"/>
    <w:semiHidden/>
    <w:rsid w:val="00045C4B"/>
    <w:pPr>
      <w:framePr w:w="7920" w:h="1980" w:hSpace="180" w:wrap="auto" w:hAnchor="page" w:xAlign="center" w:yAlign="bottom" w:hRule="exact"/>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2C5943"/>
    <w:pPr>
      <w:numPr>
        <w:numId w:val="1"/>
      </w:numPr>
      <w:ind w:left="1094" w:hanging="737"/>
    </w:pPr>
  </w:style>
  <w:style w:type="paragraph" w:styleId="ListBullet2">
    <w:name w:val="List Bullet 2"/>
    <w:basedOn w:val="Normal"/>
    <w:semiHidden/>
    <w:locked/>
    <w:rsid w:val="005C2ECF"/>
    <w:pPr>
      <w:numPr>
        <w:numId w:val="2"/>
      </w:numPr>
    </w:pPr>
  </w:style>
  <w:style w:type="paragraph" w:styleId="ListBullet3">
    <w:name w:val="List Bullet 3"/>
    <w:basedOn w:val="Normal"/>
    <w:semiHidden/>
    <w:locked/>
    <w:rsid w:val="005C2ECF"/>
    <w:pPr>
      <w:numPr>
        <w:numId w:val="3"/>
      </w:numPr>
    </w:pPr>
  </w:style>
  <w:style w:type="paragraph" w:styleId="ListBullet4">
    <w:name w:val="List Bullet 4"/>
    <w:basedOn w:val="Normal"/>
    <w:semiHidden/>
    <w:locked/>
    <w:rsid w:val="005C2ECF"/>
    <w:pPr>
      <w:numPr>
        <w:numId w:val="4"/>
      </w:numPr>
    </w:pPr>
  </w:style>
  <w:style w:type="paragraph" w:styleId="ListBullet5">
    <w:name w:val="List Bullet 5"/>
    <w:basedOn w:val="Normal"/>
    <w:semiHidden/>
    <w:locked/>
    <w:rsid w:val="005C2ECF"/>
    <w:pPr>
      <w:numPr>
        <w:numId w:val="5"/>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2C5943"/>
    <w:pPr>
      <w:numPr>
        <w:numId w:val="6"/>
      </w:numPr>
      <w:tabs>
        <w:tab w:val="clear" w:pos="360"/>
        <w:tab w:val="left" w:pos="1134"/>
      </w:tabs>
      <w:spacing w:before="120" w:after="120"/>
      <w:ind w:left="1094" w:hanging="737"/>
      <w:contextualSpacing/>
    </w:pPr>
  </w:style>
  <w:style w:type="paragraph" w:styleId="ListNumber2">
    <w:name w:val="List Number 2"/>
    <w:basedOn w:val="Normal"/>
    <w:semiHidden/>
    <w:locked/>
    <w:rsid w:val="005C2ECF"/>
    <w:pPr>
      <w:numPr>
        <w:numId w:val="9"/>
      </w:numPr>
    </w:pPr>
  </w:style>
  <w:style w:type="paragraph" w:styleId="ListNumber3">
    <w:name w:val="List Number 3"/>
    <w:basedOn w:val="Normal"/>
    <w:semiHidden/>
    <w:locked/>
    <w:rsid w:val="005C2ECF"/>
    <w:pPr>
      <w:numPr>
        <w:numId w:val="10"/>
      </w:numPr>
    </w:pPr>
  </w:style>
  <w:style w:type="paragraph" w:styleId="ListNumber4">
    <w:name w:val="List Number 4"/>
    <w:basedOn w:val="Normal"/>
    <w:semiHidden/>
    <w:locked/>
    <w:rsid w:val="005C2ECF"/>
    <w:pPr>
      <w:numPr>
        <w:numId w:val="7"/>
      </w:numPr>
    </w:pPr>
  </w:style>
  <w:style w:type="paragraph" w:styleId="ListNumber5">
    <w:name w:val="List Number 5"/>
    <w:basedOn w:val="Normal"/>
    <w:semiHidden/>
    <w:locked/>
    <w:rsid w:val="005C2ECF"/>
    <w:pPr>
      <w:numPr>
        <w:numId w:val="8"/>
      </w:numPr>
    </w:pPr>
  </w:style>
  <w:style w:type="paragraph" w:styleId="MessageHeader">
    <w:name w:val="Message Header"/>
    <w:basedOn w:val="Normal"/>
    <w:semiHidden/>
    <w:locked/>
    <w:rsid w:val="005C2ECF"/>
    <w:pPr>
      <w:pBdr>
        <w:top w:val="single" w:color="auto" w:sz="6" w:space="1"/>
        <w:left w:val="single" w:color="auto" w:sz="6" w:space="1"/>
        <w:bottom w:val="single" w:color="auto" w:sz="6" w:space="1"/>
        <w:right w:val="single" w:color="auto" w:sz="6" w:space="1"/>
      </w:pBdr>
      <w:shd w:val="pct20" w:color="auto" w:fill="auto"/>
      <w:ind w:left="1134" w:hanging="1134"/>
    </w:pPr>
    <w:rPr>
      <w:rFonts w:cs="Arial"/>
    </w:rPr>
  </w:style>
  <w:style w:type="paragraph" w:styleId="NormalWeb">
    <w:name w:val="Normal (Web)"/>
    <w:basedOn w:val="Normal"/>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locked/>
    <w:rsid w:val="00E45954"/>
    <w:pPr>
      <w:spacing w:after="240"/>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locked/>
    <w:rsid w:val="00E45954"/>
    <w:pPr>
      <w:spacing w:after="240"/>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locked/>
    <w:rsid w:val="00E45954"/>
    <w:pPr>
      <w:spacing w:after="240"/>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locked/>
    <w:rsid w:val="00E45954"/>
    <w:pPr>
      <w:spacing w:after="240"/>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urful1">
    <w:name w:val="Table Colorful 1"/>
    <w:basedOn w:val="TableNormal"/>
    <w:semiHidden/>
    <w:locked/>
    <w:rsid w:val="00E45954"/>
    <w:pPr>
      <w:spacing w:after="240"/>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urful2">
    <w:name w:val="Table Colorful 2"/>
    <w:basedOn w:val="TableNormal"/>
    <w:semiHidden/>
    <w:locked/>
    <w:rsid w:val="00E45954"/>
    <w:pPr>
      <w:spacing w:after="240"/>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urful3">
    <w:name w:val="Table Colorful 3"/>
    <w:basedOn w:val="TableNormal"/>
    <w:semiHidden/>
    <w:locked/>
    <w:rsid w:val="00E45954"/>
    <w:pPr>
      <w:spacing w:after="240"/>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locked/>
    <w:rsid w:val="00E45954"/>
    <w:pPr>
      <w:spacing w:after="240"/>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locked/>
    <w:rsid w:val="00E45954"/>
    <w:pPr>
      <w:spacing w:after="24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uiPriority w:val="39"/>
    <w:locked/>
    <w:rsid w:val="00E45954"/>
    <w:pPr>
      <w:spacing w:after="24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semiHidden/>
    <w:locked/>
    <w:rsid w:val="00E45954"/>
    <w:pPr>
      <w:spacing w:after="24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locked/>
    <w:rsid w:val="00E45954"/>
    <w:pPr>
      <w:spacing w:after="240"/>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locked/>
    <w:rsid w:val="00E45954"/>
    <w:pPr>
      <w:spacing w:after="240"/>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locked/>
    <w:rsid w:val="00E45954"/>
    <w:pPr>
      <w:spacing w:after="240"/>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locked/>
    <w:rsid w:val="00E45954"/>
    <w:pPr>
      <w:spacing w:after="24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locked/>
    <w:rsid w:val="00E45954"/>
    <w:pPr>
      <w:spacing w:after="240"/>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locked/>
    <w:rsid w:val="00E45954"/>
    <w:pPr>
      <w:spacing w:after="240"/>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locked/>
    <w:rsid w:val="00E45954"/>
    <w:pPr>
      <w:spacing w:after="24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semiHidden/>
    <w:locked/>
    <w:rsid w:val="00E45954"/>
    <w:pPr>
      <w:spacing w:after="240"/>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locked/>
    <w:rsid w:val="00E45954"/>
    <w:pPr>
      <w:spacing w:after="240"/>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locked/>
    <w:rsid w:val="00E45954"/>
    <w:pPr>
      <w:spacing w:after="240"/>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locked/>
    <w:rsid w:val="00E45954"/>
    <w:pPr>
      <w:spacing w:after="240"/>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locked/>
    <w:rsid w:val="00E45954"/>
    <w:pPr>
      <w:spacing w:after="240"/>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locked/>
    <w:rsid w:val="00E45954"/>
    <w:pPr>
      <w:spacing w:after="240"/>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semiHidden/>
    <w:locked/>
    <w:rsid w:val="00E45954"/>
    <w:pPr>
      <w:spacing w:after="24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locked/>
    <w:rsid w:val="00E45954"/>
    <w:pPr>
      <w:spacing w:after="240"/>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semiHidden/>
    <w:locked/>
    <w:rsid w:val="00E45954"/>
    <w:pPr>
      <w:spacing w:after="240"/>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locked/>
    <w:rsid w:val="00E45954"/>
    <w:pPr>
      <w:spacing w:after="240"/>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semiHidden/>
    <w:locked/>
    <w:rsid w:val="00E45954"/>
    <w:pPr>
      <w:spacing w:after="24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semiHidden/>
    <w:locked/>
    <w:rsid w:val="00E45954"/>
    <w:pPr>
      <w:spacing w:after="240"/>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locked/>
    <w:rsid w:val="00E45954"/>
    <w:pPr>
      <w:spacing w:after="240"/>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locked/>
    <w:rsid w:val="00E45954"/>
    <w:pPr>
      <w:spacing w:after="240"/>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styleId="MainTitle" w:customStyle="1">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styleId="HeaderFooter" w:customStyle="1">
    <w:name w:val="Header &amp; Footer"/>
    <w:basedOn w:val="Normal"/>
    <w:semiHidden/>
    <w:locked/>
    <w:rsid w:val="005C2ECF"/>
    <w:pPr>
      <w:spacing w:line="200" w:lineRule="exact"/>
      <w:jc w:val="both"/>
    </w:pPr>
    <w:rPr>
      <w:rFonts w:eastAsia="Times New Roman" w:cs="ArialMT"/>
      <w:sz w:val="16"/>
      <w:lang w:eastAsia="en-US"/>
    </w:rPr>
  </w:style>
  <w:style w:type="paragraph" w:styleId="LogoType" w:customStyle="1">
    <w:name w:val="Logo Type"/>
    <w:basedOn w:val="Header"/>
    <w:semiHidden/>
    <w:locked/>
    <w:rsid w:val="005C2ECF"/>
    <w:pPr>
      <w:pBdr>
        <w:bottom w:val="single" w:color="auto" w:sz="4" w:space="4"/>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styleId="BalloonTextChar" w:customStyle="1">
    <w:name w:val="Balloon Text Char"/>
    <w:link w:val="BalloonText"/>
    <w:semiHidden/>
    <w:rsid w:val="00045C4B"/>
    <w:rPr>
      <w:rFonts w:ascii="Open Sans" w:hAnsi="Open Sans" w:eastAsia="MS Mincho" w:cs="Tahoma"/>
      <w:sz w:val="16"/>
      <w:szCs w:val="16"/>
    </w:rPr>
  </w:style>
  <w:style w:type="character" w:styleId="CharChar" w:customStyle="1">
    <w:name w:val="Char Char"/>
    <w:semiHidden/>
    <w:locked/>
    <w:rsid w:val="00045C4B"/>
    <w:rPr>
      <w:rFonts w:ascii="Open Sans" w:hAnsi="Open Sans" w:cs="Arial"/>
      <w:lang w:val="en-AU" w:eastAsia="en-AU" w:bidi="ar-SA"/>
    </w:rPr>
  </w:style>
  <w:style w:type="character" w:styleId="EndnoteTextChar" w:customStyle="1">
    <w:name w:val="Endnote Text Char"/>
    <w:semiHidden/>
    <w:locked/>
    <w:rsid w:val="00045C4B"/>
    <w:rPr>
      <w:rFonts w:ascii="Open Sans" w:hAnsi="Open Sans"/>
      <w:sz w:val="20"/>
      <w:lang w:bidi="ar-SA"/>
    </w:rPr>
  </w:style>
  <w:style w:type="character" w:styleId="SubtitleChar" w:customStyle="1">
    <w:name w:val="Subtitle Char"/>
    <w:link w:val="Subtitle"/>
    <w:rsid w:val="00817C73"/>
    <w:rPr>
      <w:rFonts w:ascii="Open Sans" w:hAnsi="Open Sans" w:eastAsia="MS Mincho" w:cs="Arial"/>
      <w:color w:val="237BBC"/>
      <w:sz w:val="28"/>
      <w:szCs w:val="24"/>
    </w:rPr>
  </w:style>
  <w:style w:type="paragraph" w:styleId="SubmissionNormal" w:customStyle="1">
    <w:name w:val="Submission Normal"/>
    <w:basedOn w:val="Normal"/>
    <w:link w:val="SubmissionNormalChar"/>
    <w:locked/>
    <w:rsid w:val="00B34946"/>
    <w:pPr>
      <w:numPr>
        <w:numId w:val="14"/>
      </w:numPr>
      <w:tabs>
        <w:tab w:val="clear" w:pos="720"/>
      </w:tabs>
      <w:ind w:hanging="720"/>
    </w:pPr>
    <w:rPr>
      <w:rFonts w:eastAsia="Times New Roman"/>
    </w:rPr>
  </w:style>
  <w:style w:type="character" w:styleId="SubmissionNormalChar" w:customStyle="1">
    <w:name w:val="Submission Normal Char"/>
    <w:link w:val="SubmissionNormal"/>
    <w:rsid w:val="00B34946"/>
    <w:rPr>
      <w:rFonts w:ascii="Open Sans" w:hAnsi="Open Sans"/>
      <w:sz w:val="24"/>
      <w:szCs w:val="24"/>
    </w:rPr>
  </w:style>
  <w:style w:type="paragraph" w:styleId="coveraddresses" w:customStyle="1">
    <w:name w:val="cover addresses"/>
    <w:basedOn w:val="Footer"/>
    <w:locked/>
    <w:rsid w:val="005C2ECF"/>
    <w:pPr>
      <w:spacing w:after="40"/>
    </w:pPr>
    <w:rPr>
      <w:szCs w:val="16"/>
    </w:rPr>
  </w:style>
  <w:style w:type="paragraph" w:styleId="coveraddress" w:customStyle="1">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uiPriority w:val="99"/>
    <w:rsid w:val="00045C4B"/>
    <w:rPr>
      <w:rFonts w:ascii="Open Sans" w:hAnsi="Open Sans"/>
      <w:sz w:val="16"/>
      <w:szCs w:val="16"/>
    </w:rPr>
  </w:style>
  <w:style w:type="paragraph" w:styleId="CommentText">
    <w:name w:val="annotation text"/>
    <w:basedOn w:val="Normal"/>
    <w:link w:val="CommentTextChar"/>
    <w:uiPriority w:val="99"/>
    <w:rsid w:val="00045C4B"/>
    <w:rPr>
      <w:sz w:val="20"/>
      <w:szCs w:val="20"/>
    </w:rPr>
  </w:style>
  <w:style w:type="character" w:styleId="CommentTextChar" w:customStyle="1">
    <w:name w:val="Comment Text Char"/>
    <w:link w:val="CommentText"/>
    <w:uiPriority w:val="99"/>
    <w:rsid w:val="00045C4B"/>
    <w:rPr>
      <w:rFonts w:ascii="Open Sans" w:hAnsi="Open Sans" w:eastAsia="MS Mincho"/>
    </w:rPr>
  </w:style>
  <w:style w:type="paragraph" w:styleId="CommentSubject">
    <w:name w:val="annotation subject"/>
    <w:basedOn w:val="CommentText"/>
    <w:next w:val="CommentText"/>
    <w:link w:val="CommentSubjectChar"/>
    <w:rsid w:val="00045C4B"/>
    <w:rPr>
      <w:b/>
      <w:bCs/>
    </w:rPr>
  </w:style>
  <w:style w:type="character" w:styleId="CommentSubjectChar" w:customStyle="1">
    <w:name w:val="Comment Subject Char"/>
    <w:link w:val="CommentSubject"/>
    <w:rsid w:val="00045C4B"/>
    <w:rPr>
      <w:rFonts w:ascii="Open Sans" w:hAnsi="Open Sans" w:eastAsia="MS Mincho"/>
      <w:b/>
      <w:bCs/>
    </w:rPr>
  </w:style>
  <w:style w:type="paragraph" w:styleId="DocumentMap">
    <w:name w:val="Document Map"/>
    <w:basedOn w:val="Normal"/>
    <w:link w:val="DocumentMapChar"/>
    <w:rsid w:val="00045C4B"/>
    <w:rPr>
      <w:rFonts w:cs="Segoe UI"/>
      <w:sz w:val="16"/>
      <w:szCs w:val="16"/>
    </w:rPr>
  </w:style>
  <w:style w:type="character" w:styleId="DocumentMapChar" w:customStyle="1">
    <w:name w:val="Document Map Char"/>
    <w:link w:val="DocumentMap"/>
    <w:rsid w:val="00045C4B"/>
    <w:rPr>
      <w:rFonts w:ascii="Open Sans" w:hAnsi="Open Sans" w:eastAsia="MS Mincho"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hAnsi="Open Sans" w:eastAsia="MS Mincho" w:cs="Courier New"/>
    </w:rPr>
  </w:style>
  <w:style w:type="character" w:styleId="MacroTextChar" w:customStyle="1">
    <w:name w:val="Macro Text Char"/>
    <w:link w:val="MacroText"/>
    <w:rsid w:val="005C2ECF"/>
    <w:rPr>
      <w:rFonts w:ascii="Open Sans" w:hAnsi="Open Sans" w:eastAsia="MS Mincho"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uiPriority w:val="39"/>
    <w:locked/>
    <w:rsid w:val="00471BB7"/>
    <w:pPr>
      <w:ind w:left="960"/>
    </w:pPr>
  </w:style>
  <w:style w:type="paragraph" w:styleId="TOC6">
    <w:name w:val="toc 6"/>
    <w:basedOn w:val="Normal"/>
    <w:next w:val="Normal"/>
    <w:uiPriority w:val="39"/>
    <w:locked/>
    <w:rsid w:val="00471BB7"/>
    <w:pPr>
      <w:ind w:left="1200"/>
    </w:pPr>
  </w:style>
  <w:style w:type="paragraph" w:styleId="TOC7">
    <w:name w:val="toc 7"/>
    <w:basedOn w:val="Normal"/>
    <w:next w:val="Normal"/>
    <w:uiPriority w:val="39"/>
    <w:locked/>
    <w:rsid w:val="00471BB7"/>
    <w:pPr>
      <w:ind w:left="1440"/>
    </w:pPr>
  </w:style>
  <w:style w:type="paragraph" w:styleId="TOC8">
    <w:name w:val="toc 8"/>
    <w:basedOn w:val="Normal"/>
    <w:next w:val="Normal"/>
    <w:uiPriority w:val="39"/>
    <w:locked/>
    <w:rsid w:val="00471BB7"/>
    <w:pPr>
      <w:ind w:left="1680"/>
    </w:pPr>
  </w:style>
  <w:style w:type="paragraph" w:styleId="TOC9">
    <w:name w:val="toc 9"/>
    <w:basedOn w:val="Normal"/>
    <w:next w:val="Normal"/>
    <w:uiPriority w:val="39"/>
    <w:locked/>
    <w:rsid w:val="00471BB7"/>
    <w:pPr>
      <w:ind w:left="1920"/>
    </w:pPr>
  </w:style>
  <w:style w:type="paragraph" w:styleId="NoSpacing">
    <w:name w:val="No Spacing"/>
    <w:link w:val="NoSpacingChar"/>
    <w:uiPriority w:val="1"/>
    <w:qFormat/>
    <w:rsid w:val="00471BB7"/>
    <w:rPr>
      <w:rFonts w:ascii="Open Sans" w:hAnsi="Open Sans" w:eastAsia="MS Mincho"/>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styleId="QuoteChar" w:customStyle="1">
    <w:name w:val="Quote Char"/>
    <w:link w:val="Quote"/>
    <w:uiPriority w:val="29"/>
    <w:rsid w:val="000C5DA6"/>
    <w:rPr>
      <w:rFonts w:ascii="Open Sans" w:hAnsi="Open Sans" w:eastAsia="MS Mincho"/>
      <w:iCs/>
      <w:sz w:val="22"/>
      <w:szCs w:val="24"/>
    </w:rPr>
  </w:style>
  <w:style w:type="paragraph" w:styleId="IntenseQuote">
    <w:name w:val="Intense Quote"/>
    <w:basedOn w:val="Normal"/>
    <w:next w:val="Normal"/>
    <w:link w:val="IntenseQuoteChar"/>
    <w:uiPriority w:val="30"/>
    <w:locked/>
    <w:rsid w:val="00471BB7"/>
    <w:pPr>
      <w:pBdr>
        <w:top w:val="single" w:color="4472C4" w:sz="4" w:space="10"/>
        <w:bottom w:val="single" w:color="4472C4" w:sz="4" w:space="10"/>
      </w:pBdr>
      <w:spacing w:before="360" w:after="360"/>
      <w:ind w:left="864" w:right="864"/>
      <w:jc w:val="center"/>
    </w:pPr>
    <w:rPr>
      <w:iCs/>
    </w:rPr>
  </w:style>
  <w:style w:type="character" w:styleId="IntenseQuoteChar" w:customStyle="1">
    <w:name w:val="Intense Quote Char"/>
    <w:link w:val="IntenseQuote"/>
    <w:uiPriority w:val="30"/>
    <w:rsid w:val="00471BB7"/>
    <w:rPr>
      <w:rFonts w:ascii="Open Sans" w:hAnsi="Open Sans" w:eastAsia="MS Mincho"/>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link w:val="ListParagraphChar"/>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styleId="Hashtag1" w:customStyle="1">
    <w:name w:val="Hashtag1"/>
    <w:uiPriority w:val="99"/>
    <w:semiHidden/>
    <w:unhideWhenUsed/>
    <w:locked/>
    <w:rsid w:val="00471BB7"/>
    <w:rPr>
      <w:rFonts w:ascii="Open Sans" w:hAnsi="Open Sans"/>
      <w:color w:val="2B579A"/>
      <w:shd w:val="clear" w:color="auto" w:fill="E6E6E6"/>
    </w:rPr>
  </w:style>
  <w:style w:type="character" w:styleId="Mention1" w:customStyle="1">
    <w:name w:val="Mention1"/>
    <w:uiPriority w:val="99"/>
    <w:semiHidden/>
    <w:unhideWhenUsed/>
    <w:locked/>
    <w:rsid w:val="00471BB7"/>
    <w:rPr>
      <w:rFonts w:ascii="Open Sans" w:hAnsi="Open Sans"/>
      <w:color w:val="auto"/>
      <w:shd w:val="clear" w:color="auto" w:fill="E6E6E6"/>
    </w:rPr>
  </w:style>
  <w:style w:type="character" w:styleId="SmartHyperlink1" w:customStyle="1">
    <w:name w:val="Smart Hyperlink1"/>
    <w:uiPriority w:val="99"/>
    <w:semiHidden/>
    <w:unhideWhenUsed/>
    <w:locked/>
    <w:rsid w:val="00471BB7"/>
    <w:rPr>
      <w:rFonts w:ascii="Open Sans" w:hAnsi="Open Sans"/>
      <w:u w:val="dotted"/>
    </w:rPr>
  </w:style>
  <w:style w:type="character" w:styleId="UnresolvedMention1" w:customStyle="1">
    <w:name w:val="Unresolved Mention1"/>
    <w:uiPriority w:val="99"/>
    <w:semiHidden/>
    <w:unhideWhenUsed/>
    <w:locked/>
    <w:rsid w:val="00471BB7"/>
    <w:rPr>
      <w:rFonts w:ascii="Open Sans" w:hAnsi="Open Sans"/>
      <w:color w:val="auto"/>
      <w:shd w:val="clear" w:color="auto" w:fill="E6E6E6"/>
    </w:rPr>
  </w:style>
  <w:style w:type="character" w:styleId="Reporttitleinheader" w:customStyle="1">
    <w:name w:val="Report title in header"/>
    <w:uiPriority w:val="1"/>
    <w:qFormat/>
    <w:rsid w:val="001F62CC"/>
    <w:rPr>
      <w:rFonts w:ascii="Open Sans" w:hAnsi="Open Sans"/>
      <w:b/>
      <w:noProof/>
      <w:sz w:val="18"/>
    </w:rPr>
  </w:style>
  <w:style w:type="paragraph" w:styleId="HeaderDocumentDate" w:customStyle="1">
    <w:name w:val="Header Document Date"/>
    <w:basedOn w:val="Footer"/>
    <w:qFormat/>
    <w:rsid w:val="002850B0"/>
    <w:pPr>
      <w:jc w:val="right"/>
    </w:pPr>
  </w:style>
  <w:style w:type="paragraph" w:styleId="FooterEvenPageNumber" w:customStyle="1">
    <w:name w:val="Footer Even Page Number"/>
    <w:basedOn w:val="Footer"/>
    <w:rsid w:val="00E53546"/>
  </w:style>
  <w:style w:type="paragraph" w:styleId="FooterOddPageNumber" w:customStyle="1">
    <w:name w:val="Footer Odd Page Number"/>
    <w:basedOn w:val="Footer"/>
    <w:rsid w:val="00E53546"/>
    <w:pPr>
      <w:jc w:val="right"/>
    </w:pPr>
  </w:style>
  <w:style w:type="paragraph" w:styleId="Default" w:customStyle="1">
    <w:name w:val="Default"/>
    <w:rsid w:val="00FD6475"/>
    <w:pPr>
      <w:autoSpaceDE w:val="0"/>
      <w:autoSpaceDN w:val="0"/>
      <w:adjustRightInd w:val="0"/>
    </w:pPr>
    <w:rPr>
      <w:rFonts w:ascii="Open Sans" w:hAnsi="Open Sans" w:cs="Open Sans"/>
      <w:color w:val="000000"/>
      <w:sz w:val="24"/>
      <w:szCs w:val="24"/>
    </w:rPr>
  </w:style>
  <w:style w:type="numbering" w:styleId="Style1" w:customStyle="1">
    <w:name w:val="Style1"/>
    <w:uiPriority w:val="99"/>
    <w:rsid w:val="0025176E"/>
    <w:pPr>
      <w:numPr>
        <w:numId w:val="15"/>
      </w:numPr>
    </w:pPr>
  </w:style>
  <w:style w:type="numbering" w:styleId="AHRCReportHeadings" w:customStyle="1">
    <w:name w:val="AHRC Report Headings"/>
    <w:uiPriority w:val="99"/>
    <w:rsid w:val="00592D1C"/>
    <w:pPr>
      <w:numPr>
        <w:numId w:val="16"/>
      </w:numPr>
    </w:pPr>
  </w:style>
  <w:style w:type="paragraph" w:styleId="Reportplaintext" w:customStyle="1">
    <w:name w:val="Report plain text"/>
    <w:basedOn w:val="Normal"/>
    <w:link w:val="ReportplaintextChar"/>
    <w:rsid w:val="00691E8A"/>
  </w:style>
  <w:style w:type="paragraph" w:styleId="AHRCHeading4" w:customStyle="1">
    <w:name w:val="AHRC Heading 4"/>
    <w:basedOn w:val="Heading4"/>
    <w:link w:val="AHRCHeading4Char"/>
    <w:qFormat/>
    <w:rsid w:val="00CF66B5"/>
    <w:rPr>
      <w:i w:val="0"/>
      <w:iCs w:val="0"/>
    </w:rPr>
  </w:style>
  <w:style w:type="character" w:styleId="ReportplaintextChar" w:customStyle="1">
    <w:name w:val="Report plain text Char"/>
    <w:basedOn w:val="DefaultParagraphFont"/>
    <w:link w:val="Reportplaintext"/>
    <w:rsid w:val="00691E8A"/>
    <w:rPr>
      <w:rFonts w:ascii="Open Sans" w:hAnsi="Open Sans" w:eastAsia="MS Mincho"/>
      <w:sz w:val="24"/>
      <w:szCs w:val="24"/>
    </w:rPr>
  </w:style>
  <w:style w:type="paragraph" w:styleId="AHRCheading5" w:customStyle="1">
    <w:name w:val="AHRC heading 5"/>
    <w:basedOn w:val="ListParagraph"/>
    <w:link w:val="AHRCheading5Char"/>
    <w:qFormat/>
    <w:rsid w:val="00CF66B5"/>
    <w:pPr>
      <w:numPr>
        <w:ilvl w:val="4"/>
        <w:numId w:val="17"/>
      </w:numPr>
      <w:tabs>
        <w:tab w:val="clear" w:pos="0"/>
        <w:tab w:val="left" w:pos="851"/>
      </w:tabs>
    </w:pPr>
  </w:style>
  <w:style w:type="character" w:styleId="AHRCHeading4Char" w:customStyle="1">
    <w:name w:val="AHRC Heading 4 Char"/>
    <w:basedOn w:val="Heading4Char"/>
    <w:link w:val="AHRCHeading4"/>
    <w:rsid w:val="00CF66B5"/>
    <w:rPr>
      <w:rFonts w:ascii="Open Sans" w:hAnsi="Open Sans" w:eastAsia="MS Mincho"/>
      <w:i w:val="0"/>
      <w:iCs w:val="0"/>
      <w:sz w:val="24"/>
      <w:szCs w:val="26"/>
    </w:rPr>
  </w:style>
  <w:style w:type="paragraph" w:styleId="AHRCHeading1" w:customStyle="1">
    <w:name w:val="AHRC Heading 1"/>
    <w:basedOn w:val="Heading1"/>
    <w:link w:val="AHRCHeading1Char"/>
    <w:qFormat/>
    <w:rsid w:val="00321095"/>
  </w:style>
  <w:style w:type="character" w:styleId="ListParagraphChar" w:customStyle="1">
    <w:name w:val="List Paragraph Char"/>
    <w:basedOn w:val="DefaultParagraphFont"/>
    <w:link w:val="ListParagraph"/>
    <w:uiPriority w:val="34"/>
    <w:rsid w:val="00321095"/>
    <w:rPr>
      <w:rFonts w:ascii="Open Sans" w:hAnsi="Open Sans" w:eastAsia="MS Mincho"/>
      <w:sz w:val="24"/>
      <w:szCs w:val="24"/>
    </w:rPr>
  </w:style>
  <w:style w:type="character" w:styleId="AHRCheading5Char" w:customStyle="1">
    <w:name w:val="AHRC heading 5 Char"/>
    <w:basedOn w:val="ListParagraphChar"/>
    <w:link w:val="AHRCheading5"/>
    <w:rsid w:val="00CF66B5"/>
    <w:rPr>
      <w:rFonts w:ascii="Open Sans" w:hAnsi="Open Sans" w:eastAsia="MS Mincho"/>
      <w:sz w:val="24"/>
      <w:szCs w:val="24"/>
    </w:rPr>
  </w:style>
  <w:style w:type="paragraph" w:styleId="AHRCHeading2" w:customStyle="1">
    <w:name w:val="AHRC Heading 2"/>
    <w:basedOn w:val="Heading2"/>
    <w:link w:val="AHRCHeading2Char"/>
    <w:qFormat/>
    <w:rsid w:val="000534AC"/>
    <w:rPr>
      <w:sz w:val="28"/>
    </w:rPr>
  </w:style>
  <w:style w:type="character" w:styleId="AHRCHeading1Char" w:customStyle="1">
    <w:name w:val="AHRC Heading 1 Char"/>
    <w:basedOn w:val="Heading1Char"/>
    <w:link w:val="AHRCHeading1"/>
    <w:rsid w:val="00321095"/>
    <w:rPr>
      <w:rFonts w:ascii="Open Sans" w:hAnsi="Open Sans" w:eastAsia="MS Mincho"/>
      <w:b/>
      <w:bCs/>
      <w:sz w:val="36"/>
      <w:szCs w:val="28"/>
    </w:rPr>
  </w:style>
  <w:style w:type="paragraph" w:styleId="AHRCHeading3" w:customStyle="1">
    <w:name w:val="AHRC Heading 3"/>
    <w:basedOn w:val="Heading3"/>
    <w:link w:val="AHRCHeading3Char"/>
    <w:qFormat/>
    <w:rsid w:val="00321095"/>
  </w:style>
  <w:style w:type="character" w:styleId="AHRCHeading2Char" w:customStyle="1">
    <w:name w:val="AHRC Heading 2 Char"/>
    <w:basedOn w:val="Heading2Char"/>
    <w:link w:val="AHRCHeading2"/>
    <w:rsid w:val="000534AC"/>
    <w:rPr>
      <w:rFonts w:ascii="Open Sans" w:hAnsi="Open Sans" w:eastAsia="MS Mincho"/>
      <w:b/>
      <w:sz w:val="28"/>
      <w:szCs w:val="26"/>
    </w:rPr>
  </w:style>
  <w:style w:type="character" w:styleId="UnresolvedMention">
    <w:name w:val="Unresolved Mention"/>
    <w:basedOn w:val="DefaultParagraphFont"/>
    <w:uiPriority w:val="99"/>
    <w:semiHidden/>
    <w:unhideWhenUsed/>
    <w:rsid w:val="003026A0"/>
    <w:rPr>
      <w:color w:val="605E5C"/>
      <w:shd w:val="clear" w:color="auto" w:fill="E1DFDD"/>
    </w:rPr>
  </w:style>
  <w:style w:type="character" w:styleId="AHRCHeading3Char" w:customStyle="1">
    <w:name w:val="AHRC Heading 3 Char"/>
    <w:basedOn w:val="Heading3Char"/>
    <w:link w:val="AHRCHeading3"/>
    <w:rsid w:val="00321095"/>
    <w:rPr>
      <w:rFonts w:ascii="Open Sans" w:hAnsi="Open Sans" w:eastAsia="MS Mincho"/>
      <w:bCs/>
      <w:sz w:val="24"/>
      <w:szCs w:val="26"/>
    </w:rPr>
  </w:style>
  <w:style w:type="paragraph" w:styleId="Blockquote" w:customStyle="1">
    <w:name w:val="Block quote"/>
    <w:basedOn w:val="Normal"/>
    <w:link w:val="BlockquoteChar"/>
    <w:qFormat/>
    <w:rsid w:val="008A7EFF"/>
    <w:pPr>
      <w:spacing w:after="0"/>
      <w:ind w:left="1090" w:right="3"/>
    </w:pPr>
  </w:style>
  <w:style w:type="character" w:styleId="BlockquoteChar" w:customStyle="1">
    <w:name w:val="Block quote Char"/>
    <w:basedOn w:val="DefaultParagraphFont"/>
    <w:link w:val="Blockquote"/>
    <w:rsid w:val="008A7EFF"/>
    <w:rPr>
      <w:rFonts w:ascii="Open Sans" w:hAnsi="Open Sans" w:eastAsia="MS Mincho"/>
      <w:sz w:val="24"/>
      <w:szCs w:val="24"/>
    </w:rPr>
  </w:style>
  <w:style w:type="paragraph" w:styleId="AHRCImagecaption" w:customStyle="1">
    <w:name w:val="AHRC Image caption"/>
    <w:basedOn w:val="Normal"/>
    <w:link w:val="AHRCImagecaptionChar"/>
    <w:qFormat/>
    <w:rsid w:val="00A51C1D"/>
    <w:rPr>
      <w:sz w:val="18"/>
      <w:szCs w:val="18"/>
    </w:rPr>
  </w:style>
  <w:style w:type="paragraph" w:styleId="AHRCEndnotes" w:customStyle="1">
    <w:name w:val="AHRC Endnotes"/>
    <w:basedOn w:val="NoSpacing"/>
    <w:link w:val="AHRCEndnotesChar"/>
    <w:qFormat/>
    <w:rsid w:val="00DD604A"/>
    <w:pPr>
      <w:widowControl w:val="0"/>
      <w:numPr>
        <w:numId w:val="18"/>
      </w:numPr>
      <w:autoSpaceDE w:val="0"/>
      <w:autoSpaceDN w:val="0"/>
    </w:pPr>
    <w:rPr>
      <w:sz w:val="20"/>
      <w:szCs w:val="20"/>
    </w:rPr>
  </w:style>
  <w:style w:type="character" w:styleId="AHRCImagecaptionChar" w:customStyle="1">
    <w:name w:val="AHRC Image caption Char"/>
    <w:basedOn w:val="DefaultParagraphFont"/>
    <w:link w:val="AHRCImagecaption"/>
    <w:rsid w:val="00A51C1D"/>
    <w:rPr>
      <w:rFonts w:ascii="Open Sans" w:hAnsi="Open Sans" w:eastAsia="MS Mincho"/>
      <w:sz w:val="18"/>
      <w:szCs w:val="18"/>
    </w:rPr>
  </w:style>
  <w:style w:type="character" w:styleId="NoSpacingChar" w:customStyle="1">
    <w:name w:val="No Spacing Char"/>
    <w:basedOn w:val="DefaultParagraphFont"/>
    <w:link w:val="NoSpacing"/>
    <w:uiPriority w:val="1"/>
    <w:rsid w:val="00DD604A"/>
    <w:rPr>
      <w:rFonts w:ascii="Open Sans" w:hAnsi="Open Sans" w:eastAsia="MS Mincho"/>
      <w:sz w:val="24"/>
      <w:szCs w:val="24"/>
    </w:rPr>
  </w:style>
  <w:style w:type="character" w:styleId="AHRCEndnotesChar" w:customStyle="1">
    <w:name w:val="AHRC Endnotes Char"/>
    <w:basedOn w:val="NoSpacingChar"/>
    <w:link w:val="AHRCEndnotes"/>
    <w:rsid w:val="00DD604A"/>
    <w:rPr>
      <w:rFonts w:ascii="Open Sans" w:hAnsi="Open Sans" w:eastAsia="MS Mincho"/>
      <w:sz w:val="24"/>
      <w:szCs w:val="24"/>
    </w:rPr>
  </w:style>
  <w:style w:type="paragraph" w:styleId="xmsolistparagraph" w:customStyle="1">
    <w:name w:val="x_msolistparagraph"/>
    <w:basedOn w:val="Normal"/>
    <w:rsid w:val="006D1CB7"/>
    <w:pPr>
      <w:spacing w:before="0" w:after="0"/>
    </w:pPr>
    <w:rPr>
      <w:rFonts w:ascii="Calibri" w:hAnsi="Calibri" w:cs="Calibri" w:eastAsiaTheme="minorHAnsi"/>
      <w:sz w:val="22"/>
      <w:szCs w:val="22"/>
    </w:rPr>
  </w:style>
  <w:style w:type="character" w:styleId="A3" w:customStyle="1">
    <w:name w:val="A3"/>
    <w:uiPriority w:val="99"/>
    <w:rsid w:val="006D1CB7"/>
    <w:rPr>
      <w:color w:val="000000"/>
    </w:rPr>
  </w:style>
  <w:style w:type="character" w:styleId="normaltextrun" w:customStyle="1">
    <w:name w:val="normaltextrun"/>
    <w:basedOn w:val="DefaultParagraphFont"/>
    <w:rsid w:val="006D1CB7"/>
  </w:style>
  <w:style w:type="character" w:styleId="eop" w:customStyle="1">
    <w:name w:val="eop"/>
    <w:basedOn w:val="DefaultParagraphFont"/>
    <w:rsid w:val="006D1CB7"/>
  </w:style>
  <w:style w:type="paragraph" w:styleId="FootnoteText">
    <w:name w:val="footnote text"/>
    <w:basedOn w:val="Normal"/>
    <w:link w:val="FootnoteTextChar"/>
    <w:uiPriority w:val="99"/>
    <w:locked/>
    <w:rsid w:val="00EB09D5"/>
    <w:pPr>
      <w:spacing w:before="0" w:after="0"/>
    </w:pPr>
    <w:rPr>
      <w:sz w:val="20"/>
      <w:szCs w:val="20"/>
    </w:rPr>
  </w:style>
  <w:style w:type="character" w:styleId="FootnoteTextChar" w:customStyle="1">
    <w:name w:val="Footnote Text Char"/>
    <w:basedOn w:val="DefaultParagraphFont"/>
    <w:link w:val="FootnoteText"/>
    <w:rsid w:val="00EB09D5"/>
    <w:rPr>
      <w:rFonts w:ascii="Open Sans" w:hAnsi="Open Sans" w:eastAsia="MS Mincho"/>
    </w:rPr>
  </w:style>
  <w:style w:type="character" w:styleId="FootnoteReference">
    <w:name w:val="footnote reference"/>
    <w:basedOn w:val="DefaultParagraphFont"/>
    <w:uiPriority w:val="99"/>
    <w:qFormat/>
    <w:locked/>
    <w:rsid w:val="00EB09D5"/>
    <w:rPr>
      <w:vertAlign w:val="superscript"/>
    </w:rPr>
  </w:style>
  <w:style w:type="character" w:styleId="HeaderDocumentTitle" w:customStyle="1">
    <w:name w:val="Header Document Title"/>
    <w:uiPriority w:val="1"/>
    <w:qFormat/>
    <w:rsid w:val="005C4CC3"/>
    <w:rPr>
      <w:rFonts w:ascii="Open Sans" w:hAnsi="Open Sans"/>
      <w:b/>
      <w:noProof/>
      <w:sz w:val="18"/>
    </w:rPr>
  </w:style>
  <w:style w:type="paragraph" w:styleId="Revision">
    <w:name w:val="Revision"/>
    <w:hidden/>
    <w:uiPriority w:val="99"/>
    <w:semiHidden/>
    <w:rsid w:val="005C4CC3"/>
    <w:rPr>
      <w:rFonts w:ascii="Open Sans" w:hAnsi="Open Sans" w:eastAsia="MS Mincho"/>
      <w:sz w:val="24"/>
      <w:szCs w:val="24"/>
    </w:rPr>
  </w:style>
  <w:style w:type="paragraph" w:styleId="xmsonormal" w:customStyle="1">
    <w:name w:val="x_msonormal"/>
    <w:basedOn w:val="Normal"/>
    <w:rsid w:val="005C4CC3"/>
    <w:pPr>
      <w:spacing w:before="100" w:beforeAutospacing="1" w:after="100" w:afterAutospacing="1"/>
    </w:pPr>
    <w:rPr>
      <w:rFonts w:ascii="Times New Roman" w:hAnsi="Times New Roman" w:eastAsia="Times New Roman"/>
    </w:rPr>
  </w:style>
  <w:style w:type="character" w:styleId="apple-converted-space" w:customStyle="1">
    <w:name w:val="apple-converted-space"/>
    <w:basedOn w:val="DefaultParagraphFont"/>
    <w:rsid w:val="005C4CC3"/>
  </w:style>
  <w:style w:type="paragraph" w:styleId="guidelinenormalcopy" w:customStyle="1">
    <w:name w:val="guidelinenormalcopy"/>
    <w:basedOn w:val="Normal"/>
    <w:rsid w:val="005C4CC3"/>
    <w:pPr>
      <w:spacing w:before="100" w:beforeAutospacing="1" w:after="100" w:afterAutospacing="1"/>
    </w:pPr>
    <w:rPr>
      <w:rFonts w:ascii="Times New Roman" w:hAnsi="Times New Roman" w:eastAsia="Times New Roman"/>
      <w:lang w:val="en-US" w:eastAsia="en-US"/>
    </w:rPr>
  </w:style>
  <w:style w:type="character" w:styleId="BodyTextChar" w:customStyle="1">
    <w:name w:val="Body Text Char"/>
    <w:basedOn w:val="DefaultParagraphFont"/>
    <w:link w:val="BodyText"/>
    <w:uiPriority w:val="99"/>
    <w:semiHidden/>
    <w:rsid w:val="005C4CC3"/>
    <w:rPr>
      <w:rFonts w:ascii="Open Sans" w:hAnsi="Open Sans" w:eastAsia="MS Mincho"/>
      <w:sz w:val="24"/>
      <w:szCs w:val="24"/>
    </w:rPr>
  </w:style>
  <w:style w:type="paragraph" w:styleId="paragraph" w:customStyle="1">
    <w:name w:val="paragraph"/>
    <w:basedOn w:val="Normal"/>
    <w:rsid w:val="005C4CC3"/>
    <w:pPr>
      <w:spacing w:before="100" w:beforeAutospacing="1" w:after="100" w:afterAutospacing="1"/>
    </w:pPr>
    <w:rPr>
      <w:rFonts w:ascii="Times New Roman" w:hAnsi="Times New Roman" w:eastAsia="Times New Roman"/>
    </w:rPr>
  </w:style>
  <w:style w:type="paragraph" w:styleId="paragraphsub" w:customStyle="1">
    <w:name w:val="paragraphsub"/>
    <w:basedOn w:val="Normal"/>
    <w:rsid w:val="005C4CC3"/>
    <w:pPr>
      <w:spacing w:before="100" w:beforeAutospacing="1" w:after="100" w:afterAutospacing="1"/>
    </w:pPr>
    <w:rPr>
      <w:rFonts w:ascii="Times New Roman" w:hAnsi="Times New Roman" w:eastAsia="Times New Roman"/>
    </w:rPr>
  </w:style>
  <w:style w:type="character" w:styleId="findhit" w:customStyle="1">
    <w:name w:val="findhit"/>
    <w:basedOn w:val="DefaultParagraphFont"/>
    <w:rsid w:val="00452E54"/>
  </w:style>
  <w:style w:type="paragraph" w:styleId="xmsonospacing" w:customStyle="1">
    <w:name w:val="x_msonospacing"/>
    <w:basedOn w:val="Normal"/>
    <w:rsid w:val="00000402"/>
    <w:pPr>
      <w:ind w:left="720" w:hanging="720"/>
    </w:pPr>
    <w:rPr>
      <w:rFonts w:ascii="Arial" w:hAnsi="Arial" w:cs="Arial" w:eastAsiaTheme="minorHAnsi"/>
    </w:rPr>
  </w:style>
  <w:style w:type="character" w:styleId="xmsoendnotereference" w:customStyle="1">
    <w:name w:val="x_msoendnotereference"/>
    <w:basedOn w:val="DefaultParagraphFont"/>
    <w:rsid w:val="00000402"/>
    <w:rPr>
      <w:rFonts w:hint="default" w:ascii="Arial" w:hAnsi="Arial" w:cs="Arial"/>
      <w:vertAlign w:val="superscript"/>
    </w:rPr>
  </w:style>
  <w:style w:type="character" w:styleId="grame" w:customStyle="1">
    <w:name w:val="grame"/>
    <w:basedOn w:val="DefaultParagraphFont"/>
    <w:rsid w:val="00226DB4"/>
  </w:style>
  <w:style w:type="character" w:styleId="spelle" w:customStyle="1">
    <w:name w:val="spelle"/>
    <w:basedOn w:val="DefaultParagraphFont"/>
    <w:rsid w:val="00226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7247">
      <w:bodyDiv w:val="1"/>
      <w:marLeft w:val="0"/>
      <w:marRight w:val="0"/>
      <w:marTop w:val="0"/>
      <w:marBottom w:val="0"/>
      <w:divBdr>
        <w:top w:val="none" w:sz="0" w:space="0" w:color="auto"/>
        <w:left w:val="none" w:sz="0" w:space="0" w:color="auto"/>
        <w:bottom w:val="none" w:sz="0" w:space="0" w:color="auto"/>
        <w:right w:val="none" w:sz="0" w:space="0" w:color="auto"/>
      </w:divBdr>
    </w:div>
    <w:div w:id="542327141">
      <w:bodyDiv w:val="1"/>
      <w:marLeft w:val="0"/>
      <w:marRight w:val="0"/>
      <w:marTop w:val="0"/>
      <w:marBottom w:val="0"/>
      <w:divBdr>
        <w:top w:val="none" w:sz="0" w:space="0" w:color="auto"/>
        <w:left w:val="none" w:sz="0" w:space="0" w:color="auto"/>
        <w:bottom w:val="none" w:sz="0" w:space="0" w:color="auto"/>
        <w:right w:val="none" w:sz="0" w:space="0" w:color="auto"/>
      </w:divBdr>
    </w:div>
    <w:div w:id="580793727">
      <w:bodyDiv w:val="1"/>
      <w:marLeft w:val="0"/>
      <w:marRight w:val="0"/>
      <w:marTop w:val="0"/>
      <w:marBottom w:val="0"/>
      <w:divBdr>
        <w:top w:val="none" w:sz="0" w:space="0" w:color="auto"/>
        <w:left w:val="none" w:sz="0" w:space="0" w:color="auto"/>
        <w:bottom w:val="none" w:sz="0" w:space="0" w:color="auto"/>
        <w:right w:val="none" w:sz="0" w:space="0" w:color="auto"/>
      </w:divBdr>
      <w:divsChild>
        <w:div w:id="237206829">
          <w:marLeft w:val="0"/>
          <w:marRight w:val="0"/>
          <w:marTop w:val="0"/>
          <w:marBottom w:val="0"/>
          <w:divBdr>
            <w:top w:val="none" w:sz="0" w:space="0" w:color="auto"/>
            <w:left w:val="none" w:sz="0" w:space="0" w:color="auto"/>
            <w:bottom w:val="none" w:sz="0" w:space="0" w:color="auto"/>
            <w:right w:val="none" w:sz="0" w:space="0" w:color="auto"/>
          </w:divBdr>
        </w:div>
        <w:div w:id="348722115">
          <w:marLeft w:val="0"/>
          <w:marRight w:val="0"/>
          <w:marTop w:val="0"/>
          <w:marBottom w:val="0"/>
          <w:divBdr>
            <w:top w:val="none" w:sz="0" w:space="0" w:color="auto"/>
            <w:left w:val="none" w:sz="0" w:space="0" w:color="auto"/>
            <w:bottom w:val="none" w:sz="0" w:space="0" w:color="auto"/>
            <w:right w:val="none" w:sz="0" w:space="0" w:color="auto"/>
          </w:divBdr>
        </w:div>
        <w:div w:id="528109179">
          <w:marLeft w:val="0"/>
          <w:marRight w:val="0"/>
          <w:marTop w:val="0"/>
          <w:marBottom w:val="0"/>
          <w:divBdr>
            <w:top w:val="none" w:sz="0" w:space="0" w:color="auto"/>
            <w:left w:val="none" w:sz="0" w:space="0" w:color="auto"/>
            <w:bottom w:val="none" w:sz="0" w:space="0" w:color="auto"/>
            <w:right w:val="none" w:sz="0" w:space="0" w:color="auto"/>
          </w:divBdr>
        </w:div>
        <w:div w:id="899247134">
          <w:marLeft w:val="0"/>
          <w:marRight w:val="0"/>
          <w:marTop w:val="0"/>
          <w:marBottom w:val="0"/>
          <w:divBdr>
            <w:top w:val="none" w:sz="0" w:space="0" w:color="auto"/>
            <w:left w:val="none" w:sz="0" w:space="0" w:color="auto"/>
            <w:bottom w:val="none" w:sz="0" w:space="0" w:color="auto"/>
            <w:right w:val="none" w:sz="0" w:space="0" w:color="auto"/>
          </w:divBdr>
        </w:div>
        <w:div w:id="938372823">
          <w:marLeft w:val="0"/>
          <w:marRight w:val="0"/>
          <w:marTop w:val="0"/>
          <w:marBottom w:val="0"/>
          <w:divBdr>
            <w:top w:val="none" w:sz="0" w:space="0" w:color="auto"/>
            <w:left w:val="none" w:sz="0" w:space="0" w:color="auto"/>
            <w:bottom w:val="none" w:sz="0" w:space="0" w:color="auto"/>
            <w:right w:val="none" w:sz="0" w:space="0" w:color="auto"/>
          </w:divBdr>
        </w:div>
        <w:div w:id="964197461">
          <w:marLeft w:val="0"/>
          <w:marRight w:val="0"/>
          <w:marTop w:val="0"/>
          <w:marBottom w:val="0"/>
          <w:divBdr>
            <w:top w:val="none" w:sz="0" w:space="0" w:color="auto"/>
            <w:left w:val="none" w:sz="0" w:space="0" w:color="auto"/>
            <w:bottom w:val="none" w:sz="0" w:space="0" w:color="auto"/>
            <w:right w:val="none" w:sz="0" w:space="0" w:color="auto"/>
          </w:divBdr>
        </w:div>
        <w:div w:id="1002316173">
          <w:marLeft w:val="0"/>
          <w:marRight w:val="0"/>
          <w:marTop w:val="0"/>
          <w:marBottom w:val="0"/>
          <w:divBdr>
            <w:top w:val="none" w:sz="0" w:space="0" w:color="auto"/>
            <w:left w:val="none" w:sz="0" w:space="0" w:color="auto"/>
            <w:bottom w:val="none" w:sz="0" w:space="0" w:color="auto"/>
            <w:right w:val="none" w:sz="0" w:space="0" w:color="auto"/>
          </w:divBdr>
        </w:div>
        <w:div w:id="1208223835">
          <w:marLeft w:val="0"/>
          <w:marRight w:val="0"/>
          <w:marTop w:val="0"/>
          <w:marBottom w:val="0"/>
          <w:divBdr>
            <w:top w:val="none" w:sz="0" w:space="0" w:color="auto"/>
            <w:left w:val="none" w:sz="0" w:space="0" w:color="auto"/>
            <w:bottom w:val="none" w:sz="0" w:space="0" w:color="auto"/>
            <w:right w:val="none" w:sz="0" w:space="0" w:color="auto"/>
          </w:divBdr>
        </w:div>
        <w:div w:id="1384059116">
          <w:marLeft w:val="0"/>
          <w:marRight w:val="0"/>
          <w:marTop w:val="0"/>
          <w:marBottom w:val="0"/>
          <w:divBdr>
            <w:top w:val="none" w:sz="0" w:space="0" w:color="auto"/>
            <w:left w:val="none" w:sz="0" w:space="0" w:color="auto"/>
            <w:bottom w:val="none" w:sz="0" w:space="0" w:color="auto"/>
            <w:right w:val="none" w:sz="0" w:space="0" w:color="auto"/>
          </w:divBdr>
        </w:div>
        <w:div w:id="1642929441">
          <w:marLeft w:val="0"/>
          <w:marRight w:val="0"/>
          <w:marTop w:val="0"/>
          <w:marBottom w:val="0"/>
          <w:divBdr>
            <w:top w:val="none" w:sz="0" w:space="0" w:color="auto"/>
            <w:left w:val="none" w:sz="0" w:space="0" w:color="auto"/>
            <w:bottom w:val="none" w:sz="0" w:space="0" w:color="auto"/>
            <w:right w:val="none" w:sz="0" w:space="0" w:color="auto"/>
          </w:divBdr>
        </w:div>
        <w:div w:id="1751586014">
          <w:marLeft w:val="0"/>
          <w:marRight w:val="0"/>
          <w:marTop w:val="0"/>
          <w:marBottom w:val="0"/>
          <w:divBdr>
            <w:top w:val="none" w:sz="0" w:space="0" w:color="auto"/>
            <w:left w:val="none" w:sz="0" w:space="0" w:color="auto"/>
            <w:bottom w:val="none" w:sz="0" w:space="0" w:color="auto"/>
            <w:right w:val="none" w:sz="0" w:space="0" w:color="auto"/>
          </w:divBdr>
        </w:div>
        <w:div w:id="1851601684">
          <w:marLeft w:val="0"/>
          <w:marRight w:val="0"/>
          <w:marTop w:val="0"/>
          <w:marBottom w:val="0"/>
          <w:divBdr>
            <w:top w:val="none" w:sz="0" w:space="0" w:color="auto"/>
            <w:left w:val="none" w:sz="0" w:space="0" w:color="auto"/>
            <w:bottom w:val="none" w:sz="0" w:space="0" w:color="auto"/>
            <w:right w:val="none" w:sz="0" w:space="0" w:color="auto"/>
          </w:divBdr>
        </w:div>
        <w:div w:id="2052925110">
          <w:marLeft w:val="0"/>
          <w:marRight w:val="0"/>
          <w:marTop w:val="0"/>
          <w:marBottom w:val="0"/>
          <w:divBdr>
            <w:top w:val="none" w:sz="0" w:space="0" w:color="auto"/>
            <w:left w:val="none" w:sz="0" w:space="0" w:color="auto"/>
            <w:bottom w:val="none" w:sz="0" w:space="0" w:color="auto"/>
            <w:right w:val="none" w:sz="0" w:space="0" w:color="auto"/>
          </w:divBdr>
        </w:div>
      </w:divsChild>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410687329">
      <w:bodyDiv w:val="1"/>
      <w:marLeft w:val="0"/>
      <w:marRight w:val="0"/>
      <w:marTop w:val="0"/>
      <w:marBottom w:val="0"/>
      <w:divBdr>
        <w:top w:val="none" w:sz="0" w:space="0" w:color="auto"/>
        <w:left w:val="none" w:sz="0" w:space="0" w:color="auto"/>
        <w:bottom w:val="none" w:sz="0" w:space="0" w:color="auto"/>
        <w:right w:val="none" w:sz="0" w:space="0" w:color="auto"/>
      </w:divBdr>
    </w:div>
    <w:div w:id="153676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image" Target="media/image3.png"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1.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eader" Target="header5.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footer" Target="footer4.xml" Id="rId24"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header" Target="header6.xml" Id="rId23" /><Relationship Type="http://schemas.openxmlformats.org/officeDocument/2006/relationships/settings" Target="setting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footer" Target="footer3.xml" Id="rId22" /><Relationship Type="http://schemas.openxmlformats.org/officeDocument/2006/relationships/glossaryDocument" Target="/word/glossary/document.xml" Id="Ra28fb6214b1e4d99" /></Relationships>
</file>

<file path=word/_rels/endnotes.xml.rels><?xml version="1.0" encoding="UTF-8" standalone="yes"?>
<Relationships xmlns="http://schemas.openxmlformats.org/package/2006/relationships"><Relationship Id="rId13" Type="http://schemas.openxmlformats.org/officeDocument/2006/relationships/hyperlink" Target="https://home.crin.org/issues/bodily-integrity" TargetMode="External"/><Relationship Id="rId18" Type="http://schemas.openxmlformats.org/officeDocument/2006/relationships/hyperlink" Target="https://undocs.org/A/64/272" TargetMode="External"/><Relationship Id="rId26" Type="http://schemas.openxmlformats.org/officeDocument/2006/relationships/hyperlink" Target="https://www.safetyandquality.gov.au/sites/default/files/2020-09/sq20-030_-_fact_sheet_-_informed_consent_-_nsqhs-8.9a.pdf" TargetMode="External"/><Relationship Id="rId39" Type="http://schemas.openxmlformats.org/officeDocument/2006/relationships/hyperlink" Target="https://research-management.mq.edu.au/ws/portalfiles/portal/83835078/72593734.pdf" TargetMode="External"/><Relationship Id="rId21" Type="http://schemas.openxmlformats.org/officeDocument/2006/relationships/hyperlink" Target="https://www2.health.vic.gov.au/about/populations/lgbti-health/rainbow-equality/working-with-specific-groups/infants-children-adolescents-with-intersex-conditions" TargetMode="External"/><Relationship Id="rId34" Type="http://schemas.openxmlformats.org/officeDocument/2006/relationships/hyperlink" Target="https://ihra.org.au/22160/intersex-health-hid2013-plenary/" TargetMode="External"/><Relationship Id="rId42" Type="http://schemas.openxmlformats.org/officeDocument/2006/relationships/hyperlink" Target="http://www.aph.gov.au/Parliamentary_Business/Committees/Senate/Community_Affairs/Involuntary_Sterilisation/Sec_Report/~/media/Committees/Senate/committee/clac_ctte/involuntary_sterilisation/second_report/report.ashx" TargetMode="External"/><Relationship Id="rId47" Type="http://schemas.openxmlformats.org/officeDocument/2006/relationships/hyperlink" Target="https://www.safetyandquality.gov.au/standards/nsqhs-standards" TargetMode="External"/><Relationship Id="rId50" Type="http://schemas.openxmlformats.org/officeDocument/2006/relationships/hyperlink" Target="https://www.nhmrc.gov.au/guidelines" TargetMode="External"/><Relationship Id="rId55" Type="http://schemas.openxmlformats.org/officeDocument/2006/relationships/hyperlink" Target="https://research-management.mq.edu.au/ws/portalfiles/portal/83835078/72593734.pdf" TargetMode="External"/><Relationship Id="rId7" Type="http://schemas.openxmlformats.org/officeDocument/2006/relationships/hyperlink" Target="http://parlinfo.aph.gov.au/parlInfo/search/display/display.w3p;query=Id%3A%22chamber%2Fhansards%2Fb72114df-d068-4aeb-8fd0-833d5a01f955%2F0164%22;src1=sm1" TargetMode="External"/><Relationship Id="rId2" Type="http://schemas.openxmlformats.org/officeDocument/2006/relationships/hyperlink" Target="https://www.humanrights.gov.au/sites/default/files/document/publication/SOGII%20Rights%20Report%202015_Web_Version.pdf" TargetMode="External"/><Relationship Id="rId16" Type="http://schemas.openxmlformats.org/officeDocument/2006/relationships/hyperlink" Target="http://www.aph.gov.au/Parliamentary_Business/Committees/Senate/Community_Affairs/Involuntary_Sterilisation/Sec_Report/~/media/Committees/Senate/committee/clac_ctte/involuntary_sterilisation/second_report/report.ashx" TargetMode="External"/><Relationship Id="rId29" Type="http://schemas.openxmlformats.org/officeDocument/2006/relationships/hyperlink" Target="https://www2.health.vic.gov.au/about/populations/lgbti-health/rainbow-equality/working-with-specific-groups/infants-children-adolescents-with-intersex-conditions" TargetMode="External"/><Relationship Id="rId11" Type="http://schemas.openxmlformats.org/officeDocument/2006/relationships/hyperlink" Target="http://www.abs.gov.au/websitedbs/D3310114.nsf/home/ABS+Response+to+Sex+and+Gender+Guidelines" TargetMode="External"/><Relationship Id="rId24" Type="http://schemas.openxmlformats.org/officeDocument/2006/relationships/hyperlink" Target="https://www2.health.vic.gov.au/about/populations/lgbti-health/rainbow-equality/working-with-specific-groups/infants-children-adolescents-with-intersex-conditions" TargetMode="External"/><Relationship Id="rId32" Type="http://schemas.openxmlformats.org/officeDocument/2006/relationships/hyperlink" Target="Http://Www.Aph.Gov.Au/Parliamentary_Business/Committees/Senate/Community_Affairs/Involuntary_Sterilisation/Sec_Report/~/Media/Committees/Senate/Committee/Clac_ctte/Involuntary_sterilisation/Second_report/Report.Ashx." TargetMode="External"/><Relationship Id="rId37" Type="http://schemas.openxmlformats.org/officeDocument/2006/relationships/hyperlink" Target="https://www.ncbi.nlm.nih.gov/pmc/articles/PMC3895870/" TargetMode="External"/><Relationship Id="rId40" Type="http://schemas.openxmlformats.org/officeDocument/2006/relationships/hyperlink" Target="http://www.aph.gov.au/Parliamentary_Business/Committees/Senate/Community_Affairs/Involuntary_Sterilisation/Sec_Report/~/media/Committees/Senate/committee/clac_ctte/involuntary_sterilisation/second_report/report.ashx" TargetMode="External"/><Relationship Id="rId45" Type="http://schemas.openxmlformats.org/officeDocument/2006/relationships/hyperlink" Target="https://www2.health.vic.gov.au/about/populations/lgbti-health/rainbow-equality/working-with-specific-groups/infants-children-adolescents-with-intersex-conditions" TargetMode="External"/><Relationship Id="rId53" Type="http://schemas.openxmlformats.org/officeDocument/2006/relationships/hyperlink" Target="https://www.nhmrc.gov.au/guidelines" TargetMode="External"/><Relationship Id="rId58" Type="http://schemas.openxmlformats.org/officeDocument/2006/relationships/hyperlink" Target="http://www.abs.gov.au/websitedbs/D3310114.nsf/home/ABS+Response+to+Sex+and+Gender+Guidelines" TargetMode="External"/><Relationship Id="rId5" Type="http://schemas.openxmlformats.org/officeDocument/2006/relationships/hyperlink" Target="http://www.aph.gov.au/Parliamentary_Business/Committees/Senate/Community_Affairs/Involuntary_Sterilisation/Sec_Report/~/media/Committees/Senate/committee/clac_ctte/involuntary_sterilisation/second_report/report.ashx" TargetMode="External"/><Relationship Id="rId19" Type="http://schemas.openxmlformats.org/officeDocument/2006/relationships/hyperlink" Target="https://www2.ohchr.org/english/bodies/crc/docs/GC/CRC-C-GC-15_en.doc" TargetMode="External"/><Relationship Id="rId4" Type="http://schemas.openxmlformats.org/officeDocument/2006/relationships/hyperlink" Target="https://rightstalk.humanrights.gov.au/sites/default/files/AHRC_ICESCR_LOI_2016.pdf" TargetMode="External"/><Relationship Id="rId9" Type="http://schemas.openxmlformats.org/officeDocument/2006/relationships/hyperlink" Target="https://humanrights.gov.au/our-work/lgbti/projects/protecting-human-rights-people-born-variations-sex-characteristics-context" TargetMode="External"/><Relationship Id="rId14" Type="http://schemas.openxmlformats.org/officeDocument/2006/relationships/hyperlink" Target="http://www.ohchr.org/EN/NewsEvents/Pages/DisplayNews.aspx?NewsID=15941&amp;LangID=E" TargetMode="External"/><Relationship Id="rId22" Type="http://schemas.openxmlformats.org/officeDocument/2006/relationships/hyperlink" Target="https://www2.health.vic.gov.au/about/populations/lgbti-health/rainbow-equality/working-with-specific-groups/infants-children-adolescents-with-intersex-conditions" TargetMode="External"/><Relationship Id="rId27" Type="http://schemas.openxmlformats.org/officeDocument/2006/relationships/hyperlink" Target="https://undocs.org/A/64/272" TargetMode="External"/><Relationship Id="rId30" Type="http://schemas.openxmlformats.org/officeDocument/2006/relationships/hyperlink" Target="https://www2.health.vic.gov.au/about/populations/lgbti-health/rainbow-equality/working-with-specific-groups/infants-children-adolescents-with-intersex-conditions" TargetMode="External"/><Relationship Id="rId35" Type="http://schemas.openxmlformats.org/officeDocument/2006/relationships/hyperlink" Target="https://www2.health.vic.gov.au/about/populations/lgbti-health/rainbow-equality/working-with-specific-groups/infants-children-adolescents-with-intersex-conditions" TargetMode="External"/><Relationship Id="rId43" Type="http://schemas.openxmlformats.org/officeDocument/2006/relationships/hyperlink" Target="https://www2.health.vic.gov.au/about/populations/lgbti-health/rainbow-equality/working-with-specific-groups/infants-children-adolescents-with-intersex-conditions" TargetMode="External"/><Relationship Id="rId48" Type="http://schemas.openxmlformats.org/officeDocument/2006/relationships/hyperlink" Target="https://www.safetyandquality.gov.au/standards/nsqhs-standards/implementation-nsqhs-standards" TargetMode="External"/><Relationship Id="rId56" Type="http://schemas.openxmlformats.org/officeDocument/2006/relationships/hyperlink" Target="https://research-management.mq.edu.au/ws/portalfiles/portal/83835078/72593734.pdf" TargetMode="External"/><Relationship Id="rId8" Type="http://schemas.openxmlformats.org/officeDocument/2006/relationships/hyperlink" Target="https://www2.health.vic.gov.au/about/publications/Factsheets/i-am-equal" TargetMode="External"/><Relationship Id="rId51" Type="http://schemas.openxmlformats.org/officeDocument/2006/relationships/hyperlink" Target="https://www.nhmrc.gov.au/guidelinesforguidelines/standards" TargetMode="External"/><Relationship Id="rId3" Type="http://schemas.openxmlformats.org/officeDocument/2006/relationships/hyperlink" Target="https://www.humanrights.gov.au/surgery-intersex-infants-and-human-rights-2009" TargetMode="External"/><Relationship Id="rId12" Type="http://schemas.openxmlformats.org/officeDocument/2006/relationships/hyperlink" Target="https://www.ohchr.org/Documents/Issues/Discrimination/LGBT/BackgroundNoteHumanRightsViolationsagainstIntersexPeople.pdf" TargetMode="External"/><Relationship Id="rId17" Type="http://schemas.openxmlformats.org/officeDocument/2006/relationships/hyperlink" Target="https://undocs.org/A/64/272" TargetMode="External"/><Relationship Id="rId25" Type="http://schemas.openxmlformats.org/officeDocument/2006/relationships/hyperlink" Target="https://www2.health.vic.gov.au/about/populations/lgbti-health/rainbow-equality/working-with-specific-groups/infants-children-adolescents-with-intersex-conditions" TargetMode="External"/><Relationship Id="rId33" Type="http://schemas.openxmlformats.org/officeDocument/2006/relationships/hyperlink" Target="Http://Www.Aph.Gov.Au/Parliamentary_Business/Committees/Senate/Community_Affairs/Involuntary_Sterilisation/Sec_Report/~/Media/Committees/Senate/Committee/Clac_ctte/Involuntary_sterilisation/Second_report/Report.Ashx." TargetMode="External"/><Relationship Id="rId38" Type="http://schemas.openxmlformats.org/officeDocument/2006/relationships/hyperlink" Target="https://research-management.mq.edu.au/ws/portalfiles/portal/83835078/72593734.pdf" TargetMode="External"/><Relationship Id="rId46" Type="http://schemas.openxmlformats.org/officeDocument/2006/relationships/hyperlink" Target="https://www2.health.vic.gov.au/about/populations/lgbti-health/rainbow-equality/working-with-specific-groups/infants-children-adolescents-with-intersex-conditions" TargetMode="External"/><Relationship Id="rId20" Type="http://schemas.openxmlformats.org/officeDocument/2006/relationships/hyperlink" Target="https://www2.health.vic.gov.au/about/populations/lgbti-health/rainbow-equality/working-with-specific-groups/infants-children-adolescents-with-intersex-conditions" TargetMode="External"/><Relationship Id="rId41" Type="http://schemas.openxmlformats.org/officeDocument/2006/relationships/hyperlink" Target="http://www.aph.gov.au/Parliamentary_Business/Committees/Senate/Community_Affairs/Involuntary_Sterilisation/Sec_Report/~/media/Committees/Senate/committee/clac_ctte/involuntary_sterilisation/second_report/report.ashx" TargetMode="External"/><Relationship Id="rId54" Type="http://schemas.openxmlformats.org/officeDocument/2006/relationships/hyperlink" Target="https://diprece.minsal.cl/wrdprss_minsal/wp-content/uploads/2018/03/Circular-08-22-12-15-Instruye-Sobre-Ciertos-Aspectos-de-la-atenci%C3%B3n-de....pdf" TargetMode="External"/><Relationship Id="rId1" Type="http://schemas.openxmlformats.org/officeDocument/2006/relationships/hyperlink" Target="https://darlington.org.au/statement" TargetMode="External"/><Relationship Id="rId6" Type="http://schemas.openxmlformats.org/officeDocument/2006/relationships/hyperlink" Target="http://parlinfo.aph.gov.au/parlInfo/search/display/display.w3p;query=Id%3A%22chamber%2Fhansards%2Fb72114df-d068-4aeb-8fd0-833d5a01f955%2F0164%22;src1=sm1" TargetMode="External"/><Relationship Id="rId15" Type="http://schemas.openxmlformats.org/officeDocument/2006/relationships/hyperlink" Target="http://tbinternet.ohchr.org/_layouts/treatybodyexternal/Download.aspx?symbolno=CAT/C/AUT/CO/6&amp;Lang=En" TargetMode="External"/><Relationship Id="rId23" Type="http://schemas.openxmlformats.org/officeDocument/2006/relationships/hyperlink" Target="https://www2.health.vic.gov.au/about/populations/lgbti-health/rainbow-equality/working-with-specific-groups/infants-children-adolescents-with-intersex-conditions" TargetMode="External"/><Relationship Id="rId28" Type="http://schemas.openxmlformats.org/officeDocument/2006/relationships/hyperlink" Target="https://www.nichd.nih.gov/health/topics/cah/conditioninfo/symptoms" TargetMode="External"/><Relationship Id="rId36" Type="http://schemas.openxmlformats.org/officeDocument/2006/relationships/hyperlink" Target="https://urology.ucsf.edu/patient-care/children/genital-anomalies/hypospadias" TargetMode="External"/><Relationship Id="rId49" Type="http://schemas.openxmlformats.org/officeDocument/2006/relationships/hyperlink" Target="https://www.nhmrc.gov.au/guidelines" TargetMode="External"/><Relationship Id="rId57" Type="http://schemas.openxmlformats.org/officeDocument/2006/relationships/hyperlink" Target="https://www.myhealthrecord.gov.au/for-teens" TargetMode="External"/><Relationship Id="rId10" Type="http://schemas.openxmlformats.org/officeDocument/2006/relationships/hyperlink" Target="http://www.nhmrc.gov.au/guidelines/publications/e72" TargetMode="External"/><Relationship Id="rId31" Type="http://schemas.openxmlformats.org/officeDocument/2006/relationships/hyperlink" Target="Http://Www.Aph.Gov.Au/Parliamentary_Business/Committees/Senate/Community_Affairs/Involuntary_Sterilisation/Sec_Report/~/Media/Committees/Senate/Committee/Clac_ctte/Involuntary_sterilisation/Second_report/Report.Ashx." TargetMode="External"/><Relationship Id="rId44" Type="http://schemas.openxmlformats.org/officeDocument/2006/relationships/hyperlink" Target="https://www2.health.vic.gov.au/about/populations/lgbti-health/rainbow-equality/working-with-specific-groups/infants-children-adolescents-with-intersex-conditions" TargetMode="External"/><Relationship Id="rId52" Type="http://schemas.openxmlformats.org/officeDocument/2006/relationships/hyperlink" Target="https://www.nhmrc.gov.au/guidelinesforguidelines/plan/consumer-involv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australianhrc.sharepoint.com/sites/radical/AHRCTemplateHub/Commission/AHRC%20Report%20Template.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6d8e825-6548-422b-97ff-e44386fa8472}"/>
      </w:docPartPr>
      <w:docPartBody>
        <w:p w14:paraId="02641AA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_dlc_DocId xmlns="6500fe01-343b-4fb9-a1b0-68ac19d62e01">DGE6U7RJ2EFV-76312256-8798</_dlc_DocId>
    <_dlc_DocIdUrl xmlns="6500fe01-343b-4fb9-a1b0-68ac19d62e01">
      <Url>https://australianhrc.sharepoint.com/sites/PolicyExternalProjects/_layouts/15/DocIdRedir.aspx?ID=DGE6U7RJ2EFV-76312256-8798</Url>
      <Description>DGE6U7RJ2EFV-76312256-8798</Description>
    </_dlc_DocIdUrl>
    <fbe8333e833142b1aa4e528d7d71931d xmlns="f38bc97f-71db-45c8-93e4-332747d752e1">
      <Terms xmlns="http://schemas.microsoft.com/office/infopath/2007/PartnerControls"/>
    </fbe8333e833142b1aa4e528d7d71931d>
    <To xmlns="f38bc97f-71db-45c8-93e4-332747d752e1" xsi:nil="true"/>
    <Divider xmlns="6500fe01-343b-4fb9-a1b0-68ac19d62e01" xsi:nil="true"/>
    <Has_x0020_Attachments xmlns="f38bc97f-71db-45c8-93e4-332747d752e1" xsi:nil="true"/>
    <Subdivider xmlns="f38bc97f-71db-45c8-93e4-332747d752e1">-</Subdivider>
    <Download xmlns="f38bc97f-71db-45c8-93e4-332747d752e1" xsi:nil="true"/>
    <Received_x002f_Sent xmlns="f38bc97f-71db-45c8-93e4-332747d752e1" xsi:nil="true"/>
    <Open_x0020_in_x0020_Outlook xmlns="f38bc97f-71db-45c8-93e4-332747d752e1" xsi:nil="true"/>
    <From1 xmlns="f38bc97f-71db-45c8-93e4-332747d752e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975c5ac6-a0cc-43ed-b850-4a2ae59237b6"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876BD0F2B6C9A04CBA6A9FC32DD62FFF" ma:contentTypeVersion="1730" ma:contentTypeDescription="Create a new document." ma:contentTypeScope="" ma:versionID="4e6e31541ebb1b907defa89e97797821">
  <xsd:schema xmlns:xsd="http://www.w3.org/2001/XMLSchema" xmlns:xs="http://www.w3.org/2001/XMLSchema" xmlns:p="http://schemas.microsoft.com/office/2006/metadata/properties" xmlns:ns2="f38bc97f-71db-45c8-93e4-332747d752e1" xmlns:ns3="6500fe01-343b-4fb9-a1b0-68ac19d62e01" xmlns:ns4="fc061a67-563d-45f0-9c83-32d68005b4df" targetNamespace="http://schemas.microsoft.com/office/2006/metadata/properties" ma:root="true" ma:fieldsID="518afbe06e63fa1d4648d95a6b730e50" ns2:_="" ns3:_="" ns4:_="">
    <xsd:import namespace="f38bc97f-71db-45c8-93e4-332747d752e1"/>
    <xsd:import namespace="6500fe01-343b-4fb9-a1b0-68ac19d62e01"/>
    <xsd:import namespace="fc061a67-563d-45f0-9c83-32d68005b4df"/>
    <xsd:element name="properties">
      <xsd:complexType>
        <xsd:sequence>
          <xsd:element name="documentManagement">
            <xsd:complexType>
              <xsd:all>
                <xsd:element ref="ns3:Divider" minOccurs="0"/>
                <xsd:element ref="ns2:Subdivider"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fbe8333e833142b1aa4e528d7d71931d" minOccurs="0"/>
                <xsd:element ref="ns2:From1" minOccurs="0"/>
                <xsd:element ref="ns2:Has_x0020_Attachments" minOccurs="0"/>
                <xsd:element ref="ns2:Received_x002f_Sent" minOccurs="0"/>
                <xsd:element ref="ns2:To" minOccurs="0"/>
                <xsd:element ref="ns2:Download" minOccurs="0"/>
                <xsd:element ref="ns2:Open_x0020_in_x0020_Outlook"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bc97f-71db-45c8-93e4-332747d752e1" elementFormDefault="qualified">
    <xsd:import namespace="http://schemas.microsoft.com/office/2006/documentManagement/types"/>
    <xsd:import namespace="http://schemas.microsoft.com/office/infopath/2007/PartnerControls"/>
    <xsd:element name="Subdivider" ma:index="3" nillable="true" ma:displayName="Subdivider" ma:default="-" ma:format="Dropdown" ma:indexed="true" ma:internalName="Subdivider">
      <xsd:simpleType>
        <xsd:union memberTypes="dms:Text">
          <xsd:simpleType>
            <xsd:restriction base="dms:Choice">
              <xsd:enumeration value="-"/>
            </xsd:restriction>
          </xsd:simpleType>
        </xsd:union>
      </xsd:simpleType>
    </xsd:element>
    <xsd:element name="fbe8333e833142b1aa4e528d7d71931d" ma:index="19" nillable="true" ma:taxonomy="true" ma:internalName="fbe8333e833142b1aa4e528d7d71931d" ma:taxonomyFieldName="Document_x0020_Type" ma:displayName="Document Type" ma:indexed="true" ma:default="" ma:fieldId="{fbe8333e-8331-42b1-aa4e-528d7d71931d}" ma:sspId="975c5ac6-a0cc-43ed-b850-4a2ae59237b6" ma:termSetId="06f72989-bf1e-40b3-b4de-fd0ca0e5cdad" ma:anchorId="00000000-0000-0000-0000-000000000000" ma:open="false" ma:isKeyword="false">
      <xsd:complexType>
        <xsd:sequence>
          <xsd:element ref="pc:Terms" minOccurs="0" maxOccurs="1"/>
        </xsd:sequence>
      </xsd:complexType>
    </xsd:element>
    <xsd:element name="From1" ma:index="20" nillable="true" ma:displayName="From" ma:hidden="true" ma:indexed="true" ma:internalName="From1" ma:readOnly="false">
      <xsd:simpleType>
        <xsd:restriction base="dms:Text">
          <xsd:maxLength value="255"/>
        </xsd:restriction>
      </xsd:simpleType>
    </xsd:element>
    <xsd:element name="Has_x0020_Attachments" ma:index="21" nillable="true" ma:displayName="Has Attachments" ma:hidden="true" ma:indexed="true" ma:internalName="Has_x0020_Attachments" ma:readOnly="false">
      <xsd:simpleType>
        <xsd:restriction base="dms:Text">
          <xsd:maxLength value="255"/>
        </xsd:restriction>
      </xsd:simpleType>
    </xsd:element>
    <xsd:element name="Received_x002f_Sent" ma:index="22" nillable="true" ma:displayName="Received/Sent" ma:format="DateOnly" ma:hidden="true" ma:indexed="true" ma:internalName="Received_x002F_Sent" ma:readOnly="false">
      <xsd:simpleType>
        <xsd:restriction base="dms:DateTime"/>
      </xsd:simpleType>
    </xsd:element>
    <xsd:element name="To" ma:index="23" nillable="true" ma:displayName="To" ma:hidden="true" ma:indexed="true" ma:internalName="To" ma:readOnly="false">
      <xsd:simpleType>
        <xsd:restriction base="dms:Text">
          <xsd:maxLength value="255"/>
        </xsd:restriction>
      </xsd:simpleType>
    </xsd:element>
    <xsd:element name="Download" ma:index="24" nillable="true" ma:displayName="Download" ma:hidden="true" ma:indexed="true" ma:internalName="Download" ma:readOnly="false">
      <xsd:simpleType>
        <xsd:restriction base="dms:Text">
          <xsd:maxLength value="255"/>
        </xsd:restriction>
      </xsd:simpleType>
    </xsd:element>
    <xsd:element name="Open_x0020_in_x0020_Outlook" ma:index="25" nillable="true" ma:displayName="Open in Outlook" ma:hidden="true" ma:indexed="true" ma:internalName="Open_x0020_in_x0020_Outlook" ma:readOnly="false">
      <xsd:simpleType>
        <xsd:restriction base="dms:Text">
          <xsd:maxLength value="255"/>
        </xsd:restriction>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indexed="true" ma:internalName="Divider">
      <xsd:simpleType>
        <xsd:restriction base="dms:Text">
          <xsd:maxLength value="255"/>
        </xsd:restriction>
      </xsd:simpleType>
    </xsd:element>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4abab14b-d755-459c-8f5c-ac356589ffea}" ma:internalName="TaxCatchAll" ma:showField="CatchAllData"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abab14b-d755-459c-8f5c-ac356589ffea}" ma:internalName="TaxCatchAllLabel" ma:readOnly="true" ma:showField="CatchAllDataLabel"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061a67-563d-45f0-9c83-32d68005b4df"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ma:index="3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7C5B9-7685-4CA8-85D4-D3B7075DC73B}">
  <ds:schemaRefs>
    <ds:schemaRef ds:uri="http://schemas.microsoft.com/office/2006/metadata/customXsn"/>
  </ds:schemaRefs>
</ds:datastoreItem>
</file>

<file path=customXml/itemProps2.xml><?xml version="1.0" encoding="utf-8"?>
<ds:datastoreItem xmlns:ds="http://schemas.openxmlformats.org/officeDocument/2006/customXml" ds:itemID="{473B95D2-846C-4010-968C-95D452DE77A3}">
  <ds:schemaRefs>
    <ds:schemaRef ds:uri="http://schemas.microsoft.com/sharepoint/events"/>
  </ds:schemaRefs>
</ds:datastoreItem>
</file>

<file path=customXml/itemProps3.xml><?xml version="1.0" encoding="utf-8"?>
<ds:datastoreItem xmlns:ds="http://schemas.openxmlformats.org/officeDocument/2006/customXml" ds:itemID="{DE2ACD7C-2BA9-47F9-8579-76DB6345E23F}">
  <ds:schemaRefs>
    <ds:schemaRef ds:uri="http://schemas.microsoft.com/office/2006/metadata/properties"/>
    <ds:schemaRef ds:uri="http://schemas.microsoft.com/office/infopath/2007/PartnerControls"/>
    <ds:schemaRef ds:uri="6500fe01-343b-4fb9-a1b0-68ac19d62e01"/>
    <ds:schemaRef ds:uri="f38bc97f-71db-45c8-93e4-332747d752e1"/>
  </ds:schemaRefs>
</ds:datastoreItem>
</file>

<file path=customXml/itemProps4.xml><?xml version="1.0" encoding="utf-8"?>
<ds:datastoreItem xmlns:ds="http://schemas.openxmlformats.org/officeDocument/2006/customXml" ds:itemID="{56352C10-2325-43C8-85E1-6835753AE36B}">
  <ds:schemaRefs>
    <ds:schemaRef ds:uri="http://schemas.openxmlformats.org/officeDocument/2006/bibliography"/>
  </ds:schemaRefs>
</ds:datastoreItem>
</file>

<file path=customXml/itemProps5.xml><?xml version="1.0" encoding="utf-8"?>
<ds:datastoreItem xmlns:ds="http://schemas.openxmlformats.org/officeDocument/2006/customXml" ds:itemID="{4BDDF253-407C-4B63-9535-3D5A37A3560F}">
  <ds:schemaRefs>
    <ds:schemaRef ds:uri="Microsoft.SharePoint.Taxonomy.ContentTypeSync"/>
  </ds:schemaRefs>
</ds:datastoreItem>
</file>

<file path=customXml/itemProps6.xml><?xml version="1.0" encoding="utf-8"?>
<ds:datastoreItem xmlns:ds="http://schemas.openxmlformats.org/officeDocument/2006/customXml" ds:itemID="{B9FC7259-9D65-4F8E-88DF-B5C3B3A0C7DE}">
  <ds:schemaRefs>
    <ds:schemaRef ds:uri="http://schemas.microsoft.com/sharepoint/v3/contenttype/forms"/>
  </ds:schemaRefs>
</ds:datastoreItem>
</file>

<file path=customXml/itemProps7.xml><?xml version="1.0" encoding="utf-8"?>
<ds:datastoreItem xmlns:ds="http://schemas.openxmlformats.org/officeDocument/2006/customXml" ds:itemID="{3B925865-4525-4678-A0CD-4FFDBB93D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bc97f-71db-45c8-93e4-332747d752e1"/>
    <ds:schemaRef ds:uri="6500fe01-343b-4fb9-a1b0-68ac19d62e01"/>
    <ds:schemaRef ds:uri="fc061a67-563d-45f0-9c83-32d68005b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AHRC%20Report%20Template.dotx</ap:Template>
  <ap:Application>Microsoft Word for the web</ap:Application>
  <ap:DocSecurity>0</ap:DocSecurity>
  <ap:ScaleCrop>false</ap:ScaleCrop>
  <ap:Company>Human Rights and Equal Opportunity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Michael Frommer</dc:creator>
  <keywords/>
  <dc:description/>
  <lastModifiedBy>Michael Frommer</lastModifiedBy>
  <revision>21</revision>
  <lastPrinted>2021-10-06T19:51:00.0000000Z</lastPrinted>
  <dcterms:created xsi:type="dcterms:W3CDTF">2021-10-17T23:02:00.0000000Z</dcterms:created>
  <dcterms:modified xsi:type="dcterms:W3CDTF">2021-10-19T03:33:12.5350344Z</dcterms:modified>
  <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0x010100876BD0F2B6C9A04CBA6A9FC32DD62FFF</vt:lpwstr>
  </property>
  <property fmtid="{D5CDD505-2E9C-101B-9397-08002B2CF9AE}" pid="3" name="TaxKeyword">
    <vt:lpwstr/>
  </property>
  <property fmtid="{D5CDD505-2E9C-101B-9397-08002B2CF9AE}" pid="4" name="Document Type">
    <vt:lpwstr/>
  </property>
  <property fmtid="{D5CDD505-2E9C-101B-9397-08002B2CF9AE}" pid="5" name="_dlc_DocIdItemGuid">
    <vt:lpwstr>96a948a0-578f-4917-8dea-35195888599e</vt:lpwstr>
  </property>
</Properties>
</file>