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6121B" w14:textId="5E4186BF" w:rsidR="00A355F9" w:rsidRPr="00D73ED4" w:rsidRDefault="00D73ED4" w:rsidP="00A355F9">
      <w:pPr>
        <w:pStyle w:val="MainTitle"/>
        <w:rPr>
          <w:sz w:val="52"/>
          <w:szCs w:val="28"/>
        </w:rPr>
      </w:pPr>
      <w:r w:rsidRPr="00D73ED4">
        <w:rPr>
          <w:sz w:val="52"/>
          <w:szCs w:val="28"/>
        </w:rPr>
        <w:t>Mr KX v Commonwealth of Australia (Department of Home Affairs)</w:t>
      </w:r>
    </w:p>
    <w:p w14:paraId="7D90A153" w14:textId="2A3565C2" w:rsidR="00D73ED4" w:rsidRPr="00D73ED4" w:rsidRDefault="00D73ED4" w:rsidP="00D73ED4">
      <w:pPr>
        <w:spacing w:before="360"/>
        <w:jc w:val="right"/>
        <w:rPr>
          <w:rFonts w:cs="Arial"/>
          <w:b/>
          <w:bCs/>
          <w:sz w:val="28"/>
        </w:rPr>
      </w:pPr>
      <w:r w:rsidRPr="00D73ED4">
        <w:rPr>
          <w:rFonts w:cs="Arial"/>
          <w:b/>
          <w:bCs/>
          <w:sz w:val="28"/>
        </w:rPr>
        <w:t>[202</w:t>
      </w:r>
      <w:r w:rsidR="00C8280D">
        <w:rPr>
          <w:rFonts w:cs="Arial"/>
          <w:b/>
          <w:bCs/>
          <w:sz w:val="28"/>
        </w:rPr>
        <w:t>4</w:t>
      </w:r>
      <w:r w:rsidRPr="00D73ED4">
        <w:rPr>
          <w:rFonts w:cs="Arial"/>
          <w:b/>
          <w:bCs/>
          <w:sz w:val="28"/>
        </w:rPr>
        <w:t xml:space="preserve">] </w:t>
      </w:r>
      <w:proofErr w:type="spellStart"/>
      <w:r w:rsidRPr="00D73ED4">
        <w:rPr>
          <w:rFonts w:cs="Arial"/>
          <w:b/>
          <w:bCs/>
          <w:sz w:val="28"/>
        </w:rPr>
        <w:t>AusHRC</w:t>
      </w:r>
      <w:proofErr w:type="spellEnd"/>
      <w:r w:rsidRPr="00D73ED4">
        <w:rPr>
          <w:rFonts w:cs="Arial"/>
          <w:b/>
          <w:bCs/>
          <w:sz w:val="28"/>
        </w:rPr>
        <w:t xml:space="preserve"> 155</w:t>
      </w:r>
    </w:p>
    <w:p w14:paraId="354A22FB" w14:textId="1AEA5D78" w:rsidR="009E4BD0" w:rsidRPr="00D73ED4" w:rsidRDefault="008A7305" w:rsidP="00D73ED4">
      <w:pPr>
        <w:spacing w:before="360"/>
        <w:jc w:val="right"/>
        <w:sectPr w:rsidR="009E4BD0" w:rsidRPr="00D73ED4" w:rsidSect="00AC636D">
          <w:headerReference w:type="even" r:id="rId14"/>
          <w:headerReference w:type="default" r:id="rId15"/>
          <w:headerReference w:type="first" r:id="rId16"/>
          <w:footerReference w:type="first" r:id="rId17"/>
          <w:type w:val="continuous"/>
          <w:pgSz w:w="11906" w:h="16838" w:code="9"/>
          <w:pgMar w:top="228" w:right="1700" w:bottom="1134" w:left="1418" w:header="277" w:footer="1361" w:gutter="0"/>
          <w:pgNumType w:start="2"/>
          <w:cols w:space="708"/>
          <w:titlePg/>
          <w:docGrid w:linePitch="360"/>
        </w:sectPr>
      </w:pPr>
      <w:r w:rsidRPr="00D73ED4">
        <w:rPr>
          <w:rFonts w:cs="Arial"/>
          <w:sz w:val="28"/>
        </w:rPr>
        <w:fldChar w:fldCharType="begin"/>
      </w:r>
      <w:r w:rsidRPr="00D73ED4">
        <w:rPr>
          <w:rFonts w:cs="Arial"/>
          <w:sz w:val="28"/>
        </w:rPr>
        <w:instrText xml:space="preserve"> CREATEDATE  \@ "MMMM yyyy"  \* MERGEFORMAT </w:instrText>
      </w:r>
      <w:r w:rsidRPr="00D73ED4">
        <w:rPr>
          <w:rFonts w:cs="Arial"/>
          <w:sz w:val="28"/>
        </w:rPr>
        <w:fldChar w:fldCharType="separate"/>
      </w:r>
      <w:r w:rsidR="00442898">
        <w:rPr>
          <w:rFonts w:cs="Arial"/>
          <w:noProof/>
          <w:sz w:val="28"/>
        </w:rPr>
        <w:t>January</w:t>
      </w:r>
      <w:r w:rsidR="003608E3" w:rsidRPr="00D73ED4">
        <w:rPr>
          <w:rFonts w:cs="Arial"/>
          <w:noProof/>
          <w:sz w:val="28"/>
        </w:rPr>
        <w:t xml:space="preserve"> 202</w:t>
      </w:r>
      <w:r w:rsidR="00442898">
        <w:rPr>
          <w:rFonts w:cs="Arial"/>
          <w:noProof/>
          <w:sz w:val="28"/>
        </w:rPr>
        <w:t>4</w:t>
      </w:r>
      <w:r w:rsidRPr="00D73ED4">
        <w:rPr>
          <w:rFonts w:cs="Arial"/>
          <w:sz w:val="28"/>
        </w:rPr>
        <w:fldChar w:fldCharType="end"/>
      </w:r>
      <w:bookmarkStart w:id="0" w:name="_Toc209316062"/>
      <w:bookmarkEnd w:id="0"/>
      <w:r w:rsidR="00961135" w:rsidRPr="00D73ED4">
        <w:rPr>
          <w:rFonts w:cs="Open Sans"/>
        </w:rPr>
        <w:t xml:space="preserve"> </w:t>
      </w:r>
    </w:p>
    <w:p w14:paraId="668FF23B" w14:textId="77777777" w:rsidR="00C316A9" w:rsidRDefault="00C316A9">
      <w:pPr>
        <w:spacing w:before="0" w:after="0"/>
        <w:rPr>
          <w:b/>
          <w:noProof/>
        </w:rPr>
      </w:pPr>
      <w:r>
        <w:lastRenderedPageBreak/>
        <w:br w:type="page"/>
      </w:r>
    </w:p>
    <w:p w14:paraId="3F71EFFD" w14:textId="77777777" w:rsidR="00C316A9" w:rsidRDefault="00C316A9">
      <w:pPr>
        <w:spacing w:before="0" w:after="0"/>
      </w:pPr>
    </w:p>
    <w:p w14:paraId="448274C6" w14:textId="77777777" w:rsidR="00C316A9" w:rsidRDefault="00C316A9">
      <w:pPr>
        <w:spacing w:before="0" w:after="0"/>
      </w:pPr>
    </w:p>
    <w:p w14:paraId="7203BE5C" w14:textId="77777777" w:rsidR="00C316A9" w:rsidRDefault="00C316A9">
      <w:pPr>
        <w:spacing w:before="0" w:after="0"/>
      </w:pPr>
    </w:p>
    <w:p w14:paraId="78EBD349" w14:textId="77777777" w:rsidR="00C316A9" w:rsidRDefault="00C316A9">
      <w:pPr>
        <w:spacing w:before="0" w:after="0"/>
      </w:pPr>
    </w:p>
    <w:p w14:paraId="6B7DC81F" w14:textId="77777777" w:rsidR="00C316A9" w:rsidRDefault="00C316A9" w:rsidP="00C316A9">
      <w:pPr>
        <w:pStyle w:val="AHRCHeading1"/>
        <w:numPr>
          <w:ilvl w:val="0"/>
          <w:numId w:val="0"/>
        </w:numPr>
      </w:pPr>
    </w:p>
    <w:p w14:paraId="08BA880E" w14:textId="77777777" w:rsidR="00C316A9" w:rsidRDefault="00C316A9" w:rsidP="00C316A9">
      <w:pPr>
        <w:pStyle w:val="AHRCHeading1"/>
        <w:numPr>
          <w:ilvl w:val="0"/>
          <w:numId w:val="0"/>
        </w:numPr>
      </w:pPr>
    </w:p>
    <w:p w14:paraId="36B5D54F" w14:textId="2025643F" w:rsidR="00C316A9" w:rsidRPr="008E707C" w:rsidRDefault="00C316A9" w:rsidP="008E707C">
      <w:pPr>
        <w:rPr>
          <w:b/>
          <w:bCs/>
          <w:sz w:val="36"/>
          <w:szCs w:val="36"/>
        </w:rPr>
      </w:pPr>
      <w:r w:rsidRPr="008E707C">
        <w:rPr>
          <w:b/>
          <w:bCs/>
          <w:sz w:val="36"/>
          <w:szCs w:val="36"/>
        </w:rPr>
        <w:t xml:space="preserve">Mr KX v Commonwealth of Australia (Department of Home Affairs) </w:t>
      </w:r>
    </w:p>
    <w:p w14:paraId="293FFA27" w14:textId="6F00EB33" w:rsidR="00C316A9" w:rsidRDefault="00C316A9">
      <w:pPr>
        <w:spacing w:before="0" w:after="0"/>
        <w:rPr>
          <w:sz w:val="32"/>
          <w:szCs w:val="32"/>
        </w:rPr>
      </w:pPr>
      <w:r w:rsidRPr="00C316A9">
        <w:rPr>
          <w:sz w:val="32"/>
          <w:szCs w:val="32"/>
        </w:rPr>
        <w:t>[202</w:t>
      </w:r>
      <w:r w:rsidR="00C8280D">
        <w:rPr>
          <w:sz w:val="32"/>
          <w:szCs w:val="32"/>
        </w:rPr>
        <w:t>4</w:t>
      </w:r>
      <w:r w:rsidRPr="00C316A9">
        <w:rPr>
          <w:sz w:val="32"/>
          <w:szCs w:val="32"/>
        </w:rPr>
        <w:t xml:space="preserve">] </w:t>
      </w:r>
      <w:proofErr w:type="spellStart"/>
      <w:r w:rsidRPr="00C316A9">
        <w:rPr>
          <w:sz w:val="32"/>
          <w:szCs w:val="32"/>
        </w:rPr>
        <w:t>AusHRC</w:t>
      </w:r>
      <w:proofErr w:type="spellEnd"/>
      <w:r w:rsidRPr="00C316A9">
        <w:rPr>
          <w:sz w:val="32"/>
          <w:szCs w:val="32"/>
        </w:rPr>
        <w:t xml:space="preserve"> 152</w:t>
      </w:r>
    </w:p>
    <w:p w14:paraId="58B878F0" w14:textId="77777777" w:rsidR="00C316A9" w:rsidRDefault="00C316A9">
      <w:pPr>
        <w:spacing w:before="0" w:after="0"/>
        <w:rPr>
          <w:sz w:val="32"/>
          <w:szCs w:val="32"/>
        </w:rPr>
      </w:pPr>
    </w:p>
    <w:p w14:paraId="6F7E61F2" w14:textId="0ED6A525" w:rsidR="00C316A9" w:rsidRPr="00C316A9" w:rsidRDefault="00C316A9">
      <w:pPr>
        <w:spacing w:before="0" w:after="0"/>
        <w:rPr>
          <w:i/>
          <w:iCs/>
        </w:rPr>
      </w:pPr>
      <w:r w:rsidRPr="00C316A9">
        <w:rPr>
          <w:i/>
          <w:iCs/>
        </w:rPr>
        <w:t>Report into use of force</w:t>
      </w:r>
      <w:r w:rsidR="00627D80">
        <w:rPr>
          <w:i/>
          <w:iCs/>
        </w:rPr>
        <w:t xml:space="preserve"> and arbitrary interference with family</w:t>
      </w:r>
    </w:p>
    <w:p w14:paraId="036B081F" w14:textId="77777777" w:rsidR="00C316A9" w:rsidRDefault="00C316A9">
      <w:pPr>
        <w:spacing w:before="0" w:after="0"/>
      </w:pPr>
    </w:p>
    <w:p w14:paraId="09F2844C" w14:textId="06DE7B1B" w:rsidR="00C316A9" w:rsidRDefault="00C316A9">
      <w:pPr>
        <w:spacing w:before="0" w:after="0"/>
        <w:rPr>
          <w:b/>
          <w:noProof/>
        </w:rPr>
      </w:pPr>
      <w:r>
        <w:t>Australian Human Rights Commission 2024</w:t>
      </w:r>
      <w:r>
        <w:br w:type="page"/>
      </w:r>
    </w:p>
    <w:p w14:paraId="5E306B9B" w14:textId="77777777" w:rsidR="00E07777" w:rsidRDefault="00E07777" w:rsidP="00E07777">
      <w:pPr>
        <w:contextualSpacing/>
        <w:rPr>
          <w:rFonts w:cs="Open Sans"/>
        </w:rPr>
      </w:pPr>
      <w:r>
        <w:rPr>
          <w:rFonts w:cs="Open Sans"/>
        </w:rPr>
        <w:lastRenderedPageBreak/>
        <w:t>The Hon Mark Dreyfus KC MP</w:t>
      </w:r>
    </w:p>
    <w:p w14:paraId="029D0C54" w14:textId="77777777" w:rsidR="00E07777" w:rsidRDefault="00E07777" w:rsidP="00E07777">
      <w:pPr>
        <w:contextualSpacing/>
        <w:rPr>
          <w:rFonts w:cs="Open Sans"/>
        </w:rPr>
      </w:pPr>
      <w:r>
        <w:rPr>
          <w:rFonts w:cs="Open Sans"/>
        </w:rPr>
        <w:t>Attorney-General</w:t>
      </w:r>
    </w:p>
    <w:p w14:paraId="5DEE9F06" w14:textId="77777777" w:rsidR="00E07777" w:rsidRDefault="00E07777" w:rsidP="00E07777">
      <w:pPr>
        <w:contextualSpacing/>
        <w:rPr>
          <w:rFonts w:cs="Open Sans"/>
        </w:rPr>
      </w:pPr>
      <w:r>
        <w:rPr>
          <w:rFonts w:cs="Open Sans"/>
        </w:rPr>
        <w:t>Parliament House</w:t>
      </w:r>
    </w:p>
    <w:p w14:paraId="26577EFA" w14:textId="77777777" w:rsidR="00E07777" w:rsidRDefault="00E07777" w:rsidP="00E07777">
      <w:pPr>
        <w:contextualSpacing/>
        <w:rPr>
          <w:rFonts w:cs="Open Sans"/>
        </w:rPr>
      </w:pPr>
      <w:r>
        <w:rPr>
          <w:rFonts w:cs="Open Sans"/>
        </w:rPr>
        <w:t>Canberra ACT 2600</w:t>
      </w:r>
    </w:p>
    <w:p w14:paraId="05AF067B" w14:textId="77777777" w:rsidR="00E07777" w:rsidRDefault="00E07777" w:rsidP="00E07777">
      <w:pPr>
        <w:rPr>
          <w:rFonts w:cs="Open Sans"/>
        </w:rPr>
      </w:pPr>
    </w:p>
    <w:p w14:paraId="26983F01" w14:textId="77777777" w:rsidR="00E07777" w:rsidRDefault="00E07777" w:rsidP="00E07777">
      <w:r>
        <w:t>Dear Attorney</w:t>
      </w:r>
    </w:p>
    <w:p w14:paraId="39B5C42F" w14:textId="331C9753" w:rsidR="00E07777" w:rsidRDefault="00E07777" w:rsidP="00E07777">
      <w:r>
        <w:t xml:space="preserve">I have completed my report pursuant to s 11(1)(f) of the </w:t>
      </w:r>
      <w:r w:rsidRPr="00632289">
        <w:rPr>
          <w:i/>
          <w:iCs/>
        </w:rPr>
        <w:t>Australian Human Rights Commission Act 1986</w:t>
      </w:r>
      <w:r>
        <w:t xml:space="preserve"> (</w:t>
      </w:r>
      <w:proofErr w:type="spellStart"/>
      <w:r>
        <w:t>Cth</w:t>
      </w:r>
      <w:proofErr w:type="spellEnd"/>
      <w:r>
        <w:t xml:space="preserve">) (AHRC Act) into the human rights complaint of Mr </w:t>
      </w:r>
      <w:r w:rsidR="007C0953">
        <w:t>KX</w:t>
      </w:r>
      <w:r>
        <w:t xml:space="preserve">, alleging a breach of his human rights by the Department of Home Affairs (Department). </w:t>
      </w:r>
    </w:p>
    <w:p w14:paraId="0D34091B" w14:textId="50F40105" w:rsidR="00E07777" w:rsidRPr="0018220C" w:rsidRDefault="00E07777" w:rsidP="00E07777">
      <w:pPr>
        <w:rPr>
          <w:rFonts w:eastAsia="Times New Roman"/>
          <w:spacing w:val="-5"/>
        </w:rPr>
      </w:pPr>
      <w:r w:rsidRPr="00EA6328">
        <w:t>Mr</w:t>
      </w:r>
      <w:r>
        <w:t xml:space="preserve"> </w:t>
      </w:r>
      <w:r w:rsidR="00D51033">
        <w:t>KX</w:t>
      </w:r>
      <w:r w:rsidRPr="00EA6328">
        <w:t xml:space="preserve"> </w:t>
      </w:r>
      <w:r>
        <w:t xml:space="preserve">complains that </w:t>
      </w:r>
      <w:r w:rsidRPr="00EA1DA1">
        <w:rPr>
          <w:rFonts w:eastAsia="Times New Roman"/>
          <w:spacing w:val="-5"/>
        </w:rPr>
        <w:t xml:space="preserve">the Department breached his human rights by </w:t>
      </w:r>
      <w:r w:rsidR="00896C44">
        <w:rPr>
          <w:rFonts w:eastAsia="Times New Roman"/>
          <w:spacing w:val="-5"/>
        </w:rPr>
        <w:t xml:space="preserve">transferring him </w:t>
      </w:r>
      <w:r w:rsidR="00896C44">
        <w:t xml:space="preserve">from Melbourne Immigration Transit Accommodation (MITA) to Yonga Hill Immigration Detention Centre (YHIDC) </w:t>
      </w:r>
      <w:r w:rsidR="00E62EAD">
        <w:t xml:space="preserve">without notice and </w:t>
      </w:r>
      <w:r w:rsidR="00DD2CE0">
        <w:t>by using force</w:t>
      </w:r>
      <w:r w:rsidR="0018220C">
        <w:t xml:space="preserve">, </w:t>
      </w:r>
      <w:r>
        <w:rPr>
          <w:rFonts w:eastAsia="Times New Roman"/>
          <w:spacing w:val="-5"/>
        </w:rPr>
        <w:t>contrary to</w:t>
      </w:r>
      <w:r w:rsidR="00194FF8">
        <w:rPr>
          <w:rFonts w:eastAsia="Times New Roman"/>
          <w:spacing w:val="-5"/>
        </w:rPr>
        <w:t xml:space="preserve"> </w:t>
      </w:r>
      <w:r w:rsidR="000C54F8">
        <w:rPr>
          <w:rFonts w:eastAsia="Times New Roman"/>
          <w:spacing w:val="-5"/>
        </w:rPr>
        <w:t>his</w:t>
      </w:r>
      <w:r w:rsidR="00194FF8">
        <w:rPr>
          <w:rFonts w:eastAsia="Times New Roman"/>
          <w:spacing w:val="-5"/>
        </w:rPr>
        <w:t xml:space="preserve"> right </w:t>
      </w:r>
      <w:r w:rsidR="0004435C">
        <w:rPr>
          <w:rFonts w:eastAsia="Times New Roman"/>
          <w:spacing w:val="-5"/>
        </w:rPr>
        <w:t>to be treated with humanity and with respect for his inherent dignity under</w:t>
      </w:r>
      <w:r>
        <w:rPr>
          <w:rFonts w:eastAsia="Times New Roman"/>
          <w:spacing w:val="-5"/>
        </w:rPr>
        <w:t xml:space="preserve"> article</w:t>
      </w:r>
      <w:r w:rsidR="009C789C">
        <w:rPr>
          <w:rFonts w:eastAsia="Times New Roman"/>
          <w:spacing w:val="-5"/>
        </w:rPr>
        <w:t xml:space="preserve"> 10 </w:t>
      </w:r>
      <w:r>
        <w:rPr>
          <w:rFonts w:eastAsia="Times New Roman"/>
          <w:spacing w:val="-5"/>
        </w:rPr>
        <w:t xml:space="preserve">of the </w:t>
      </w:r>
      <w:r w:rsidRPr="00BB60BF">
        <w:rPr>
          <w:rFonts w:eastAsia="Times New Roman"/>
          <w:i/>
          <w:iCs/>
          <w:spacing w:val="-5"/>
        </w:rPr>
        <w:t>International Covenant on Civil and Political Rights</w:t>
      </w:r>
      <w:r>
        <w:rPr>
          <w:rFonts w:eastAsia="Times New Roman"/>
          <w:spacing w:val="-5"/>
        </w:rPr>
        <w:t xml:space="preserve"> (ICCPR). </w:t>
      </w:r>
      <w:r w:rsidRPr="004C5908">
        <w:rPr>
          <w:rFonts w:eastAsia="Times New Roman"/>
          <w:spacing w:val="-5"/>
        </w:rPr>
        <w:t xml:space="preserve">Mr </w:t>
      </w:r>
      <w:r w:rsidR="007C0953">
        <w:rPr>
          <w:rFonts w:eastAsia="Times New Roman"/>
          <w:spacing w:val="-5"/>
        </w:rPr>
        <w:t>KX</w:t>
      </w:r>
      <w:r w:rsidRPr="004C5908">
        <w:rPr>
          <w:rFonts w:eastAsia="Times New Roman"/>
          <w:spacing w:val="-5"/>
        </w:rPr>
        <w:t xml:space="preserve"> also complains that his </w:t>
      </w:r>
      <w:r w:rsidR="0018220C">
        <w:rPr>
          <w:rFonts w:eastAsia="Times New Roman"/>
          <w:spacing w:val="-5"/>
        </w:rPr>
        <w:t>transfer to YHIDC</w:t>
      </w:r>
      <w:r w:rsidRPr="004C5908">
        <w:rPr>
          <w:rFonts w:eastAsia="Times New Roman"/>
          <w:spacing w:val="-5"/>
        </w:rPr>
        <w:t xml:space="preserve"> arbitrarily interfered with his family and his family life, contrary to articles 17 and 23 of the ICCPR.</w:t>
      </w:r>
    </w:p>
    <w:p w14:paraId="204E15F8" w14:textId="0AD00261" w:rsidR="00E07777" w:rsidRDefault="00E07777" w:rsidP="00E07777">
      <w:pPr>
        <w:rPr>
          <w:rFonts w:cs="Open Sans"/>
        </w:rPr>
      </w:pPr>
      <w:r>
        <w:rPr>
          <w:rFonts w:eastAsia="Times New Roman"/>
          <w:spacing w:val="-5"/>
        </w:rPr>
        <w:t xml:space="preserve">As a result of this inquiry, I </w:t>
      </w:r>
      <w:r>
        <w:t xml:space="preserve">have found </w:t>
      </w:r>
      <w:r w:rsidRPr="003961A7">
        <w:t>that</w:t>
      </w:r>
      <w:r w:rsidR="00F464BD">
        <w:t xml:space="preserve"> </w:t>
      </w:r>
      <w:r w:rsidR="00EA4D97">
        <w:t xml:space="preserve">the Department’s decision to transfer Mr KX </w:t>
      </w:r>
      <w:r w:rsidR="00870FDD">
        <w:t xml:space="preserve">from MITA to </w:t>
      </w:r>
      <w:r w:rsidR="00973805">
        <w:t>YHIDC</w:t>
      </w:r>
      <w:r w:rsidR="00C81991">
        <w:t xml:space="preserve">, without notice and involving the use of force, </w:t>
      </w:r>
      <w:r w:rsidR="00D51033">
        <w:t>was</w:t>
      </w:r>
      <w:r w:rsidR="00973805">
        <w:t xml:space="preserve"> incons</w:t>
      </w:r>
      <w:r w:rsidR="00D51033">
        <w:rPr>
          <w:rFonts w:cs="Open Sans"/>
        </w:rPr>
        <w:t>istent with</w:t>
      </w:r>
      <w:r w:rsidR="00B306A3">
        <w:rPr>
          <w:rFonts w:cs="Open Sans"/>
        </w:rPr>
        <w:t>,</w:t>
      </w:r>
      <w:r w:rsidR="00D51033">
        <w:rPr>
          <w:rFonts w:cs="Open Sans"/>
        </w:rPr>
        <w:t xml:space="preserve"> or contrary to</w:t>
      </w:r>
      <w:r w:rsidR="00B306A3">
        <w:rPr>
          <w:rFonts w:cs="Open Sans"/>
        </w:rPr>
        <w:t>,</w:t>
      </w:r>
      <w:r w:rsidR="00D51033">
        <w:rPr>
          <w:rFonts w:cs="Open Sans"/>
        </w:rPr>
        <w:t xml:space="preserve"> articles 10, 17 and 23 of the ICCPR.</w:t>
      </w:r>
    </w:p>
    <w:p w14:paraId="6EAD97AB" w14:textId="577A24F3" w:rsidR="00E07777" w:rsidRDefault="00E07777" w:rsidP="00E07777">
      <w:pPr>
        <w:rPr>
          <w:rFonts w:eastAsia="Times New Roman"/>
          <w:spacing w:val="-5"/>
        </w:rPr>
      </w:pPr>
      <w:r>
        <w:rPr>
          <w:rFonts w:eastAsia="Times New Roman"/>
          <w:spacing w:val="-5"/>
        </w:rPr>
        <w:t xml:space="preserve">Pursuant to s 29(2)(b), I have included </w:t>
      </w:r>
      <w:r w:rsidR="000C1E79">
        <w:rPr>
          <w:rFonts w:eastAsia="Times New Roman"/>
          <w:spacing w:val="-5"/>
        </w:rPr>
        <w:t>three</w:t>
      </w:r>
      <w:r>
        <w:rPr>
          <w:rFonts w:eastAsia="Times New Roman"/>
          <w:spacing w:val="-5"/>
        </w:rPr>
        <w:t xml:space="preserve"> recommendations to the Department.</w:t>
      </w:r>
    </w:p>
    <w:p w14:paraId="14A06D64" w14:textId="6C824E73" w:rsidR="00E07777" w:rsidRDefault="00E07777" w:rsidP="00E07777">
      <w:pPr>
        <w:rPr>
          <w:rFonts w:eastAsia="Times New Roman"/>
          <w:spacing w:val="-5"/>
        </w:rPr>
      </w:pPr>
      <w:r>
        <w:rPr>
          <w:rFonts w:eastAsia="Times New Roman"/>
          <w:spacing w:val="-5"/>
        </w:rPr>
        <w:t xml:space="preserve">On </w:t>
      </w:r>
      <w:r w:rsidR="00F464BD">
        <w:rPr>
          <w:rFonts w:eastAsia="Times New Roman"/>
          <w:spacing w:val="-5"/>
        </w:rPr>
        <w:softHyphen/>
      </w:r>
      <w:r w:rsidR="00F464BD">
        <w:rPr>
          <w:rFonts w:eastAsia="Times New Roman"/>
          <w:spacing w:val="-5"/>
        </w:rPr>
        <w:softHyphen/>
      </w:r>
      <w:r w:rsidR="00F464BD">
        <w:rPr>
          <w:rFonts w:eastAsia="Times New Roman"/>
          <w:spacing w:val="-5"/>
        </w:rPr>
        <w:softHyphen/>
      </w:r>
      <w:r w:rsidR="00152D93">
        <w:rPr>
          <w:rFonts w:eastAsia="Times New Roman"/>
          <w:spacing w:val="-5"/>
        </w:rPr>
        <w:t>10 November 2023</w:t>
      </w:r>
      <w:r>
        <w:rPr>
          <w:rFonts w:eastAsia="Times New Roman"/>
          <w:spacing w:val="-5"/>
        </w:rPr>
        <w:t xml:space="preserve">, I provided the Department with a notice issued under s 29(2) of the AHRC Act setting out my findings and recommendations in this matter. The Department provided its response to my findings and recommendations on </w:t>
      </w:r>
      <w:r w:rsidR="00C11CCF">
        <w:rPr>
          <w:rFonts w:eastAsia="Times New Roman"/>
          <w:spacing w:val="-5"/>
        </w:rPr>
        <w:t>19 December 2023</w:t>
      </w:r>
      <w:r>
        <w:rPr>
          <w:rFonts w:eastAsia="Times New Roman"/>
          <w:spacing w:val="-5"/>
        </w:rPr>
        <w:t xml:space="preserve">. That response can be found in Part </w:t>
      </w:r>
      <w:r w:rsidR="00F464BD">
        <w:rPr>
          <w:rFonts w:eastAsia="Times New Roman"/>
          <w:spacing w:val="-5"/>
        </w:rPr>
        <w:t>9</w:t>
      </w:r>
      <w:r>
        <w:rPr>
          <w:rFonts w:eastAsia="Times New Roman"/>
          <w:spacing w:val="-5"/>
        </w:rPr>
        <w:t xml:space="preserve"> of this report. </w:t>
      </w:r>
    </w:p>
    <w:p w14:paraId="699148F4" w14:textId="77777777" w:rsidR="00E07777" w:rsidRDefault="00E07777" w:rsidP="00E07777">
      <w:pPr>
        <w:keepNext/>
        <w:rPr>
          <w:rFonts w:eastAsia="Times New Roman"/>
          <w:spacing w:val="-5"/>
        </w:rPr>
      </w:pPr>
      <w:r>
        <w:rPr>
          <w:rFonts w:eastAsia="Times New Roman"/>
          <w:spacing w:val="-5"/>
        </w:rPr>
        <w:t xml:space="preserve">I enclose a copy of my report. </w:t>
      </w:r>
    </w:p>
    <w:p w14:paraId="05A89841" w14:textId="77777777" w:rsidR="00E07777" w:rsidRPr="0049472D" w:rsidRDefault="00E07777" w:rsidP="00E07777">
      <w:pPr>
        <w:keepNext/>
        <w:rPr>
          <w:rFonts w:eastAsia="Times New Roman"/>
        </w:rPr>
      </w:pPr>
      <w:r>
        <w:rPr>
          <w:rFonts w:eastAsia="Times New Roman"/>
          <w:spacing w:val="-5"/>
        </w:rPr>
        <w:t>Yours sincerely,</w:t>
      </w:r>
    </w:p>
    <w:p w14:paraId="544A2389" w14:textId="0CE09508" w:rsidR="00C23C59" w:rsidRDefault="055AA4E9">
      <w:pPr>
        <w:spacing w:before="0" w:after="0"/>
      </w:pPr>
      <w:r>
        <w:rPr>
          <w:noProof/>
        </w:rPr>
        <w:drawing>
          <wp:inline distT="0" distB="0" distL="0" distR="0" wp14:anchorId="2CBDB67E" wp14:editId="66AF5D23">
            <wp:extent cx="2466975" cy="590550"/>
            <wp:effectExtent l="0" t="0" r="0" b="0"/>
            <wp:docPr id="1618721906" name="Picture 1618721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2466975" cy="590550"/>
                    </a:xfrm>
                    <a:prstGeom prst="rect">
                      <a:avLst/>
                    </a:prstGeom>
                  </pic:spPr>
                </pic:pic>
              </a:graphicData>
            </a:graphic>
          </wp:inline>
        </w:drawing>
      </w:r>
    </w:p>
    <w:p w14:paraId="0F263DB7" w14:textId="6D1E203E" w:rsidR="00C23C59" w:rsidRDefault="00C23C59" w:rsidP="4DB38CDE">
      <w:pPr>
        <w:spacing w:line="259" w:lineRule="auto"/>
        <w:contextualSpacing/>
        <w:rPr>
          <w:rFonts w:cs="Open Sans"/>
        </w:rPr>
      </w:pPr>
    </w:p>
    <w:p w14:paraId="3B4221C0" w14:textId="77777777" w:rsidR="00C23C59" w:rsidRPr="004B7651" w:rsidRDefault="00C23C59" w:rsidP="00C23C59">
      <w:pPr>
        <w:spacing w:line="259" w:lineRule="auto"/>
        <w:contextualSpacing/>
        <w:rPr>
          <w:rFonts w:cs="Open Sans"/>
          <w:szCs w:val="28"/>
        </w:rPr>
      </w:pPr>
      <w:r w:rsidRPr="004B7651">
        <w:rPr>
          <w:rFonts w:cs="Open Sans"/>
          <w:szCs w:val="28"/>
        </w:rPr>
        <w:t>Emeritus Professor Rosalind Croucher AM</w:t>
      </w:r>
      <w:r>
        <w:rPr>
          <w:rFonts w:cs="Open Sans"/>
          <w:szCs w:val="28"/>
        </w:rPr>
        <w:t xml:space="preserve"> FAAL</w:t>
      </w:r>
    </w:p>
    <w:p w14:paraId="73159A90" w14:textId="77777777" w:rsidR="00C23C59" w:rsidRPr="004B7651" w:rsidRDefault="00C23C59" w:rsidP="00C23C59">
      <w:pPr>
        <w:spacing w:line="259" w:lineRule="auto"/>
        <w:contextualSpacing/>
        <w:rPr>
          <w:rFonts w:cs="Open Sans"/>
          <w:b/>
          <w:szCs w:val="28"/>
        </w:rPr>
      </w:pPr>
      <w:r w:rsidRPr="004B7651">
        <w:rPr>
          <w:rFonts w:cs="Open Sans"/>
          <w:b/>
          <w:szCs w:val="28"/>
        </w:rPr>
        <w:t xml:space="preserve">President </w:t>
      </w:r>
    </w:p>
    <w:p w14:paraId="1ED78205" w14:textId="77777777" w:rsidR="00C23C59" w:rsidRPr="004B7651" w:rsidRDefault="00C23C59" w:rsidP="00C23C59">
      <w:pPr>
        <w:spacing w:line="259" w:lineRule="auto"/>
        <w:contextualSpacing/>
        <w:rPr>
          <w:rFonts w:cs="Open Sans"/>
          <w:szCs w:val="28"/>
        </w:rPr>
      </w:pPr>
      <w:r w:rsidRPr="004B7651">
        <w:rPr>
          <w:rFonts w:cs="Open Sans"/>
          <w:szCs w:val="28"/>
        </w:rPr>
        <w:t>Australian Human Rights Commission</w:t>
      </w:r>
    </w:p>
    <w:p w14:paraId="5CECFE9A" w14:textId="1F99B0F7" w:rsidR="00C316A9" w:rsidRDefault="00C23C59" w:rsidP="00C23C59">
      <w:pPr>
        <w:spacing w:before="0" w:after="0"/>
        <w:rPr>
          <w:b/>
          <w:noProof/>
        </w:rPr>
      </w:pPr>
      <w:r>
        <w:rPr>
          <w:rFonts w:cs="Open Sans"/>
        </w:rPr>
        <w:t>January</w:t>
      </w:r>
      <w:r w:rsidRPr="004B7651">
        <w:rPr>
          <w:rFonts w:cs="Open Sans"/>
        </w:rPr>
        <w:t xml:space="preserve"> 202</w:t>
      </w:r>
      <w:r>
        <w:rPr>
          <w:rFonts w:cs="Open Sans"/>
        </w:rPr>
        <w:t>4</w:t>
      </w:r>
      <w:r w:rsidR="00C316A9">
        <w:br w:type="page"/>
      </w:r>
    </w:p>
    <w:p w14:paraId="6B12B818" w14:textId="77777777" w:rsidR="00D71267" w:rsidRDefault="000B5B68" w:rsidP="00EA74D1">
      <w:pPr>
        <w:pStyle w:val="TOC1"/>
        <w:spacing w:line="276" w:lineRule="auto"/>
      </w:pPr>
      <w:r>
        <w:lastRenderedPageBreak/>
        <w:t>Contents</w:t>
      </w:r>
      <w:r w:rsidRPr="000465F1">
        <w:fldChar w:fldCharType="begin"/>
      </w:r>
      <w:r>
        <w:instrText xml:space="preserve"> TOC \o "1-3" \h \z \u </w:instrText>
      </w:r>
      <w:r w:rsidRPr="000465F1">
        <w:fldChar w:fldCharType="separate"/>
      </w:r>
    </w:p>
    <w:p w14:paraId="482D5A11" w14:textId="48F3C5A0" w:rsidR="00D71267" w:rsidRDefault="00000000" w:rsidP="00EA74D1">
      <w:pPr>
        <w:pStyle w:val="TOC1"/>
        <w:spacing w:line="276" w:lineRule="auto"/>
        <w:rPr>
          <w:rFonts w:asciiTheme="minorHAnsi" w:eastAsiaTheme="minorEastAsia" w:hAnsiTheme="minorHAnsi" w:cstheme="minorBidi"/>
          <w:b w:val="0"/>
          <w:kern w:val="2"/>
          <w:sz w:val="22"/>
          <w:szCs w:val="22"/>
          <w14:ligatures w14:val="standardContextual"/>
        </w:rPr>
      </w:pPr>
      <w:hyperlink w:anchor="_Toc154064218" w:history="1">
        <w:r w:rsidR="00D71267" w:rsidRPr="00DC109B">
          <w:rPr>
            <w:rStyle w:val="Hyperlink"/>
          </w:rPr>
          <w:t>1</w:t>
        </w:r>
        <w:r w:rsidR="00D71267">
          <w:rPr>
            <w:rFonts w:asciiTheme="minorHAnsi" w:eastAsiaTheme="minorEastAsia" w:hAnsiTheme="minorHAnsi" w:cstheme="minorBidi"/>
            <w:b w:val="0"/>
            <w:kern w:val="2"/>
            <w:sz w:val="22"/>
            <w:szCs w:val="22"/>
            <w14:ligatures w14:val="standardContextual"/>
          </w:rPr>
          <w:tab/>
        </w:r>
        <w:r w:rsidR="00D71267" w:rsidRPr="00DC109B">
          <w:rPr>
            <w:rStyle w:val="Hyperlink"/>
          </w:rPr>
          <w:t>Introduction to this inquiry</w:t>
        </w:r>
        <w:r w:rsidR="00D71267">
          <w:rPr>
            <w:webHidden/>
          </w:rPr>
          <w:tab/>
        </w:r>
        <w:r w:rsidR="00D71267">
          <w:rPr>
            <w:webHidden/>
          </w:rPr>
          <w:fldChar w:fldCharType="begin"/>
        </w:r>
        <w:r w:rsidR="00D71267">
          <w:rPr>
            <w:webHidden/>
          </w:rPr>
          <w:instrText xml:space="preserve"> PAGEREF _Toc154064218 \h </w:instrText>
        </w:r>
        <w:r w:rsidR="00D71267">
          <w:rPr>
            <w:webHidden/>
          </w:rPr>
        </w:r>
        <w:r w:rsidR="00D71267">
          <w:rPr>
            <w:webHidden/>
          </w:rPr>
          <w:fldChar w:fldCharType="separate"/>
        </w:r>
        <w:r w:rsidR="00D71267">
          <w:rPr>
            <w:webHidden/>
          </w:rPr>
          <w:t>6</w:t>
        </w:r>
        <w:r w:rsidR="00D71267">
          <w:rPr>
            <w:webHidden/>
          </w:rPr>
          <w:fldChar w:fldCharType="end"/>
        </w:r>
      </w:hyperlink>
    </w:p>
    <w:p w14:paraId="0EE52701" w14:textId="54FD6A4F" w:rsidR="00D71267" w:rsidRDefault="00000000" w:rsidP="00EA74D1">
      <w:pPr>
        <w:pStyle w:val="TOC1"/>
        <w:spacing w:line="276" w:lineRule="auto"/>
        <w:rPr>
          <w:rFonts w:asciiTheme="minorHAnsi" w:eastAsiaTheme="minorEastAsia" w:hAnsiTheme="minorHAnsi" w:cstheme="minorBidi"/>
          <w:b w:val="0"/>
          <w:kern w:val="2"/>
          <w:sz w:val="22"/>
          <w:szCs w:val="22"/>
          <w14:ligatures w14:val="standardContextual"/>
        </w:rPr>
      </w:pPr>
      <w:hyperlink w:anchor="_Toc154064219" w:history="1">
        <w:r w:rsidR="00D71267" w:rsidRPr="00DC109B">
          <w:rPr>
            <w:rStyle w:val="Hyperlink"/>
            <w:spacing w:val="-5"/>
          </w:rPr>
          <w:t>2</w:t>
        </w:r>
        <w:r w:rsidR="00D71267">
          <w:rPr>
            <w:rFonts w:asciiTheme="minorHAnsi" w:eastAsiaTheme="minorEastAsia" w:hAnsiTheme="minorHAnsi" w:cstheme="minorBidi"/>
            <w:b w:val="0"/>
            <w:kern w:val="2"/>
            <w:sz w:val="22"/>
            <w:szCs w:val="22"/>
            <w14:ligatures w14:val="standardContextual"/>
          </w:rPr>
          <w:tab/>
        </w:r>
        <w:r w:rsidR="00D71267" w:rsidRPr="00DC109B">
          <w:rPr>
            <w:rStyle w:val="Hyperlink"/>
          </w:rPr>
          <w:t>Summary of findings and recommendations</w:t>
        </w:r>
        <w:r w:rsidR="00D71267">
          <w:rPr>
            <w:webHidden/>
          </w:rPr>
          <w:tab/>
        </w:r>
        <w:r w:rsidR="00D71267">
          <w:rPr>
            <w:webHidden/>
          </w:rPr>
          <w:fldChar w:fldCharType="begin"/>
        </w:r>
        <w:r w:rsidR="00D71267">
          <w:rPr>
            <w:webHidden/>
          </w:rPr>
          <w:instrText xml:space="preserve"> PAGEREF _Toc154064219 \h </w:instrText>
        </w:r>
        <w:r w:rsidR="00D71267">
          <w:rPr>
            <w:webHidden/>
          </w:rPr>
        </w:r>
        <w:r w:rsidR="00D71267">
          <w:rPr>
            <w:webHidden/>
          </w:rPr>
          <w:fldChar w:fldCharType="separate"/>
        </w:r>
        <w:r w:rsidR="00D71267">
          <w:rPr>
            <w:webHidden/>
          </w:rPr>
          <w:t>7</w:t>
        </w:r>
        <w:r w:rsidR="00D71267">
          <w:rPr>
            <w:webHidden/>
          </w:rPr>
          <w:fldChar w:fldCharType="end"/>
        </w:r>
      </w:hyperlink>
    </w:p>
    <w:p w14:paraId="08160943" w14:textId="68A62EAD" w:rsidR="00D71267" w:rsidRDefault="00000000" w:rsidP="00EA74D1">
      <w:pPr>
        <w:pStyle w:val="TOC1"/>
        <w:spacing w:line="276" w:lineRule="auto"/>
        <w:rPr>
          <w:rFonts w:asciiTheme="minorHAnsi" w:eastAsiaTheme="minorEastAsia" w:hAnsiTheme="minorHAnsi" w:cstheme="minorBidi"/>
          <w:b w:val="0"/>
          <w:kern w:val="2"/>
          <w:sz w:val="22"/>
          <w:szCs w:val="22"/>
          <w14:ligatures w14:val="standardContextual"/>
        </w:rPr>
      </w:pPr>
      <w:hyperlink w:anchor="_Toc154064220" w:history="1">
        <w:r w:rsidR="00D71267" w:rsidRPr="00DC109B">
          <w:rPr>
            <w:rStyle w:val="Hyperlink"/>
          </w:rPr>
          <w:t>3</w:t>
        </w:r>
        <w:r w:rsidR="00D71267">
          <w:rPr>
            <w:rFonts w:asciiTheme="minorHAnsi" w:eastAsiaTheme="minorEastAsia" w:hAnsiTheme="minorHAnsi" w:cstheme="minorBidi"/>
            <w:b w:val="0"/>
            <w:kern w:val="2"/>
            <w:sz w:val="22"/>
            <w:szCs w:val="22"/>
            <w14:ligatures w14:val="standardContextual"/>
          </w:rPr>
          <w:tab/>
        </w:r>
        <w:r w:rsidR="00D71267" w:rsidRPr="00DC109B">
          <w:rPr>
            <w:rStyle w:val="Hyperlink"/>
          </w:rPr>
          <w:t>Background</w:t>
        </w:r>
        <w:r w:rsidR="00D71267">
          <w:rPr>
            <w:webHidden/>
          </w:rPr>
          <w:tab/>
        </w:r>
        <w:r w:rsidR="00D71267">
          <w:rPr>
            <w:webHidden/>
          </w:rPr>
          <w:fldChar w:fldCharType="begin"/>
        </w:r>
        <w:r w:rsidR="00D71267">
          <w:rPr>
            <w:webHidden/>
          </w:rPr>
          <w:instrText xml:space="preserve"> PAGEREF _Toc154064220 \h </w:instrText>
        </w:r>
        <w:r w:rsidR="00D71267">
          <w:rPr>
            <w:webHidden/>
          </w:rPr>
        </w:r>
        <w:r w:rsidR="00D71267">
          <w:rPr>
            <w:webHidden/>
          </w:rPr>
          <w:fldChar w:fldCharType="separate"/>
        </w:r>
        <w:r w:rsidR="00D71267">
          <w:rPr>
            <w:webHidden/>
          </w:rPr>
          <w:t>8</w:t>
        </w:r>
        <w:r w:rsidR="00D71267">
          <w:rPr>
            <w:webHidden/>
          </w:rPr>
          <w:fldChar w:fldCharType="end"/>
        </w:r>
      </w:hyperlink>
    </w:p>
    <w:p w14:paraId="506E1625" w14:textId="4B87654B" w:rsidR="00D71267" w:rsidRDefault="00000000" w:rsidP="00EA74D1">
      <w:pPr>
        <w:pStyle w:val="TOC2"/>
        <w:spacing w:line="276" w:lineRule="auto"/>
        <w:rPr>
          <w:rFonts w:asciiTheme="minorHAnsi" w:eastAsiaTheme="minorEastAsia" w:hAnsiTheme="minorHAnsi" w:cstheme="minorBidi"/>
          <w:b w:val="0"/>
          <w:i w:val="0"/>
          <w:kern w:val="2"/>
          <w:sz w:val="22"/>
          <w:szCs w:val="22"/>
          <w14:ligatures w14:val="standardContextual"/>
        </w:rPr>
      </w:pPr>
      <w:hyperlink w:anchor="_Toc154064221" w:history="1">
        <w:r w:rsidR="00D71267" w:rsidRPr="00DC109B">
          <w:rPr>
            <w:rStyle w:val="Hyperlink"/>
            <w:iCs/>
          </w:rPr>
          <w:t>3.1</w:t>
        </w:r>
        <w:r w:rsidR="00D71267">
          <w:rPr>
            <w:rFonts w:asciiTheme="minorHAnsi" w:eastAsiaTheme="minorEastAsia" w:hAnsiTheme="minorHAnsi" w:cstheme="minorBidi"/>
            <w:b w:val="0"/>
            <w:i w:val="0"/>
            <w:kern w:val="2"/>
            <w:sz w:val="22"/>
            <w:szCs w:val="22"/>
            <w14:ligatures w14:val="standardContextual"/>
          </w:rPr>
          <w:tab/>
        </w:r>
        <w:r w:rsidR="00D71267" w:rsidRPr="00DC109B">
          <w:rPr>
            <w:rStyle w:val="Hyperlink"/>
          </w:rPr>
          <w:t>The decision to transfer</w:t>
        </w:r>
        <w:r w:rsidR="00D71267">
          <w:rPr>
            <w:webHidden/>
          </w:rPr>
          <w:tab/>
        </w:r>
        <w:r w:rsidR="00D71267">
          <w:rPr>
            <w:webHidden/>
          </w:rPr>
          <w:fldChar w:fldCharType="begin"/>
        </w:r>
        <w:r w:rsidR="00D71267">
          <w:rPr>
            <w:webHidden/>
          </w:rPr>
          <w:instrText xml:space="preserve"> PAGEREF _Toc154064221 \h </w:instrText>
        </w:r>
        <w:r w:rsidR="00D71267">
          <w:rPr>
            <w:webHidden/>
          </w:rPr>
        </w:r>
        <w:r w:rsidR="00D71267">
          <w:rPr>
            <w:webHidden/>
          </w:rPr>
          <w:fldChar w:fldCharType="separate"/>
        </w:r>
        <w:r w:rsidR="00D71267">
          <w:rPr>
            <w:webHidden/>
          </w:rPr>
          <w:t>8</w:t>
        </w:r>
        <w:r w:rsidR="00D71267">
          <w:rPr>
            <w:webHidden/>
          </w:rPr>
          <w:fldChar w:fldCharType="end"/>
        </w:r>
      </w:hyperlink>
    </w:p>
    <w:p w14:paraId="2A547C3C" w14:textId="61FD7A33" w:rsidR="00D71267" w:rsidRDefault="00000000" w:rsidP="00EA74D1">
      <w:pPr>
        <w:pStyle w:val="TOC2"/>
        <w:spacing w:line="276" w:lineRule="auto"/>
        <w:rPr>
          <w:rFonts w:asciiTheme="minorHAnsi" w:eastAsiaTheme="minorEastAsia" w:hAnsiTheme="minorHAnsi" w:cstheme="minorBidi"/>
          <w:b w:val="0"/>
          <w:i w:val="0"/>
          <w:kern w:val="2"/>
          <w:sz w:val="22"/>
          <w:szCs w:val="22"/>
          <w14:ligatures w14:val="standardContextual"/>
        </w:rPr>
      </w:pPr>
      <w:hyperlink w:anchor="_Toc154064222" w:history="1">
        <w:r w:rsidR="00D71267" w:rsidRPr="00DC109B">
          <w:rPr>
            <w:rStyle w:val="Hyperlink"/>
            <w:iCs/>
          </w:rPr>
          <w:t>3.2</w:t>
        </w:r>
        <w:r w:rsidR="00D71267">
          <w:rPr>
            <w:rFonts w:asciiTheme="minorHAnsi" w:eastAsiaTheme="minorEastAsia" w:hAnsiTheme="minorHAnsi" w:cstheme="minorBidi"/>
            <w:b w:val="0"/>
            <w:i w:val="0"/>
            <w:kern w:val="2"/>
            <w:sz w:val="22"/>
            <w:szCs w:val="22"/>
            <w14:ligatures w14:val="standardContextual"/>
          </w:rPr>
          <w:tab/>
        </w:r>
        <w:r w:rsidR="00D71267" w:rsidRPr="00DC109B">
          <w:rPr>
            <w:rStyle w:val="Hyperlink"/>
          </w:rPr>
          <w:t>Planned use of force</w:t>
        </w:r>
        <w:r w:rsidR="00D71267">
          <w:rPr>
            <w:webHidden/>
          </w:rPr>
          <w:tab/>
        </w:r>
        <w:r w:rsidR="00D71267">
          <w:rPr>
            <w:webHidden/>
          </w:rPr>
          <w:fldChar w:fldCharType="begin"/>
        </w:r>
        <w:r w:rsidR="00D71267">
          <w:rPr>
            <w:webHidden/>
          </w:rPr>
          <w:instrText xml:space="preserve"> PAGEREF _Toc154064222 \h </w:instrText>
        </w:r>
        <w:r w:rsidR="00D71267">
          <w:rPr>
            <w:webHidden/>
          </w:rPr>
        </w:r>
        <w:r w:rsidR="00D71267">
          <w:rPr>
            <w:webHidden/>
          </w:rPr>
          <w:fldChar w:fldCharType="separate"/>
        </w:r>
        <w:r w:rsidR="00D71267">
          <w:rPr>
            <w:webHidden/>
          </w:rPr>
          <w:t>9</w:t>
        </w:r>
        <w:r w:rsidR="00D71267">
          <w:rPr>
            <w:webHidden/>
          </w:rPr>
          <w:fldChar w:fldCharType="end"/>
        </w:r>
      </w:hyperlink>
    </w:p>
    <w:p w14:paraId="062EC7C4" w14:textId="355595E2" w:rsidR="00D71267" w:rsidRDefault="00000000" w:rsidP="00EA74D1">
      <w:pPr>
        <w:pStyle w:val="TOC2"/>
        <w:spacing w:line="276" w:lineRule="auto"/>
        <w:rPr>
          <w:rFonts w:asciiTheme="minorHAnsi" w:eastAsiaTheme="minorEastAsia" w:hAnsiTheme="minorHAnsi" w:cstheme="minorBidi"/>
          <w:b w:val="0"/>
          <w:i w:val="0"/>
          <w:kern w:val="2"/>
          <w:sz w:val="22"/>
          <w:szCs w:val="22"/>
          <w14:ligatures w14:val="standardContextual"/>
        </w:rPr>
      </w:pPr>
      <w:hyperlink w:anchor="_Toc154064223" w:history="1">
        <w:r w:rsidR="00D71267" w:rsidRPr="00DC109B">
          <w:rPr>
            <w:rStyle w:val="Hyperlink"/>
            <w:iCs/>
          </w:rPr>
          <w:t>3.3</w:t>
        </w:r>
        <w:r w:rsidR="00D71267">
          <w:rPr>
            <w:rFonts w:asciiTheme="minorHAnsi" w:eastAsiaTheme="minorEastAsia" w:hAnsiTheme="minorHAnsi" w:cstheme="minorBidi"/>
            <w:b w:val="0"/>
            <w:i w:val="0"/>
            <w:kern w:val="2"/>
            <w:sz w:val="22"/>
            <w:szCs w:val="22"/>
            <w14:ligatures w14:val="standardContextual"/>
          </w:rPr>
          <w:tab/>
        </w:r>
        <w:r w:rsidR="00D71267" w:rsidRPr="00DC109B">
          <w:rPr>
            <w:rStyle w:val="Hyperlink"/>
          </w:rPr>
          <w:t>Escalation and unplanned use of force</w:t>
        </w:r>
        <w:r w:rsidR="00D71267">
          <w:rPr>
            <w:webHidden/>
          </w:rPr>
          <w:tab/>
        </w:r>
        <w:r w:rsidR="00D71267">
          <w:rPr>
            <w:webHidden/>
          </w:rPr>
          <w:fldChar w:fldCharType="begin"/>
        </w:r>
        <w:r w:rsidR="00D71267">
          <w:rPr>
            <w:webHidden/>
          </w:rPr>
          <w:instrText xml:space="preserve"> PAGEREF _Toc154064223 \h </w:instrText>
        </w:r>
        <w:r w:rsidR="00D71267">
          <w:rPr>
            <w:webHidden/>
          </w:rPr>
        </w:r>
        <w:r w:rsidR="00D71267">
          <w:rPr>
            <w:webHidden/>
          </w:rPr>
          <w:fldChar w:fldCharType="separate"/>
        </w:r>
        <w:r w:rsidR="00D71267">
          <w:rPr>
            <w:webHidden/>
          </w:rPr>
          <w:t>11</w:t>
        </w:r>
        <w:r w:rsidR="00D71267">
          <w:rPr>
            <w:webHidden/>
          </w:rPr>
          <w:fldChar w:fldCharType="end"/>
        </w:r>
      </w:hyperlink>
    </w:p>
    <w:p w14:paraId="4BB265FF" w14:textId="2FDEBFFC" w:rsidR="00D71267" w:rsidRDefault="00000000" w:rsidP="00EA74D1">
      <w:pPr>
        <w:pStyle w:val="TOC2"/>
        <w:spacing w:line="276" w:lineRule="auto"/>
        <w:rPr>
          <w:rFonts w:asciiTheme="minorHAnsi" w:eastAsiaTheme="minorEastAsia" w:hAnsiTheme="minorHAnsi" w:cstheme="minorBidi"/>
          <w:b w:val="0"/>
          <w:i w:val="0"/>
          <w:kern w:val="2"/>
          <w:sz w:val="22"/>
          <w:szCs w:val="22"/>
          <w14:ligatures w14:val="standardContextual"/>
        </w:rPr>
      </w:pPr>
      <w:hyperlink w:anchor="_Toc154064224" w:history="1">
        <w:r w:rsidR="00D71267" w:rsidRPr="00DC109B">
          <w:rPr>
            <w:rStyle w:val="Hyperlink"/>
            <w:iCs/>
          </w:rPr>
          <w:t>3.4</w:t>
        </w:r>
        <w:r w:rsidR="00D71267">
          <w:rPr>
            <w:rFonts w:asciiTheme="minorHAnsi" w:eastAsiaTheme="minorEastAsia" w:hAnsiTheme="minorHAnsi" w:cstheme="minorBidi"/>
            <w:b w:val="0"/>
            <w:i w:val="0"/>
            <w:kern w:val="2"/>
            <w:sz w:val="22"/>
            <w:szCs w:val="22"/>
            <w14:ligatures w14:val="standardContextual"/>
          </w:rPr>
          <w:tab/>
        </w:r>
        <w:r w:rsidR="00D71267" w:rsidRPr="00DC109B">
          <w:rPr>
            <w:rStyle w:val="Hyperlink"/>
          </w:rPr>
          <w:t>Timeline of transfer and medical care</w:t>
        </w:r>
        <w:r w:rsidR="00D71267">
          <w:rPr>
            <w:webHidden/>
          </w:rPr>
          <w:tab/>
        </w:r>
        <w:r w:rsidR="00D71267">
          <w:rPr>
            <w:webHidden/>
          </w:rPr>
          <w:fldChar w:fldCharType="begin"/>
        </w:r>
        <w:r w:rsidR="00D71267">
          <w:rPr>
            <w:webHidden/>
          </w:rPr>
          <w:instrText xml:space="preserve"> PAGEREF _Toc154064224 \h </w:instrText>
        </w:r>
        <w:r w:rsidR="00D71267">
          <w:rPr>
            <w:webHidden/>
          </w:rPr>
        </w:r>
        <w:r w:rsidR="00D71267">
          <w:rPr>
            <w:webHidden/>
          </w:rPr>
          <w:fldChar w:fldCharType="separate"/>
        </w:r>
        <w:r w:rsidR="00D71267">
          <w:rPr>
            <w:webHidden/>
          </w:rPr>
          <w:t>12</w:t>
        </w:r>
        <w:r w:rsidR="00D71267">
          <w:rPr>
            <w:webHidden/>
          </w:rPr>
          <w:fldChar w:fldCharType="end"/>
        </w:r>
      </w:hyperlink>
    </w:p>
    <w:p w14:paraId="15FFBF88" w14:textId="63C05103" w:rsidR="00D71267" w:rsidRDefault="00000000" w:rsidP="00EA74D1">
      <w:pPr>
        <w:pStyle w:val="TOC1"/>
        <w:spacing w:line="276" w:lineRule="auto"/>
        <w:rPr>
          <w:rFonts w:asciiTheme="minorHAnsi" w:eastAsiaTheme="minorEastAsia" w:hAnsiTheme="minorHAnsi" w:cstheme="minorBidi"/>
          <w:b w:val="0"/>
          <w:kern w:val="2"/>
          <w:sz w:val="22"/>
          <w:szCs w:val="22"/>
          <w14:ligatures w14:val="standardContextual"/>
        </w:rPr>
      </w:pPr>
      <w:hyperlink w:anchor="_Toc154064225" w:history="1">
        <w:r w:rsidR="00D71267" w:rsidRPr="00DC109B">
          <w:rPr>
            <w:rStyle w:val="Hyperlink"/>
          </w:rPr>
          <w:t>4</w:t>
        </w:r>
        <w:r w:rsidR="00D71267">
          <w:rPr>
            <w:rFonts w:asciiTheme="minorHAnsi" w:eastAsiaTheme="minorEastAsia" w:hAnsiTheme="minorHAnsi" w:cstheme="minorBidi"/>
            <w:b w:val="0"/>
            <w:kern w:val="2"/>
            <w:sz w:val="22"/>
            <w:szCs w:val="22"/>
            <w14:ligatures w14:val="standardContextual"/>
          </w:rPr>
          <w:tab/>
        </w:r>
        <w:r w:rsidR="00D71267" w:rsidRPr="00DC109B">
          <w:rPr>
            <w:rStyle w:val="Hyperlink"/>
          </w:rPr>
          <w:t>Legal framework for human rights inquiry</w:t>
        </w:r>
        <w:r w:rsidR="00D71267">
          <w:rPr>
            <w:webHidden/>
          </w:rPr>
          <w:tab/>
        </w:r>
        <w:r w:rsidR="00D71267">
          <w:rPr>
            <w:webHidden/>
          </w:rPr>
          <w:fldChar w:fldCharType="begin"/>
        </w:r>
        <w:r w:rsidR="00D71267">
          <w:rPr>
            <w:webHidden/>
          </w:rPr>
          <w:instrText xml:space="preserve"> PAGEREF _Toc154064225 \h </w:instrText>
        </w:r>
        <w:r w:rsidR="00D71267">
          <w:rPr>
            <w:webHidden/>
          </w:rPr>
        </w:r>
        <w:r w:rsidR="00D71267">
          <w:rPr>
            <w:webHidden/>
          </w:rPr>
          <w:fldChar w:fldCharType="separate"/>
        </w:r>
        <w:r w:rsidR="00D71267">
          <w:rPr>
            <w:webHidden/>
          </w:rPr>
          <w:t>14</w:t>
        </w:r>
        <w:r w:rsidR="00D71267">
          <w:rPr>
            <w:webHidden/>
          </w:rPr>
          <w:fldChar w:fldCharType="end"/>
        </w:r>
      </w:hyperlink>
    </w:p>
    <w:p w14:paraId="0F637A5C" w14:textId="16CDFEBB" w:rsidR="00D71267" w:rsidRDefault="00000000" w:rsidP="00EA74D1">
      <w:pPr>
        <w:pStyle w:val="TOC2"/>
        <w:spacing w:line="276" w:lineRule="auto"/>
        <w:rPr>
          <w:rFonts w:asciiTheme="minorHAnsi" w:eastAsiaTheme="minorEastAsia" w:hAnsiTheme="minorHAnsi" w:cstheme="minorBidi"/>
          <w:b w:val="0"/>
          <w:i w:val="0"/>
          <w:kern w:val="2"/>
          <w:sz w:val="22"/>
          <w:szCs w:val="22"/>
          <w14:ligatures w14:val="standardContextual"/>
        </w:rPr>
      </w:pPr>
      <w:hyperlink w:anchor="_Toc154064226" w:history="1">
        <w:r w:rsidR="00D71267" w:rsidRPr="00DC109B">
          <w:rPr>
            <w:rStyle w:val="Hyperlink"/>
            <w:iCs/>
          </w:rPr>
          <w:t>4.1</w:t>
        </w:r>
        <w:r w:rsidR="00D71267">
          <w:rPr>
            <w:rFonts w:asciiTheme="minorHAnsi" w:eastAsiaTheme="minorEastAsia" w:hAnsiTheme="minorHAnsi" w:cstheme="minorBidi"/>
            <w:b w:val="0"/>
            <w:i w:val="0"/>
            <w:kern w:val="2"/>
            <w:sz w:val="22"/>
            <w:szCs w:val="22"/>
            <w14:ligatures w14:val="standardContextual"/>
          </w:rPr>
          <w:tab/>
        </w:r>
        <w:r w:rsidR="00D71267" w:rsidRPr="00DC109B">
          <w:rPr>
            <w:rStyle w:val="Hyperlink"/>
          </w:rPr>
          <w:t>Functions of the Commission</w:t>
        </w:r>
        <w:r w:rsidR="00D71267">
          <w:rPr>
            <w:webHidden/>
          </w:rPr>
          <w:tab/>
        </w:r>
        <w:r w:rsidR="00D71267">
          <w:rPr>
            <w:webHidden/>
          </w:rPr>
          <w:fldChar w:fldCharType="begin"/>
        </w:r>
        <w:r w:rsidR="00D71267">
          <w:rPr>
            <w:webHidden/>
          </w:rPr>
          <w:instrText xml:space="preserve"> PAGEREF _Toc154064226 \h </w:instrText>
        </w:r>
        <w:r w:rsidR="00D71267">
          <w:rPr>
            <w:webHidden/>
          </w:rPr>
        </w:r>
        <w:r w:rsidR="00D71267">
          <w:rPr>
            <w:webHidden/>
          </w:rPr>
          <w:fldChar w:fldCharType="separate"/>
        </w:r>
        <w:r w:rsidR="00D71267">
          <w:rPr>
            <w:webHidden/>
          </w:rPr>
          <w:t>14</w:t>
        </w:r>
        <w:r w:rsidR="00D71267">
          <w:rPr>
            <w:webHidden/>
          </w:rPr>
          <w:fldChar w:fldCharType="end"/>
        </w:r>
      </w:hyperlink>
    </w:p>
    <w:p w14:paraId="7659C681" w14:textId="077F3E59" w:rsidR="00D71267" w:rsidRDefault="00000000" w:rsidP="00EA74D1">
      <w:pPr>
        <w:pStyle w:val="TOC2"/>
        <w:spacing w:line="276" w:lineRule="auto"/>
        <w:rPr>
          <w:rFonts w:asciiTheme="minorHAnsi" w:eastAsiaTheme="minorEastAsia" w:hAnsiTheme="minorHAnsi" w:cstheme="minorBidi"/>
          <w:b w:val="0"/>
          <w:i w:val="0"/>
          <w:kern w:val="2"/>
          <w:sz w:val="22"/>
          <w:szCs w:val="22"/>
          <w14:ligatures w14:val="standardContextual"/>
        </w:rPr>
      </w:pPr>
      <w:hyperlink w:anchor="_Toc154064227" w:history="1">
        <w:r w:rsidR="00D71267" w:rsidRPr="00DC109B">
          <w:rPr>
            <w:rStyle w:val="Hyperlink"/>
            <w:iCs/>
          </w:rPr>
          <w:t>4.2</w:t>
        </w:r>
        <w:r w:rsidR="00D71267">
          <w:rPr>
            <w:rFonts w:asciiTheme="minorHAnsi" w:eastAsiaTheme="minorEastAsia" w:hAnsiTheme="minorHAnsi" w:cstheme="minorBidi"/>
            <w:b w:val="0"/>
            <w:i w:val="0"/>
            <w:kern w:val="2"/>
            <w:sz w:val="22"/>
            <w:szCs w:val="22"/>
            <w14:ligatures w14:val="standardContextual"/>
          </w:rPr>
          <w:tab/>
        </w:r>
        <w:r w:rsidR="00D71267" w:rsidRPr="00DC109B">
          <w:rPr>
            <w:rStyle w:val="Hyperlink"/>
          </w:rPr>
          <w:t>Scope of ‘act’ and ‘practice’</w:t>
        </w:r>
        <w:r w:rsidR="00D71267">
          <w:rPr>
            <w:webHidden/>
          </w:rPr>
          <w:tab/>
        </w:r>
        <w:r w:rsidR="00D71267">
          <w:rPr>
            <w:webHidden/>
          </w:rPr>
          <w:fldChar w:fldCharType="begin"/>
        </w:r>
        <w:r w:rsidR="00D71267">
          <w:rPr>
            <w:webHidden/>
          </w:rPr>
          <w:instrText xml:space="preserve"> PAGEREF _Toc154064227 \h </w:instrText>
        </w:r>
        <w:r w:rsidR="00D71267">
          <w:rPr>
            <w:webHidden/>
          </w:rPr>
        </w:r>
        <w:r w:rsidR="00D71267">
          <w:rPr>
            <w:webHidden/>
          </w:rPr>
          <w:fldChar w:fldCharType="separate"/>
        </w:r>
        <w:r w:rsidR="00D71267">
          <w:rPr>
            <w:webHidden/>
          </w:rPr>
          <w:t>15</w:t>
        </w:r>
        <w:r w:rsidR="00D71267">
          <w:rPr>
            <w:webHidden/>
          </w:rPr>
          <w:fldChar w:fldCharType="end"/>
        </w:r>
      </w:hyperlink>
    </w:p>
    <w:p w14:paraId="6D212DB5" w14:textId="1D9C8264" w:rsidR="00D71267" w:rsidRDefault="00000000" w:rsidP="00EA74D1">
      <w:pPr>
        <w:pStyle w:val="TOC2"/>
        <w:spacing w:line="276" w:lineRule="auto"/>
        <w:rPr>
          <w:rFonts w:asciiTheme="minorHAnsi" w:eastAsiaTheme="minorEastAsia" w:hAnsiTheme="minorHAnsi" w:cstheme="minorBidi"/>
          <w:b w:val="0"/>
          <w:i w:val="0"/>
          <w:kern w:val="2"/>
          <w:sz w:val="22"/>
          <w:szCs w:val="22"/>
          <w14:ligatures w14:val="standardContextual"/>
        </w:rPr>
      </w:pPr>
      <w:hyperlink w:anchor="_Toc154064228" w:history="1">
        <w:r w:rsidR="00D71267" w:rsidRPr="00DC109B">
          <w:rPr>
            <w:rStyle w:val="Hyperlink"/>
            <w:iCs/>
          </w:rPr>
          <w:t>4.3</w:t>
        </w:r>
        <w:r w:rsidR="00D71267">
          <w:rPr>
            <w:rFonts w:asciiTheme="minorHAnsi" w:eastAsiaTheme="minorEastAsia" w:hAnsiTheme="minorHAnsi" w:cstheme="minorBidi"/>
            <w:b w:val="0"/>
            <w:i w:val="0"/>
            <w:kern w:val="2"/>
            <w:sz w:val="22"/>
            <w:szCs w:val="22"/>
            <w14:ligatures w14:val="standardContextual"/>
          </w:rPr>
          <w:tab/>
        </w:r>
        <w:r w:rsidR="00D71267" w:rsidRPr="00DC109B">
          <w:rPr>
            <w:rStyle w:val="Hyperlink"/>
          </w:rPr>
          <w:t>What is a human right?</w:t>
        </w:r>
        <w:r w:rsidR="00D71267">
          <w:rPr>
            <w:webHidden/>
          </w:rPr>
          <w:tab/>
        </w:r>
        <w:r w:rsidR="00D71267">
          <w:rPr>
            <w:webHidden/>
          </w:rPr>
          <w:fldChar w:fldCharType="begin"/>
        </w:r>
        <w:r w:rsidR="00D71267">
          <w:rPr>
            <w:webHidden/>
          </w:rPr>
          <w:instrText xml:space="preserve"> PAGEREF _Toc154064228 \h </w:instrText>
        </w:r>
        <w:r w:rsidR="00D71267">
          <w:rPr>
            <w:webHidden/>
          </w:rPr>
        </w:r>
        <w:r w:rsidR="00D71267">
          <w:rPr>
            <w:webHidden/>
          </w:rPr>
          <w:fldChar w:fldCharType="separate"/>
        </w:r>
        <w:r w:rsidR="00D71267">
          <w:rPr>
            <w:webHidden/>
          </w:rPr>
          <w:t>15</w:t>
        </w:r>
        <w:r w:rsidR="00D71267">
          <w:rPr>
            <w:webHidden/>
          </w:rPr>
          <w:fldChar w:fldCharType="end"/>
        </w:r>
      </w:hyperlink>
    </w:p>
    <w:p w14:paraId="2CE379DB" w14:textId="48B33582" w:rsidR="00D71267" w:rsidRDefault="00000000" w:rsidP="00EA74D1">
      <w:pPr>
        <w:pStyle w:val="TOC1"/>
        <w:spacing w:line="276" w:lineRule="auto"/>
        <w:rPr>
          <w:rFonts w:asciiTheme="minorHAnsi" w:eastAsiaTheme="minorEastAsia" w:hAnsiTheme="minorHAnsi" w:cstheme="minorBidi"/>
          <w:b w:val="0"/>
          <w:kern w:val="2"/>
          <w:sz w:val="22"/>
          <w:szCs w:val="22"/>
          <w14:ligatures w14:val="standardContextual"/>
        </w:rPr>
      </w:pPr>
      <w:hyperlink w:anchor="_Toc154064229" w:history="1">
        <w:r w:rsidR="00D71267" w:rsidRPr="00DC109B">
          <w:rPr>
            <w:rStyle w:val="Hyperlink"/>
          </w:rPr>
          <w:t>5</w:t>
        </w:r>
        <w:r w:rsidR="00D71267">
          <w:rPr>
            <w:rFonts w:asciiTheme="minorHAnsi" w:eastAsiaTheme="minorEastAsia" w:hAnsiTheme="minorHAnsi" w:cstheme="minorBidi"/>
            <w:b w:val="0"/>
            <w:kern w:val="2"/>
            <w:sz w:val="22"/>
            <w:szCs w:val="22"/>
            <w14:ligatures w14:val="standardContextual"/>
          </w:rPr>
          <w:tab/>
        </w:r>
        <w:r w:rsidR="00D71267" w:rsidRPr="00DC109B">
          <w:rPr>
            <w:rStyle w:val="Hyperlink"/>
          </w:rPr>
          <w:t>Act or practice of the Commonwealth</w:t>
        </w:r>
        <w:r w:rsidR="00D71267">
          <w:rPr>
            <w:webHidden/>
          </w:rPr>
          <w:tab/>
        </w:r>
        <w:r w:rsidR="00D71267">
          <w:rPr>
            <w:webHidden/>
          </w:rPr>
          <w:fldChar w:fldCharType="begin"/>
        </w:r>
        <w:r w:rsidR="00D71267">
          <w:rPr>
            <w:webHidden/>
          </w:rPr>
          <w:instrText xml:space="preserve"> PAGEREF _Toc154064229 \h </w:instrText>
        </w:r>
        <w:r w:rsidR="00D71267">
          <w:rPr>
            <w:webHidden/>
          </w:rPr>
        </w:r>
        <w:r w:rsidR="00D71267">
          <w:rPr>
            <w:webHidden/>
          </w:rPr>
          <w:fldChar w:fldCharType="separate"/>
        </w:r>
        <w:r w:rsidR="00D71267">
          <w:rPr>
            <w:webHidden/>
          </w:rPr>
          <w:t>15</w:t>
        </w:r>
        <w:r w:rsidR="00D71267">
          <w:rPr>
            <w:webHidden/>
          </w:rPr>
          <w:fldChar w:fldCharType="end"/>
        </w:r>
      </w:hyperlink>
    </w:p>
    <w:p w14:paraId="2DC69F33" w14:textId="1EC8AF8D" w:rsidR="00D71267" w:rsidRDefault="00000000" w:rsidP="00EA74D1">
      <w:pPr>
        <w:pStyle w:val="TOC1"/>
        <w:spacing w:line="276" w:lineRule="auto"/>
        <w:rPr>
          <w:rFonts w:asciiTheme="minorHAnsi" w:eastAsiaTheme="minorEastAsia" w:hAnsiTheme="minorHAnsi" w:cstheme="minorBidi"/>
          <w:b w:val="0"/>
          <w:kern w:val="2"/>
          <w:sz w:val="22"/>
          <w:szCs w:val="22"/>
          <w14:ligatures w14:val="standardContextual"/>
        </w:rPr>
      </w:pPr>
      <w:hyperlink w:anchor="_Toc154064230" w:history="1">
        <w:r w:rsidR="00D71267" w:rsidRPr="00DC109B">
          <w:rPr>
            <w:rStyle w:val="Hyperlink"/>
          </w:rPr>
          <w:t>6</w:t>
        </w:r>
        <w:r w:rsidR="00D71267">
          <w:rPr>
            <w:rFonts w:asciiTheme="minorHAnsi" w:eastAsiaTheme="minorEastAsia" w:hAnsiTheme="minorHAnsi" w:cstheme="minorBidi"/>
            <w:b w:val="0"/>
            <w:kern w:val="2"/>
            <w:sz w:val="22"/>
            <w:szCs w:val="22"/>
            <w14:ligatures w14:val="standardContextual"/>
          </w:rPr>
          <w:tab/>
        </w:r>
        <w:r w:rsidR="00D71267" w:rsidRPr="00DC109B">
          <w:rPr>
            <w:rStyle w:val="Hyperlink"/>
          </w:rPr>
          <w:t>Human rights in detention</w:t>
        </w:r>
        <w:r w:rsidR="00D71267">
          <w:rPr>
            <w:webHidden/>
          </w:rPr>
          <w:tab/>
        </w:r>
        <w:r w:rsidR="00D71267">
          <w:rPr>
            <w:webHidden/>
          </w:rPr>
          <w:fldChar w:fldCharType="begin"/>
        </w:r>
        <w:r w:rsidR="00D71267">
          <w:rPr>
            <w:webHidden/>
          </w:rPr>
          <w:instrText xml:space="preserve"> PAGEREF _Toc154064230 \h </w:instrText>
        </w:r>
        <w:r w:rsidR="00D71267">
          <w:rPr>
            <w:webHidden/>
          </w:rPr>
        </w:r>
        <w:r w:rsidR="00D71267">
          <w:rPr>
            <w:webHidden/>
          </w:rPr>
          <w:fldChar w:fldCharType="separate"/>
        </w:r>
        <w:r w:rsidR="00D71267">
          <w:rPr>
            <w:webHidden/>
          </w:rPr>
          <w:t>15</w:t>
        </w:r>
        <w:r w:rsidR="00D71267">
          <w:rPr>
            <w:webHidden/>
          </w:rPr>
          <w:fldChar w:fldCharType="end"/>
        </w:r>
      </w:hyperlink>
    </w:p>
    <w:p w14:paraId="37D63CCC" w14:textId="3FAE9606" w:rsidR="00D71267" w:rsidRDefault="00000000" w:rsidP="00EA74D1">
      <w:pPr>
        <w:pStyle w:val="TOC2"/>
        <w:spacing w:line="276" w:lineRule="auto"/>
        <w:rPr>
          <w:rFonts w:asciiTheme="minorHAnsi" w:eastAsiaTheme="minorEastAsia" w:hAnsiTheme="minorHAnsi" w:cstheme="minorBidi"/>
          <w:b w:val="0"/>
          <w:i w:val="0"/>
          <w:kern w:val="2"/>
          <w:sz w:val="22"/>
          <w:szCs w:val="22"/>
          <w14:ligatures w14:val="standardContextual"/>
        </w:rPr>
      </w:pPr>
      <w:hyperlink w:anchor="_Toc154064231" w:history="1">
        <w:r w:rsidR="00D71267" w:rsidRPr="00DC109B">
          <w:rPr>
            <w:rStyle w:val="Hyperlink"/>
            <w:iCs/>
          </w:rPr>
          <w:t>6.1</w:t>
        </w:r>
        <w:r w:rsidR="00D71267">
          <w:rPr>
            <w:rFonts w:asciiTheme="minorHAnsi" w:eastAsiaTheme="minorEastAsia" w:hAnsiTheme="minorHAnsi" w:cstheme="minorBidi"/>
            <w:b w:val="0"/>
            <w:i w:val="0"/>
            <w:kern w:val="2"/>
            <w:sz w:val="22"/>
            <w:szCs w:val="22"/>
            <w14:ligatures w14:val="standardContextual"/>
          </w:rPr>
          <w:tab/>
        </w:r>
        <w:r w:rsidR="00D71267" w:rsidRPr="00DC109B">
          <w:rPr>
            <w:rStyle w:val="Hyperlink"/>
          </w:rPr>
          <w:t>Treatment in detention, use of force and provision of medical care</w:t>
        </w:r>
        <w:r w:rsidR="00D71267">
          <w:rPr>
            <w:webHidden/>
          </w:rPr>
          <w:tab/>
        </w:r>
        <w:r w:rsidR="00D71267">
          <w:rPr>
            <w:webHidden/>
          </w:rPr>
          <w:fldChar w:fldCharType="begin"/>
        </w:r>
        <w:r w:rsidR="00D71267">
          <w:rPr>
            <w:webHidden/>
          </w:rPr>
          <w:instrText xml:space="preserve"> PAGEREF _Toc154064231 \h </w:instrText>
        </w:r>
        <w:r w:rsidR="00D71267">
          <w:rPr>
            <w:webHidden/>
          </w:rPr>
        </w:r>
        <w:r w:rsidR="00D71267">
          <w:rPr>
            <w:webHidden/>
          </w:rPr>
          <w:fldChar w:fldCharType="separate"/>
        </w:r>
        <w:r w:rsidR="00D71267">
          <w:rPr>
            <w:webHidden/>
          </w:rPr>
          <w:t>15</w:t>
        </w:r>
        <w:r w:rsidR="00D71267">
          <w:rPr>
            <w:webHidden/>
          </w:rPr>
          <w:fldChar w:fldCharType="end"/>
        </w:r>
      </w:hyperlink>
    </w:p>
    <w:p w14:paraId="30E72CB6" w14:textId="0BF1CBBA" w:rsidR="00D71267" w:rsidRDefault="00000000" w:rsidP="00EA74D1">
      <w:pPr>
        <w:pStyle w:val="TOC2"/>
        <w:spacing w:line="276" w:lineRule="auto"/>
        <w:rPr>
          <w:rFonts w:asciiTheme="minorHAnsi" w:eastAsiaTheme="minorEastAsia" w:hAnsiTheme="minorHAnsi" w:cstheme="minorBidi"/>
          <w:b w:val="0"/>
          <w:i w:val="0"/>
          <w:kern w:val="2"/>
          <w:sz w:val="22"/>
          <w:szCs w:val="22"/>
          <w14:ligatures w14:val="standardContextual"/>
        </w:rPr>
      </w:pPr>
      <w:hyperlink w:anchor="_Toc154064232" w:history="1">
        <w:r w:rsidR="00D71267" w:rsidRPr="00DC109B">
          <w:rPr>
            <w:rStyle w:val="Hyperlink"/>
            <w:iCs/>
          </w:rPr>
          <w:t>6.2</w:t>
        </w:r>
        <w:r w:rsidR="00D71267">
          <w:rPr>
            <w:rFonts w:asciiTheme="minorHAnsi" w:eastAsiaTheme="minorEastAsia" w:hAnsiTheme="minorHAnsi" w:cstheme="minorBidi"/>
            <w:b w:val="0"/>
            <w:i w:val="0"/>
            <w:kern w:val="2"/>
            <w:sz w:val="22"/>
            <w:szCs w:val="22"/>
            <w14:ligatures w14:val="standardContextual"/>
          </w:rPr>
          <w:tab/>
        </w:r>
        <w:r w:rsidR="00D71267" w:rsidRPr="00DC109B">
          <w:rPr>
            <w:rStyle w:val="Hyperlink"/>
          </w:rPr>
          <w:t>Service provider contractual obligations</w:t>
        </w:r>
        <w:r w:rsidR="00D71267">
          <w:rPr>
            <w:webHidden/>
          </w:rPr>
          <w:tab/>
        </w:r>
        <w:r w:rsidR="00D71267">
          <w:rPr>
            <w:webHidden/>
          </w:rPr>
          <w:fldChar w:fldCharType="begin"/>
        </w:r>
        <w:r w:rsidR="00D71267">
          <w:rPr>
            <w:webHidden/>
          </w:rPr>
          <w:instrText xml:space="preserve"> PAGEREF _Toc154064232 \h </w:instrText>
        </w:r>
        <w:r w:rsidR="00D71267">
          <w:rPr>
            <w:webHidden/>
          </w:rPr>
        </w:r>
        <w:r w:rsidR="00D71267">
          <w:rPr>
            <w:webHidden/>
          </w:rPr>
          <w:fldChar w:fldCharType="separate"/>
        </w:r>
        <w:r w:rsidR="00D71267">
          <w:rPr>
            <w:webHidden/>
          </w:rPr>
          <w:t>18</w:t>
        </w:r>
        <w:r w:rsidR="00D71267">
          <w:rPr>
            <w:webHidden/>
          </w:rPr>
          <w:fldChar w:fldCharType="end"/>
        </w:r>
      </w:hyperlink>
    </w:p>
    <w:p w14:paraId="2FAB0A59" w14:textId="2A0402DC" w:rsidR="00D71267" w:rsidRDefault="00000000" w:rsidP="00EA74D1">
      <w:pPr>
        <w:pStyle w:val="TOC2"/>
        <w:spacing w:line="276" w:lineRule="auto"/>
        <w:rPr>
          <w:rFonts w:asciiTheme="minorHAnsi" w:eastAsiaTheme="minorEastAsia" w:hAnsiTheme="minorHAnsi" w:cstheme="minorBidi"/>
          <w:b w:val="0"/>
          <w:i w:val="0"/>
          <w:kern w:val="2"/>
          <w:sz w:val="22"/>
          <w:szCs w:val="22"/>
          <w14:ligatures w14:val="standardContextual"/>
        </w:rPr>
      </w:pPr>
      <w:hyperlink w:anchor="_Toc154064233" w:history="1">
        <w:r w:rsidR="00D71267" w:rsidRPr="00DC109B">
          <w:rPr>
            <w:rStyle w:val="Hyperlink"/>
            <w:iCs/>
          </w:rPr>
          <w:t>6.3</w:t>
        </w:r>
        <w:r w:rsidR="00D71267">
          <w:rPr>
            <w:rFonts w:asciiTheme="minorHAnsi" w:eastAsiaTheme="minorEastAsia" w:hAnsiTheme="minorHAnsi" w:cstheme="minorBidi"/>
            <w:b w:val="0"/>
            <w:i w:val="0"/>
            <w:kern w:val="2"/>
            <w:sz w:val="22"/>
            <w:szCs w:val="22"/>
            <w14:ligatures w14:val="standardContextual"/>
          </w:rPr>
          <w:tab/>
        </w:r>
        <w:r w:rsidR="00D71267" w:rsidRPr="00DC109B">
          <w:rPr>
            <w:rStyle w:val="Hyperlink"/>
          </w:rPr>
          <w:t>Arbitrary interference with family</w:t>
        </w:r>
        <w:r w:rsidR="00D71267">
          <w:rPr>
            <w:webHidden/>
          </w:rPr>
          <w:tab/>
        </w:r>
        <w:r w:rsidR="00D71267">
          <w:rPr>
            <w:webHidden/>
          </w:rPr>
          <w:fldChar w:fldCharType="begin"/>
        </w:r>
        <w:r w:rsidR="00D71267">
          <w:rPr>
            <w:webHidden/>
          </w:rPr>
          <w:instrText xml:space="preserve"> PAGEREF _Toc154064233 \h </w:instrText>
        </w:r>
        <w:r w:rsidR="00D71267">
          <w:rPr>
            <w:webHidden/>
          </w:rPr>
        </w:r>
        <w:r w:rsidR="00D71267">
          <w:rPr>
            <w:webHidden/>
          </w:rPr>
          <w:fldChar w:fldCharType="separate"/>
        </w:r>
        <w:r w:rsidR="00D71267">
          <w:rPr>
            <w:webHidden/>
          </w:rPr>
          <w:t>22</w:t>
        </w:r>
        <w:r w:rsidR="00D71267">
          <w:rPr>
            <w:webHidden/>
          </w:rPr>
          <w:fldChar w:fldCharType="end"/>
        </w:r>
      </w:hyperlink>
    </w:p>
    <w:p w14:paraId="4FB8D611" w14:textId="6AA60BCD" w:rsidR="00D71267" w:rsidRDefault="00000000" w:rsidP="00EA74D1">
      <w:pPr>
        <w:pStyle w:val="TOC1"/>
        <w:spacing w:line="276" w:lineRule="auto"/>
        <w:rPr>
          <w:rFonts w:asciiTheme="minorHAnsi" w:eastAsiaTheme="minorEastAsia" w:hAnsiTheme="minorHAnsi" w:cstheme="minorBidi"/>
          <w:b w:val="0"/>
          <w:kern w:val="2"/>
          <w:sz w:val="22"/>
          <w:szCs w:val="22"/>
          <w14:ligatures w14:val="standardContextual"/>
        </w:rPr>
      </w:pPr>
      <w:hyperlink w:anchor="_Toc154064234" w:history="1">
        <w:r w:rsidR="00D71267" w:rsidRPr="00DC109B">
          <w:rPr>
            <w:rStyle w:val="Hyperlink"/>
          </w:rPr>
          <w:t>7</w:t>
        </w:r>
        <w:r w:rsidR="00D71267">
          <w:rPr>
            <w:rFonts w:asciiTheme="minorHAnsi" w:eastAsiaTheme="minorEastAsia" w:hAnsiTheme="minorHAnsi" w:cstheme="minorBidi"/>
            <w:b w:val="0"/>
            <w:kern w:val="2"/>
            <w:sz w:val="22"/>
            <w:szCs w:val="22"/>
            <w14:ligatures w14:val="standardContextual"/>
          </w:rPr>
          <w:tab/>
        </w:r>
        <w:r w:rsidR="00D71267" w:rsidRPr="00DC109B">
          <w:rPr>
            <w:rStyle w:val="Hyperlink"/>
          </w:rPr>
          <w:t>Findings</w:t>
        </w:r>
        <w:r w:rsidR="00D71267">
          <w:rPr>
            <w:webHidden/>
          </w:rPr>
          <w:tab/>
        </w:r>
        <w:r w:rsidR="00D71267">
          <w:rPr>
            <w:webHidden/>
          </w:rPr>
          <w:fldChar w:fldCharType="begin"/>
        </w:r>
        <w:r w:rsidR="00D71267">
          <w:rPr>
            <w:webHidden/>
          </w:rPr>
          <w:instrText xml:space="preserve"> PAGEREF _Toc154064234 \h </w:instrText>
        </w:r>
        <w:r w:rsidR="00D71267">
          <w:rPr>
            <w:webHidden/>
          </w:rPr>
        </w:r>
        <w:r w:rsidR="00D71267">
          <w:rPr>
            <w:webHidden/>
          </w:rPr>
          <w:fldChar w:fldCharType="separate"/>
        </w:r>
        <w:r w:rsidR="00D71267">
          <w:rPr>
            <w:webHidden/>
          </w:rPr>
          <w:t>22</w:t>
        </w:r>
        <w:r w:rsidR="00D71267">
          <w:rPr>
            <w:webHidden/>
          </w:rPr>
          <w:fldChar w:fldCharType="end"/>
        </w:r>
      </w:hyperlink>
    </w:p>
    <w:p w14:paraId="00F92CEF" w14:textId="7DEBF260" w:rsidR="00D71267" w:rsidRDefault="00000000" w:rsidP="00EA74D1">
      <w:pPr>
        <w:pStyle w:val="TOC2"/>
        <w:spacing w:line="276" w:lineRule="auto"/>
        <w:rPr>
          <w:rFonts w:asciiTheme="minorHAnsi" w:eastAsiaTheme="minorEastAsia" w:hAnsiTheme="minorHAnsi" w:cstheme="minorBidi"/>
          <w:b w:val="0"/>
          <w:i w:val="0"/>
          <w:kern w:val="2"/>
          <w:sz w:val="22"/>
          <w:szCs w:val="22"/>
          <w14:ligatures w14:val="standardContextual"/>
        </w:rPr>
      </w:pPr>
      <w:hyperlink w:anchor="_Toc154064235" w:history="1">
        <w:r w:rsidR="00D71267" w:rsidRPr="00DC109B">
          <w:rPr>
            <w:rStyle w:val="Hyperlink"/>
            <w:iCs/>
          </w:rPr>
          <w:t>7.1</w:t>
        </w:r>
        <w:r w:rsidR="00D71267">
          <w:rPr>
            <w:rFonts w:asciiTheme="minorHAnsi" w:eastAsiaTheme="minorEastAsia" w:hAnsiTheme="minorHAnsi" w:cstheme="minorBidi"/>
            <w:b w:val="0"/>
            <w:i w:val="0"/>
            <w:kern w:val="2"/>
            <w:sz w:val="22"/>
            <w:szCs w:val="22"/>
            <w14:ligatures w14:val="standardContextual"/>
          </w:rPr>
          <w:tab/>
        </w:r>
        <w:r w:rsidR="00D71267" w:rsidRPr="00DC109B">
          <w:rPr>
            <w:rStyle w:val="Hyperlink"/>
          </w:rPr>
          <w:t>Use of force on 27 September 2020</w:t>
        </w:r>
        <w:r w:rsidR="00D71267">
          <w:rPr>
            <w:webHidden/>
          </w:rPr>
          <w:tab/>
        </w:r>
        <w:r w:rsidR="00D71267">
          <w:rPr>
            <w:webHidden/>
          </w:rPr>
          <w:fldChar w:fldCharType="begin"/>
        </w:r>
        <w:r w:rsidR="00D71267">
          <w:rPr>
            <w:webHidden/>
          </w:rPr>
          <w:instrText xml:space="preserve"> PAGEREF _Toc154064235 \h </w:instrText>
        </w:r>
        <w:r w:rsidR="00D71267">
          <w:rPr>
            <w:webHidden/>
          </w:rPr>
        </w:r>
        <w:r w:rsidR="00D71267">
          <w:rPr>
            <w:webHidden/>
          </w:rPr>
          <w:fldChar w:fldCharType="separate"/>
        </w:r>
        <w:r w:rsidR="00D71267">
          <w:rPr>
            <w:webHidden/>
          </w:rPr>
          <w:t>22</w:t>
        </w:r>
        <w:r w:rsidR="00D71267">
          <w:rPr>
            <w:webHidden/>
          </w:rPr>
          <w:fldChar w:fldCharType="end"/>
        </w:r>
      </w:hyperlink>
    </w:p>
    <w:p w14:paraId="723D8FBC" w14:textId="53561E2B" w:rsidR="00D71267" w:rsidRDefault="00000000" w:rsidP="00EA74D1">
      <w:pPr>
        <w:pStyle w:val="TOC2"/>
        <w:spacing w:line="276" w:lineRule="auto"/>
        <w:rPr>
          <w:rFonts w:asciiTheme="minorHAnsi" w:eastAsiaTheme="minorEastAsia" w:hAnsiTheme="minorHAnsi" w:cstheme="minorBidi"/>
          <w:b w:val="0"/>
          <w:i w:val="0"/>
          <w:kern w:val="2"/>
          <w:sz w:val="22"/>
          <w:szCs w:val="22"/>
          <w14:ligatures w14:val="standardContextual"/>
        </w:rPr>
      </w:pPr>
      <w:hyperlink w:anchor="_Toc154064236" w:history="1">
        <w:r w:rsidR="00D71267" w:rsidRPr="00DC109B">
          <w:rPr>
            <w:rStyle w:val="Hyperlink"/>
            <w:iCs/>
          </w:rPr>
          <w:t>7.2</w:t>
        </w:r>
        <w:r w:rsidR="00D71267">
          <w:rPr>
            <w:rFonts w:asciiTheme="minorHAnsi" w:eastAsiaTheme="minorEastAsia" w:hAnsiTheme="minorHAnsi" w:cstheme="minorBidi"/>
            <w:b w:val="0"/>
            <w:i w:val="0"/>
            <w:kern w:val="2"/>
            <w:sz w:val="22"/>
            <w:szCs w:val="22"/>
            <w14:ligatures w14:val="standardContextual"/>
          </w:rPr>
          <w:tab/>
        </w:r>
        <w:r w:rsidR="00D71267" w:rsidRPr="00DC109B">
          <w:rPr>
            <w:rStyle w:val="Hyperlink"/>
          </w:rPr>
          <w:t>Provision of medical care</w:t>
        </w:r>
        <w:r w:rsidR="00D71267">
          <w:rPr>
            <w:webHidden/>
          </w:rPr>
          <w:tab/>
        </w:r>
        <w:r w:rsidR="00D71267">
          <w:rPr>
            <w:webHidden/>
          </w:rPr>
          <w:fldChar w:fldCharType="begin"/>
        </w:r>
        <w:r w:rsidR="00D71267">
          <w:rPr>
            <w:webHidden/>
          </w:rPr>
          <w:instrText xml:space="preserve"> PAGEREF _Toc154064236 \h </w:instrText>
        </w:r>
        <w:r w:rsidR="00D71267">
          <w:rPr>
            <w:webHidden/>
          </w:rPr>
        </w:r>
        <w:r w:rsidR="00D71267">
          <w:rPr>
            <w:webHidden/>
          </w:rPr>
          <w:fldChar w:fldCharType="separate"/>
        </w:r>
        <w:r w:rsidR="00D71267">
          <w:rPr>
            <w:webHidden/>
          </w:rPr>
          <w:t>25</w:t>
        </w:r>
        <w:r w:rsidR="00D71267">
          <w:rPr>
            <w:webHidden/>
          </w:rPr>
          <w:fldChar w:fldCharType="end"/>
        </w:r>
      </w:hyperlink>
    </w:p>
    <w:p w14:paraId="3EC00101" w14:textId="3B58AF15" w:rsidR="00D71267" w:rsidRDefault="00000000" w:rsidP="00EA74D1">
      <w:pPr>
        <w:pStyle w:val="TOC2"/>
        <w:spacing w:line="276" w:lineRule="auto"/>
        <w:rPr>
          <w:rFonts w:asciiTheme="minorHAnsi" w:eastAsiaTheme="minorEastAsia" w:hAnsiTheme="minorHAnsi" w:cstheme="minorBidi"/>
          <w:b w:val="0"/>
          <w:i w:val="0"/>
          <w:kern w:val="2"/>
          <w:sz w:val="22"/>
          <w:szCs w:val="22"/>
          <w14:ligatures w14:val="standardContextual"/>
        </w:rPr>
      </w:pPr>
      <w:hyperlink w:anchor="_Toc154064237" w:history="1">
        <w:r w:rsidR="00D71267" w:rsidRPr="00DC109B">
          <w:rPr>
            <w:rStyle w:val="Hyperlink"/>
            <w:iCs/>
          </w:rPr>
          <w:t>7.3</w:t>
        </w:r>
        <w:r w:rsidR="00D71267">
          <w:rPr>
            <w:rFonts w:asciiTheme="minorHAnsi" w:eastAsiaTheme="minorEastAsia" w:hAnsiTheme="minorHAnsi" w:cstheme="minorBidi"/>
            <w:b w:val="0"/>
            <w:i w:val="0"/>
            <w:kern w:val="2"/>
            <w:sz w:val="22"/>
            <w:szCs w:val="22"/>
            <w14:ligatures w14:val="standardContextual"/>
          </w:rPr>
          <w:tab/>
        </w:r>
        <w:r w:rsidR="00D71267" w:rsidRPr="00DC109B">
          <w:rPr>
            <w:rStyle w:val="Hyperlink"/>
          </w:rPr>
          <w:t>Separation from family</w:t>
        </w:r>
        <w:r w:rsidR="00D71267">
          <w:rPr>
            <w:webHidden/>
          </w:rPr>
          <w:tab/>
        </w:r>
        <w:r w:rsidR="00D71267">
          <w:rPr>
            <w:webHidden/>
          </w:rPr>
          <w:fldChar w:fldCharType="begin"/>
        </w:r>
        <w:r w:rsidR="00D71267">
          <w:rPr>
            <w:webHidden/>
          </w:rPr>
          <w:instrText xml:space="preserve"> PAGEREF _Toc154064237 \h </w:instrText>
        </w:r>
        <w:r w:rsidR="00D71267">
          <w:rPr>
            <w:webHidden/>
          </w:rPr>
        </w:r>
        <w:r w:rsidR="00D71267">
          <w:rPr>
            <w:webHidden/>
          </w:rPr>
          <w:fldChar w:fldCharType="separate"/>
        </w:r>
        <w:r w:rsidR="00D71267">
          <w:rPr>
            <w:webHidden/>
          </w:rPr>
          <w:t>26</w:t>
        </w:r>
        <w:r w:rsidR="00D71267">
          <w:rPr>
            <w:webHidden/>
          </w:rPr>
          <w:fldChar w:fldCharType="end"/>
        </w:r>
      </w:hyperlink>
    </w:p>
    <w:p w14:paraId="66F36358" w14:textId="13A8B8DD" w:rsidR="00D71267" w:rsidRDefault="00000000" w:rsidP="00EA74D1">
      <w:pPr>
        <w:pStyle w:val="TOC3"/>
        <w:spacing w:line="276" w:lineRule="auto"/>
        <w:rPr>
          <w:rFonts w:asciiTheme="minorHAnsi" w:eastAsiaTheme="minorEastAsia" w:hAnsiTheme="minorHAnsi" w:cstheme="minorBidi"/>
          <w:i w:val="0"/>
          <w:kern w:val="2"/>
          <w:sz w:val="22"/>
          <w:szCs w:val="22"/>
          <w14:ligatures w14:val="standardContextual"/>
        </w:rPr>
      </w:pPr>
      <w:hyperlink w:anchor="_Toc154064238" w:history="1">
        <w:r w:rsidR="00D71267" w:rsidRPr="00DC109B">
          <w:rPr>
            <w:rStyle w:val="Hyperlink"/>
            <w:b/>
          </w:rPr>
          <w:t>(a)</w:t>
        </w:r>
        <w:r w:rsidR="00D71267">
          <w:rPr>
            <w:rFonts w:asciiTheme="minorHAnsi" w:eastAsiaTheme="minorEastAsia" w:hAnsiTheme="minorHAnsi" w:cstheme="minorBidi"/>
            <w:i w:val="0"/>
            <w:kern w:val="2"/>
            <w:sz w:val="22"/>
            <w:szCs w:val="22"/>
            <w14:ligatures w14:val="standardContextual"/>
          </w:rPr>
          <w:tab/>
        </w:r>
        <w:r w:rsidR="00D71267" w:rsidRPr="00DC109B">
          <w:rPr>
            <w:rStyle w:val="Hyperlink"/>
            <w:b/>
          </w:rPr>
          <w:t>‘Family’</w:t>
        </w:r>
        <w:r w:rsidR="00D71267">
          <w:rPr>
            <w:webHidden/>
          </w:rPr>
          <w:tab/>
        </w:r>
        <w:r w:rsidR="00D71267">
          <w:rPr>
            <w:webHidden/>
          </w:rPr>
          <w:fldChar w:fldCharType="begin"/>
        </w:r>
        <w:r w:rsidR="00D71267">
          <w:rPr>
            <w:webHidden/>
          </w:rPr>
          <w:instrText xml:space="preserve"> PAGEREF _Toc154064238 \h </w:instrText>
        </w:r>
        <w:r w:rsidR="00D71267">
          <w:rPr>
            <w:webHidden/>
          </w:rPr>
        </w:r>
        <w:r w:rsidR="00D71267">
          <w:rPr>
            <w:webHidden/>
          </w:rPr>
          <w:fldChar w:fldCharType="separate"/>
        </w:r>
        <w:r w:rsidR="00D71267">
          <w:rPr>
            <w:webHidden/>
          </w:rPr>
          <w:t>26</w:t>
        </w:r>
        <w:r w:rsidR="00D71267">
          <w:rPr>
            <w:webHidden/>
          </w:rPr>
          <w:fldChar w:fldCharType="end"/>
        </w:r>
      </w:hyperlink>
    </w:p>
    <w:p w14:paraId="22371AF6" w14:textId="0682678D" w:rsidR="00D71267" w:rsidRDefault="00000000" w:rsidP="00EA74D1">
      <w:pPr>
        <w:pStyle w:val="TOC3"/>
        <w:spacing w:line="276" w:lineRule="auto"/>
        <w:rPr>
          <w:rFonts w:asciiTheme="minorHAnsi" w:eastAsiaTheme="minorEastAsia" w:hAnsiTheme="minorHAnsi" w:cstheme="minorBidi"/>
          <w:i w:val="0"/>
          <w:kern w:val="2"/>
          <w:sz w:val="22"/>
          <w:szCs w:val="22"/>
          <w14:ligatures w14:val="standardContextual"/>
        </w:rPr>
      </w:pPr>
      <w:hyperlink w:anchor="_Toc154064239" w:history="1">
        <w:r w:rsidR="00D71267" w:rsidRPr="00DC109B">
          <w:rPr>
            <w:rStyle w:val="Hyperlink"/>
            <w:b/>
          </w:rPr>
          <w:t>(b)</w:t>
        </w:r>
        <w:r w:rsidR="00D71267">
          <w:rPr>
            <w:rFonts w:asciiTheme="minorHAnsi" w:eastAsiaTheme="minorEastAsia" w:hAnsiTheme="minorHAnsi" w:cstheme="minorBidi"/>
            <w:i w:val="0"/>
            <w:kern w:val="2"/>
            <w:sz w:val="22"/>
            <w:szCs w:val="22"/>
            <w14:ligatures w14:val="standardContextual"/>
          </w:rPr>
          <w:tab/>
        </w:r>
        <w:r w:rsidR="00D71267" w:rsidRPr="00DC109B">
          <w:rPr>
            <w:rStyle w:val="Hyperlink"/>
            <w:b/>
          </w:rPr>
          <w:t>‘Interference’</w:t>
        </w:r>
        <w:r w:rsidR="00D71267">
          <w:rPr>
            <w:webHidden/>
          </w:rPr>
          <w:tab/>
        </w:r>
        <w:r w:rsidR="00D71267">
          <w:rPr>
            <w:webHidden/>
          </w:rPr>
          <w:fldChar w:fldCharType="begin"/>
        </w:r>
        <w:r w:rsidR="00D71267">
          <w:rPr>
            <w:webHidden/>
          </w:rPr>
          <w:instrText xml:space="preserve"> PAGEREF _Toc154064239 \h </w:instrText>
        </w:r>
        <w:r w:rsidR="00D71267">
          <w:rPr>
            <w:webHidden/>
          </w:rPr>
        </w:r>
        <w:r w:rsidR="00D71267">
          <w:rPr>
            <w:webHidden/>
          </w:rPr>
          <w:fldChar w:fldCharType="separate"/>
        </w:r>
        <w:r w:rsidR="00D71267">
          <w:rPr>
            <w:webHidden/>
          </w:rPr>
          <w:t>27</w:t>
        </w:r>
        <w:r w:rsidR="00D71267">
          <w:rPr>
            <w:webHidden/>
          </w:rPr>
          <w:fldChar w:fldCharType="end"/>
        </w:r>
      </w:hyperlink>
    </w:p>
    <w:p w14:paraId="371209BD" w14:textId="3010D22F" w:rsidR="00D71267" w:rsidRDefault="00000000" w:rsidP="00EA74D1">
      <w:pPr>
        <w:pStyle w:val="TOC3"/>
        <w:spacing w:line="276" w:lineRule="auto"/>
        <w:rPr>
          <w:rFonts w:asciiTheme="minorHAnsi" w:eastAsiaTheme="minorEastAsia" w:hAnsiTheme="minorHAnsi" w:cstheme="minorBidi"/>
          <w:i w:val="0"/>
          <w:kern w:val="2"/>
          <w:sz w:val="22"/>
          <w:szCs w:val="22"/>
          <w14:ligatures w14:val="standardContextual"/>
        </w:rPr>
      </w:pPr>
      <w:hyperlink w:anchor="_Toc154064240" w:history="1">
        <w:r w:rsidR="00D71267" w:rsidRPr="00DC109B">
          <w:rPr>
            <w:rStyle w:val="Hyperlink"/>
            <w:b/>
          </w:rPr>
          <w:t>(c)</w:t>
        </w:r>
        <w:r w:rsidR="00D71267">
          <w:rPr>
            <w:rFonts w:asciiTheme="minorHAnsi" w:eastAsiaTheme="minorEastAsia" w:hAnsiTheme="minorHAnsi" w:cstheme="minorBidi"/>
            <w:i w:val="0"/>
            <w:kern w:val="2"/>
            <w:sz w:val="22"/>
            <w:szCs w:val="22"/>
            <w14:ligatures w14:val="standardContextual"/>
          </w:rPr>
          <w:tab/>
        </w:r>
        <w:r w:rsidR="00D71267" w:rsidRPr="00DC109B">
          <w:rPr>
            <w:rStyle w:val="Hyperlink"/>
            <w:b/>
          </w:rPr>
          <w:t>‘Arbitrary’</w:t>
        </w:r>
        <w:r w:rsidR="00D71267">
          <w:rPr>
            <w:webHidden/>
          </w:rPr>
          <w:tab/>
        </w:r>
        <w:r w:rsidR="00D71267">
          <w:rPr>
            <w:webHidden/>
          </w:rPr>
          <w:fldChar w:fldCharType="begin"/>
        </w:r>
        <w:r w:rsidR="00D71267">
          <w:rPr>
            <w:webHidden/>
          </w:rPr>
          <w:instrText xml:space="preserve"> PAGEREF _Toc154064240 \h </w:instrText>
        </w:r>
        <w:r w:rsidR="00D71267">
          <w:rPr>
            <w:webHidden/>
          </w:rPr>
        </w:r>
        <w:r w:rsidR="00D71267">
          <w:rPr>
            <w:webHidden/>
          </w:rPr>
          <w:fldChar w:fldCharType="separate"/>
        </w:r>
        <w:r w:rsidR="00D71267">
          <w:rPr>
            <w:webHidden/>
          </w:rPr>
          <w:t>27</w:t>
        </w:r>
        <w:r w:rsidR="00D71267">
          <w:rPr>
            <w:webHidden/>
          </w:rPr>
          <w:fldChar w:fldCharType="end"/>
        </w:r>
      </w:hyperlink>
    </w:p>
    <w:p w14:paraId="4A0C5E3E" w14:textId="772B8D5F" w:rsidR="00D71267" w:rsidRDefault="00000000" w:rsidP="00EA74D1">
      <w:pPr>
        <w:pStyle w:val="TOC1"/>
        <w:spacing w:line="276" w:lineRule="auto"/>
        <w:rPr>
          <w:rFonts w:asciiTheme="minorHAnsi" w:eastAsiaTheme="minorEastAsia" w:hAnsiTheme="minorHAnsi" w:cstheme="minorBidi"/>
          <w:b w:val="0"/>
          <w:kern w:val="2"/>
          <w:sz w:val="22"/>
          <w:szCs w:val="22"/>
          <w14:ligatures w14:val="standardContextual"/>
        </w:rPr>
      </w:pPr>
      <w:hyperlink w:anchor="_Toc154064241" w:history="1">
        <w:r w:rsidR="00D71267" w:rsidRPr="00DC109B">
          <w:rPr>
            <w:rStyle w:val="Hyperlink"/>
          </w:rPr>
          <w:t>8</w:t>
        </w:r>
        <w:r w:rsidR="00D71267">
          <w:rPr>
            <w:rFonts w:asciiTheme="minorHAnsi" w:eastAsiaTheme="minorEastAsia" w:hAnsiTheme="minorHAnsi" w:cstheme="minorBidi"/>
            <w:b w:val="0"/>
            <w:kern w:val="2"/>
            <w:sz w:val="22"/>
            <w:szCs w:val="22"/>
            <w14:ligatures w14:val="standardContextual"/>
          </w:rPr>
          <w:tab/>
        </w:r>
        <w:r w:rsidR="00D71267" w:rsidRPr="00DC109B">
          <w:rPr>
            <w:rStyle w:val="Hyperlink"/>
          </w:rPr>
          <w:t>Recommendations</w:t>
        </w:r>
        <w:r w:rsidR="00D71267">
          <w:rPr>
            <w:webHidden/>
          </w:rPr>
          <w:tab/>
        </w:r>
        <w:r w:rsidR="00D71267">
          <w:rPr>
            <w:webHidden/>
          </w:rPr>
          <w:fldChar w:fldCharType="begin"/>
        </w:r>
        <w:r w:rsidR="00D71267">
          <w:rPr>
            <w:webHidden/>
          </w:rPr>
          <w:instrText xml:space="preserve"> PAGEREF _Toc154064241 \h </w:instrText>
        </w:r>
        <w:r w:rsidR="00D71267">
          <w:rPr>
            <w:webHidden/>
          </w:rPr>
        </w:r>
        <w:r w:rsidR="00D71267">
          <w:rPr>
            <w:webHidden/>
          </w:rPr>
          <w:fldChar w:fldCharType="separate"/>
        </w:r>
        <w:r w:rsidR="00D71267">
          <w:rPr>
            <w:webHidden/>
          </w:rPr>
          <w:t>29</w:t>
        </w:r>
        <w:r w:rsidR="00D71267">
          <w:rPr>
            <w:webHidden/>
          </w:rPr>
          <w:fldChar w:fldCharType="end"/>
        </w:r>
      </w:hyperlink>
    </w:p>
    <w:p w14:paraId="57884E68" w14:textId="46535328" w:rsidR="00D71267" w:rsidRDefault="00000000" w:rsidP="00EA74D1">
      <w:pPr>
        <w:pStyle w:val="TOC1"/>
        <w:spacing w:line="276" w:lineRule="auto"/>
        <w:rPr>
          <w:rFonts w:asciiTheme="minorHAnsi" w:eastAsiaTheme="minorEastAsia" w:hAnsiTheme="minorHAnsi" w:cstheme="minorBidi"/>
          <w:b w:val="0"/>
          <w:kern w:val="2"/>
          <w:sz w:val="22"/>
          <w:szCs w:val="22"/>
          <w14:ligatures w14:val="standardContextual"/>
        </w:rPr>
      </w:pPr>
      <w:hyperlink w:anchor="_Toc154064242" w:history="1">
        <w:r w:rsidR="00D71267" w:rsidRPr="00DC109B">
          <w:rPr>
            <w:rStyle w:val="Hyperlink"/>
          </w:rPr>
          <w:t>9</w:t>
        </w:r>
        <w:r w:rsidR="00D71267">
          <w:rPr>
            <w:rFonts w:asciiTheme="minorHAnsi" w:eastAsiaTheme="minorEastAsia" w:hAnsiTheme="minorHAnsi" w:cstheme="minorBidi"/>
            <w:b w:val="0"/>
            <w:kern w:val="2"/>
            <w:sz w:val="22"/>
            <w:szCs w:val="22"/>
            <w14:ligatures w14:val="standardContextual"/>
          </w:rPr>
          <w:tab/>
        </w:r>
        <w:r w:rsidR="00D71267" w:rsidRPr="00DC109B">
          <w:rPr>
            <w:rStyle w:val="Hyperlink"/>
          </w:rPr>
          <w:t>The Department’s response to my findings and recommendations</w:t>
        </w:r>
        <w:r w:rsidR="00D71267">
          <w:rPr>
            <w:webHidden/>
          </w:rPr>
          <w:tab/>
        </w:r>
        <w:r w:rsidR="00D71267">
          <w:rPr>
            <w:webHidden/>
          </w:rPr>
          <w:fldChar w:fldCharType="begin"/>
        </w:r>
        <w:r w:rsidR="00D71267">
          <w:rPr>
            <w:webHidden/>
          </w:rPr>
          <w:instrText xml:space="preserve"> PAGEREF _Toc154064242 \h </w:instrText>
        </w:r>
        <w:r w:rsidR="00D71267">
          <w:rPr>
            <w:webHidden/>
          </w:rPr>
        </w:r>
        <w:r w:rsidR="00D71267">
          <w:rPr>
            <w:webHidden/>
          </w:rPr>
          <w:fldChar w:fldCharType="separate"/>
        </w:r>
        <w:r w:rsidR="00D71267">
          <w:rPr>
            <w:webHidden/>
          </w:rPr>
          <w:t>30</w:t>
        </w:r>
        <w:r w:rsidR="00D71267">
          <w:rPr>
            <w:webHidden/>
          </w:rPr>
          <w:fldChar w:fldCharType="end"/>
        </w:r>
      </w:hyperlink>
    </w:p>
    <w:p w14:paraId="728BB92A" w14:textId="062D343D" w:rsidR="003608E3" w:rsidRPr="00EA74D1" w:rsidRDefault="000B5B68" w:rsidP="00EA74D1">
      <w:pPr>
        <w:pStyle w:val="Heading1"/>
        <w:numPr>
          <w:ilvl w:val="0"/>
          <w:numId w:val="0"/>
        </w:numPr>
        <w:tabs>
          <w:tab w:val="num" w:pos="851"/>
          <w:tab w:val="num" w:pos="1492"/>
        </w:tabs>
        <w:spacing w:line="276" w:lineRule="auto"/>
      </w:pPr>
      <w:r w:rsidRPr="000465F1">
        <w:fldChar w:fldCharType="end"/>
      </w:r>
      <w:bookmarkStart w:id="1" w:name="_Toc452472689"/>
      <w:bookmarkStart w:id="2" w:name="_Toc487445596"/>
      <w:bookmarkStart w:id="3" w:name="_Toc487531381"/>
      <w:bookmarkStart w:id="4" w:name="_Toc487531400"/>
      <w:bookmarkStart w:id="5" w:name="_Toc487531470"/>
      <w:bookmarkStart w:id="6" w:name="_Toc487531590"/>
      <w:bookmarkStart w:id="7" w:name="_Toc83845011"/>
      <w:bookmarkStart w:id="8" w:name="_Toc149564176"/>
      <w:r w:rsidR="003608E3">
        <w:br w:type="page"/>
      </w:r>
    </w:p>
    <w:p w14:paraId="06F7BB45" w14:textId="754B79CA" w:rsidR="003608E3" w:rsidRPr="003C1DE3" w:rsidRDefault="003608E3" w:rsidP="003608E3">
      <w:pPr>
        <w:pStyle w:val="AHRCHeading1"/>
      </w:pPr>
      <w:bookmarkStart w:id="9" w:name="_Toc154064218"/>
      <w:r w:rsidRPr="003C1DE3">
        <w:lastRenderedPageBreak/>
        <w:t>Introduction to this inquiry</w:t>
      </w:r>
      <w:bookmarkEnd w:id="1"/>
      <w:bookmarkEnd w:id="2"/>
      <w:bookmarkEnd w:id="3"/>
      <w:bookmarkEnd w:id="4"/>
      <w:bookmarkEnd w:id="5"/>
      <w:bookmarkEnd w:id="6"/>
      <w:bookmarkEnd w:id="7"/>
      <w:bookmarkEnd w:id="8"/>
      <w:bookmarkEnd w:id="9"/>
    </w:p>
    <w:p w14:paraId="68D7F592" w14:textId="5F704677" w:rsidR="003608E3" w:rsidRPr="0056467D" w:rsidRDefault="003608E3" w:rsidP="00D73ED4">
      <w:pPr>
        <w:pStyle w:val="ListParagraph"/>
        <w:numPr>
          <w:ilvl w:val="0"/>
          <w:numId w:val="20"/>
        </w:numPr>
        <w:ind w:left="720" w:hanging="720"/>
        <w:rPr>
          <w:rFonts w:eastAsia="Times New Roman" w:cs="Open Sans"/>
          <w:spacing w:val="-5"/>
        </w:rPr>
      </w:pPr>
      <w:r w:rsidRPr="0056467D">
        <w:rPr>
          <w:rFonts w:eastAsia="Times New Roman" w:cs="Open Sans"/>
          <w:spacing w:val="-5"/>
        </w:rPr>
        <w:t xml:space="preserve">The Australian Human Rights Commission (Commission) </w:t>
      </w:r>
      <w:r w:rsidR="00627D80">
        <w:rPr>
          <w:rFonts w:eastAsia="Times New Roman" w:cs="Open Sans"/>
          <w:spacing w:val="-5"/>
        </w:rPr>
        <w:t>has</w:t>
      </w:r>
      <w:r w:rsidRPr="0056467D">
        <w:rPr>
          <w:rFonts w:eastAsia="Times New Roman" w:cs="Open Sans"/>
          <w:spacing w:val="-5"/>
        </w:rPr>
        <w:t xml:space="preserve"> conduct</w:t>
      </w:r>
      <w:r w:rsidR="00627D80">
        <w:rPr>
          <w:rFonts w:eastAsia="Times New Roman" w:cs="Open Sans"/>
          <w:spacing w:val="-5"/>
        </w:rPr>
        <w:t>ed</w:t>
      </w:r>
      <w:r w:rsidRPr="0056467D">
        <w:rPr>
          <w:rFonts w:eastAsia="Times New Roman" w:cs="Open Sans"/>
          <w:spacing w:val="-5"/>
        </w:rPr>
        <w:t xml:space="preserve"> an inquiry into a complaint made by Mr </w:t>
      </w:r>
      <w:r>
        <w:rPr>
          <w:rFonts w:eastAsia="Times New Roman" w:cs="Open Sans"/>
          <w:spacing w:val="-5"/>
        </w:rPr>
        <w:t>KX</w:t>
      </w:r>
      <w:r w:rsidRPr="0056467D">
        <w:rPr>
          <w:rFonts w:eastAsia="Times New Roman" w:cs="Open Sans"/>
          <w:spacing w:val="-5"/>
        </w:rPr>
        <w:t xml:space="preserve"> against the Commonwealth of Australia, specifically the Department of Home Affairs (Department</w:t>
      </w:r>
      <w:r w:rsidRPr="007650B3">
        <w:rPr>
          <w:rFonts w:eastAsia="Times New Roman" w:cs="Open Sans"/>
          <w:spacing w:val="-5"/>
        </w:rPr>
        <w:t>).</w:t>
      </w:r>
      <w:r w:rsidRPr="0056467D">
        <w:rPr>
          <w:rFonts w:eastAsia="Times New Roman" w:cs="Open Sans"/>
          <w:spacing w:val="-5"/>
        </w:rPr>
        <w:t xml:space="preserve"> </w:t>
      </w:r>
      <w:r>
        <w:rPr>
          <w:rFonts w:eastAsia="Times New Roman" w:cs="Open Sans"/>
          <w:spacing w:val="-5"/>
        </w:rPr>
        <w:t xml:space="preserve">This inquiry has been undertaken pursuant to s11(1)(f) of the </w:t>
      </w:r>
      <w:r w:rsidRPr="0056467D">
        <w:rPr>
          <w:rFonts w:eastAsia="Times New Roman" w:cs="Open Sans"/>
          <w:i/>
          <w:iCs/>
          <w:spacing w:val="-5"/>
        </w:rPr>
        <w:t>Australian Human Rights Commission Act 1986</w:t>
      </w:r>
      <w:r w:rsidRPr="0056467D">
        <w:rPr>
          <w:rFonts w:eastAsia="Times New Roman" w:cs="Open Sans"/>
          <w:spacing w:val="-5"/>
        </w:rPr>
        <w:t xml:space="preserve"> (</w:t>
      </w:r>
      <w:proofErr w:type="spellStart"/>
      <w:r w:rsidRPr="0056467D">
        <w:rPr>
          <w:rFonts w:eastAsia="Times New Roman" w:cs="Open Sans"/>
          <w:spacing w:val="-5"/>
        </w:rPr>
        <w:t>Cth</w:t>
      </w:r>
      <w:proofErr w:type="spellEnd"/>
      <w:r w:rsidRPr="0056467D">
        <w:rPr>
          <w:rFonts w:eastAsia="Times New Roman" w:cs="Open Sans"/>
          <w:spacing w:val="-5"/>
        </w:rPr>
        <w:t>) (AHRC Act).</w:t>
      </w:r>
    </w:p>
    <w:p w14:paraId="3FF4C206" w14:textId="77777777" w:rsidR="003608E3" w:rsidRPr="0056467D" w:rsidRDefault="003608E3" w:rsidP="00D73ED4">
      <w:pPr>
        <w:pStyle w:val="ListParagraph"/>
        <w:numPr>
          <w:ilvl w:val="0"/>
          <w:numId w:val="20"/>
        </w:numPr>
        <w:ind w:left="720" w:hanging="720"/>
        <w:rPr>
          <w:rFonts w:eastAsia="Times New Roman" w:cs="Open Sans"/>
          <w:spacing w:val="-5"/>
        </w:rPr>
      </w:pPr>
      <w:r w:rsidRPr="0056467D">
        <w:rPr>
          <w:rFonts w:eastAsia="Times New Roman" w:cs="Open Sans"/>
          <w:spacing w:val="-5"/>
        </w:rPr>
        <w:t xml:space="preserve">Mr </w:t>
      </w:r>
      <w:r>
        <w:rPr>
          <w:rFonts w:eastAsia="Times New Roman" w:cs="Open Sans"/>
          <w:spacing w:val="-5"/>
        </w:rPr>
        <w:t>KX</w:t>
      </w:r>
      <w:r w:rsidRPr="0056467D">
        <w:rPr>
          <w:rFonts w:eastAsia="Times New Roman" w:cs="Open Sans"/>
          <w:spacing w:val="-5"/>
        </w:rPr>
        <w:t xml:space="preserve">’s complaint </w:t>
      </w:r>
      <w:r>
        <w:rPr>
          <w:rFonts w:eastAsia="Times New Roman" w:cs="Open Sans"/>
          <w:spacing w:val="-5"/>
        </w:rPr>
        <w:t>relates to</w:t>
      </w:r>
      <w:r w:rsidRPr="0056467D">
        <w:rPr>
          <w:rFonts w:eastAsia="Times New Roman" w:cs="Open Sans"/>
          <w:spacing w:val="-5"/>
        </w:rPr>
        <w:t xml:space="preserve"> his transfer from </w:t>
      </w:r>
      <w:r w:rsidRPr="0056467D">
        <w:rPr>
          <w:rFonts w:cs="Open Sans"/>
        </w:rPr>
        <w:t xml:space="preserve">Melbourne Immigration Transit Accommodation (MITA) to </w:t>
      </w:r>
      <w:proofErr w:type="spellStart"/>
      <w:r w:rsidRPr="0056467D">
        <w:rPr>
          <w:rFonts w:cs="Open Sans"/>
        </w:rPr>
        <w:t>Yongah</w:t>
      </w:r>
      <w:proofErr w:type="spellEnd"/>
      <w:r w:rsidRPr="0056467D">
        <w:rPr>
          <w:rFonts w:cs="Open Sans"/>
        </w:rPr>
        <w:t xml:space="preserve"> Hill Immigration Detention Centre (YHIDC)</w:t>
      </w:r>
      <w:r>
        <w:rPr>
          <w:rFonts w:eastAsia="Times New Roman" w:cs="Open Sans"/>
          <w:spacing w:val="-5"/>
        </w:rPr>
        <w:t>. Mr KX complains about</w:t>
      </w:r>
      <w:r w:rsidRPr="0056467D">
        <w:rPr>
          <w:rFonts w:eastAsia="Times New Roman" w:cs="Open Sans"/>
          <w:spacing w:val="-5"/>
        </w:rPr>
        <w:t xml:space="preserve"> the use of force during the transfer, the provision of medical care</w:t>
      </w:r>
      <w:r>
        <w:rPr>
          <w:rFonts w:eastAsia="Times New Roman" w:cs="Open Sans"/>
          <w:spacing w:val="-5"/>
        </w:rPr>
        <w:t xml:space="preserve"> afterwards</w:t>
      </w:r>
      <w:r w:rsidRPr="0056467D">
        <w:rPr>
          <w:rFonts w:eastAsia="Times New Roman" w:cs="Open Sans"/>
          <w:spacing w:val="-5"/>
        </w:rPr>
        <w:t xml:space="preserve">, and the separation of his family that was caused by the transfer. </w:t>
      </w:r>
      <w:r>
        <w:rPr>
          <w:rFonts w:eastAsia="Times New Roman" w:cs="Open Sans"/>
          <w:spacing w:val="-5"/>
        </w:rPr>
        <w:t>He</w:t>
      </w:r>
      <w:r w:rsidRPr="0056467D">
        <w:rPr>
          <w:rFonts w:eastAsia="Times New Roman" w:cs="Open Sans"/>
          <w:spacing w:val="-5"/>
        </w:rPr>
        <w:t xml:space="preserve"> complains that these events constituted a breach of his human rights under </w:t>
      </w:r>
      <w:r w:rsidRPr="00226582">
        <w:rPr>
          <w:rFonts w:eastAsia="Times New Roman" w:cs="Open Sans"/>
          <w:spacing w:val="-5"/>
        </w:rPr>
        <w:t>Articles 7</w:t>
      </w:r>
      <w:r w:rsidRPr="0056467D">
        <w:rPr>
          <w:rFonts w:eastAsia="Times New Roman" w:cs="Open Sans"/>
          <w:spacing w:val="-5"/>
        </w:rPr>
        <w:t xml:space="preserve">, 10, 17 and 23 of the </w:t>
      </w:r>
      <w:r w:rsidRPr="0056467D">
        <w:rPr>
          <w:rFonts w:eastAsia="Times New Roman" w:cs="Open Sans"/>
          <w:i/>
          <w:iCs/>
          <w:spacing w:val="-5"/>
        </w:rPr>
        <w:t xml:space="preserve">International Covenant on Civil and Political Rights </w:t>
      </w:r>
      <w:r w:rsidRPr="0056467D">
        <w:rPr>
          <w:rFonts w:eastAsia="Times New Roman" w:cs="Open Sans"/>
          <w:spacing w:val="-5"/>
        </w:rPr>
        <w:t>(ICCPR).</w:t>
      </w:r>
    </w:p>
    <w:p w14:paraId="3A72602E" w14:textId="0CF70A99" w:rsidR="0037544A" w:rsidRPr="0037544A" w:rsidRDefault="003608E3" w:rsidP="00D73ED4">
      <w:pPr>
        <w:pStyle w:val="ListParagraph"/>
        <w:numPr>
          <w:ilvl w:val="0"/>
          <w:numId w:val="20"/>
        </w:numPr>
        <w:ind w:left="720" w:hanging="720"/>
        <w:rPr>
          <w:rFonts w:eastAsia="Times New Roman" w:cs="Open Sans"/>
          <w:spacing w:val="-5"/>
        </w:rPr>
      </w:pPr>
      <w:r w:rsidRPr="0056467D">
        <w:rPr>
          <w:rFonts w:eastAsia="Times New Roman" w:cs="Open Sans"/>
          <w:spacing w:val="-5"/>
        </w:rPr>
        <w:t xml:space="preserve">Mr </w:t>
      </w:r>
      <w:r>
        <w:rPr>
          <w:rFonts w:eastAsia="Times New Roman" w:cs="Open Sans"/>
          <w:spacing w:val="-5"/>
        </w:rPr>
        <w:t>KX</w:t>
      </w:r>
      <w:r w:rsidRPr="0056467D">
        <w:rPr>
          <w:rFonts w:eastAsia="Times New Roman" w:cs="Open Sans"/>
          <w:spacing w:val="-5"/>
        </w:rPr>
        <w:t xml:space="preserve"> is an Ira</w:t>
      </w:r>
      <w:r>
        <w:rPr>
          <w:rFonts w:eastAsia="Times New Roman" w:cs="Open Sans"/>
          <w:spacing w:val="-5"/>
        </w:rPr>
        <w:t>q</w:t>
      </w:r>
      <w:r w:rsidRPr="0056467D">
        <w:rPr>
          <w:rFonts w:eastAsia="Times New Roman" w:cs="Open Sans"/>
          <w:spacing w:val="-5"/>
        </w:rPr>
        <w:t xml:space="preserve">i refugee. He arrived in Australia on 13 August 1999 and was granted a permanent protection visa. </w:t>
      </w:r>
      <w:r>
        <w:rPr>
          <w:rFonts w:eastAsia="Times New Roman" w:cs="Open Sans"/>
          <w:spacing w:val="-5"/>
        </w:rPr>
        <w:t>He</w:t>
      </w:r>
      <w:r w:rsidRPr="0056467D">
        <w:rPr>
          <w:rFonts w:eastAsia="Times New Roman" w:cs="Open Sans"/>
          <w:spacing w:val="-5"/>
        </w:rPr>
        <w:t xml:space="preserve"> has complex mental and physical health needs</w:t>
      </w:r>
      <w:r>
        <w:rPr>
          <w:rFonts w:eastAsia="Times New Roman" w:cs="Open Sans"/>
          <w:spacing w:val="-5"/>
        </w:rPr>
        <w:t xml:space="preserve">. </w:t>
      </w:r>
      <w:r w:rsidRPr="0056467D">
        <w:rPr>
          <w:rFonts w:eastAsia="Times New Roman" w:cs="Open Sans"/>
          <w:spacing w:val="-5"/>
        </w:rPr>
        <w:t xml:space="preserve"> </w:t>
      </w:r>
    </w:p>
    <w:p w14:paraId="7842DC59" w14:textId="0F8B52A5" w:rsidR="0037544A" w:rsidRPr="0037544A" w:rsidRDefault="003608E3" w:rsidP="00D73ED4">
      <w:pPr>
        <w:pStyle w:val="ListParagraph"/>
        <w:numPr>
          <w:ilvl w:val="0"/>
          <w:numId w:val="20"/>
        </w:numPr>
        <w:ind w:left="720" w:hanging="720"/>
        <w:rPr>
          <w:rFonts w:eastAsia="Times New Roman" w:cs="Open Sans"/>
          <w:spacing w:val="-5"/>
        </w:rPr>
      </w:pPr>
      <w:r w:rsidRPr="0056467D">
        <w:rPr>
          <w:rFonts w:eastAsia="Times New Roman" w:cs="Open Sans"/>
          <w:spacing w:val="-5"/>
        </w:rPr>
        <w:t xml:space="preserve">On 23 August 2018, Mr </w:t>
      </w:r>
      <w:r>
        <w:rPr>
          <w:rFonts w:eastAsia="Times New Roman" w:cs="Open Sans"/>
          <w:spacing w:val="-5"/>
        </w:rPr>
        <w:t>KX</w:t>
      </w:r>
      <w:r w:rsidRPr="0056467D">
        <w:rPr>
          <w:rFonts w:eastAsia="Times New Roman" w:cs="Open Sans"/>
          <w:spacing w:val="-5"/>
        </w:rPr>
        <w:t>’s protection visa was mandatorily cancelled under s</w:t>
      </w:r>
      <w:r w:rsidR="00627D80">
        <w:rPr>
          <w:rFonts w:eastAsia="Times New Roman" w:cs="Open Sans"/>
          <w:spacing w:val="-5"/>
        </w:rPr>
        <w:t> </w:t>
      </w:r>
      <w:r w:rsidRPr="0056467D">
        <w:rPr>
          <w:rFonts w:eastAsia="Times New Roman" w:cs="Open Sans"/>
          <w:spacing w:val="-5"/>
        </w:rPr>
        <w:t xml:space="preserve">501(3A) of </w:t>
      </w:r>
      <w:r>
        <w:rPr>
          <w:rFonts w:eastAsia="Times New Roman" w:cs="Open Sans"/>
          <w:spacing w:val="-5"/>
        </w:rPr>
        <w:t>the</w:t>
      </w:r>
      <w:r w:rsidRPr="0056467D">
        <w:rPr>
          <w:rFonts w:eastAsia="Times New Roman" w:cs="Open Sans"/>
          <w:spacing w:val="-5"/>
        </w:rPr>
        <w:t xml:space="preserve"> </w:t>
      </w:r>
      <w:r w:rsidRPr="4C239322">
        <w:rPr>
          <w:rFonts w:cs="Open Sans"/>
          <w:i/>
          <w:iCs/>
        </w:rPr>
        <w:t xml:space="preserve">Migration Act 1958 </w:t>
      </w:r>
      <w:r w:rsidRPr="0056467D">
        <w:rPr>
          <w:rFonts w:cs="Open Sans"/>
        </w:rPr>
        <w:t>(</w:t>
      </w:r>
      <w:proofErr w:type="spellStart"/>
      <w:r w:rsidRPr="0056467D">
        <w:rPr>
          <w:rFonts w:cs="Open Sans"/>
        </w:rPr>
        <w:t>Cth</w:t>
      </w:r>
      <w:proofErr w:type="spellEnd"/>
      <w:r w:rsidRPr="0056467D">
        <w:rPr>
          <w:rFonts w:cs="Open Sans"/>
        </w:rPr>
        <w:t>) (</w:t>
      </w:r>
      <w:r>
        <w:rPr>
          <w:rFonts w:cs="Open Sans"/>
        </w:rPr>
        <w:t xml:space="preserve">Migration </w:t>
      </w:r>
      <w:r w:rsidRPr="0056467D">
        <w:rPr>
          <w:rFonts w:cs="Open Sans"/>
        </w:rPr>
        <w:t>Act)</w:t>
      </w:r>
      <w:r w:rsidRPr="0056467D">
        <w:rPr>
          <w:rFonts w:eastAsia="Times New Roman" w:cs="Open Sans"/>
          <w:spacing w:val="-5"/>
        </w:rPr>
        <w:t>. He became an unlawful non-citizen and was</w:t>
      </w:r>
      <w:r w:rsidRPr="0056467D" w:rsidDel="00C06FD7">
        <w:rPr>
          <w:rFonts w:eastAsia="Times New Roman" w:cs="Open Sans"/>
          <w:spacing w:val="-5"/>
        </w:rPr>
        <w:t xml:space="preserve"> detained </w:t>
      </w:r>
      <w:r w:rsidRPr="0056467D">
        <w:rPr>
          <w:rFonts w:eastAsia="Times New Roman" w:cs="Open Sans"/>
          <w:spacing w:val="-5"/>
        </w:rPr>
        <w:t xml:space="preserve">at </w:t>
      </w:r>
      <w:r w:rsidRPr="0056467D">
        <w:rPr>
          <w:rFonts w:cs="Open Sans"/>
        </w:rPr>
        <w:t>Villawood Immigration Detention Centre (V</w:t>
      </w:r>
      <w:r>
        <w:rPr>
          <w:rFonts w:cs="Open Sans"/>
        </w:rPr>
        <w:t>IDC</w:t>
      </w:r>
      <w:r w:rsidRPr="0056467D">
        <w:rPr>
          <w:rFonts w:cs="Open Sans"/>
        </w:rPr>
        <w:t>)</w:t>
      </w:r>
      <w:r w:rsidRPr="0056467D">
        <w:rPr>
          <w:rFonts w:eastAsia="Times New Roman" w:cs="Open Sans"/>
          <w:spacing w:val="-5"/>
        </w:rPr>
        <w:t xml:space="preserve">. He was then transferred to MITA. His </w:t>
      </w:r>
      <w:r>
        <w:rPr>
          <w:rFonts w:eastAsia="Times New Roman" w:cs="Open Sans"/>
          <w:spacing w:val="-5"/>
        </w:rPr>
        <w:t>partner</w:t>
      </w:r>
      <w:r w:rsidRPr="0056467D">
        <w:rPr>
          <w:rFonts w:eastAsia="Times New Roman" w:cs="Open Sans"/>
          <w:spacing w:val="-5"/>
        </w:rPr>
        <w:t xml:space="preserve"> and stepchildren, aged 7, 9 and 11, moved to Melbourne to be closer to him. </w:t>
      </w:r>
    </w:p>
    <w:p w14:paraId="51968EA2" w14:textId="3A77D76A" w:rsidR="003608E3" w:rsidRPr="004F277D" w:rsidRDefault="003608E3" w:rsidP="00D73ED4">
      <w:pPr>
        <w:pStyle w:val="ListParagraph"/>
        <w:numPr>
          <w:ilvl w:val="0"/>
          <w:numId w:val="20"/>
        </w:numPr>
        <w:ind w:left="720" w:hanging="720"/>
        <w:rPr>
          <w:rFonts w:eastAsia="Times New Roman" w:cs="Open Sans"/>
          <w:spacing w:val="-5"/>
        </w:rPr>
      </w:pPr>
      <w:r w:rsidRPr="0056467D">
        <w:rPr>
          <w:rFonts w:eastAsia="Times New Roman" w:cs="Open Sans"/>
          <w:spacing w:val="-5"/>
        </w:rPr>
        <w:t xml:space="preserve">On 27 September 2020, Mr </w:t>
      </w:r>
      <w:r>
        <w:rPr>
          <w:rFonts w:eastAsia="Times New Roman" w:cs="Open Sans"/>
          <w:spacing w:val="-5"/>
        </w:rPr>
        <w:t xml:space="preserve">KX </w:t>
      </w:r>
      <w:r w:rsidRPr="0056467D">
        <w:rPr>
          <w:rFonts w:eastAsia="Times New Roman" w:cs="Open Sans"/>
          <w:spacing w:val="-5"/>
        </w:rPr>
        <w:t xml:space="preserve">was transferred to </w:t>
      </w:r>
      <w:r w:rsidRPr="0037544A">
        <w:rPr>
          <w:rFonts w:eastAsia="Times New Roman" w:cs="Open Sans"/>
          <w:spacing w:val="-5"/>
        </w:rPr>
        <w:t xml:space="preserve">YHIDC, involuntarily and </w:t>
      </w:r>
      <w:r w:rsidRPr="0056467D">
        <w:rPr>
          <w:rFonts w:eastAsia="Times New Roman" w:cs="Open Sans"/>
          <w:spacing w:val="-5"/>
        </w:rPr>
        <w:t xml:space="preserve">without notice. During the transfer, </w:t>
      </w:r>
      <w:r>
        <w:rPr>
          <w:rFonts w:eastAsia="Times New Roman" w:cs="Open Sans"/>
          <w:spacing w:val="-5"/>
        </w:rPr>
        <w:t>the Department used a range of force to restrain him, including mechanical and chemical measures.</w:t>
      </w:r>
    </w:p>
    <w:p w14:paraId="17EABDE3" w14:textId="77777777" w:rsidR="003608E3" w:rsidRPr="004F277D" w:rsidRDefault="003608E3" w:rsidP="00D73ED4">
      <w:pPr>
        <w:pStyle w:val="ListParagraph"/>
        <w:numPr>
          <w:ilvl w:val="0"/>
          <w:numId w:val="20"/>
        </w:numPr>
        <w:ind w:left="720" w:hanging="720"/>
        <w:rPr>
          <w:rFonts w:eastAsia="Times New Roman" w:cs="Open Sans"/>
          <w:spacing w:val="-5"/>
        </w:rPr>
      </w:pPr>
      <w:r w:rsidRPr="004F277D">
        <w:rPr>
          <w:rFonts w:eastAsia="Times New Roman" w:cs="Open Sans"/>
          <w:spacing w:val="-5"/>
        </w:rPr>
        <w:t xml:space="preserve">Mr </w:t>
      </w:r>
      <w:r>
        <w:rPr>
          <w:rFonts w:eastAsia="Times New Roman" w:cs="Open Sans"/>
          <w:spacing w:val="-5"/>
        </w:rPr>
        <w:t>KX</w:t>
      </w:r>
      <w:r w:rsidRPr="004F277D">
        <w:rPr>
          <w:rFonts w:eastAsia="Times New Roman" w:cs="Open Sans"/>
          <w:spacing w:val="-5"/>
        </w:rPr>
        <w:t xml:space="preserve"> was assessed by an IHMS nurse later that evening, and then assessed by a doctor two days later. </w:t>
      </w:r>
    </w:p>
    <w:p w14:paraId="2383698F" w14:textId="77777777" w:rsidR="003608E3" w:rsidRPr="004F277D" w:rsidRDefault="003608E3" w:rsidP="00D73ED4">
      <w:pPr>
        <w:pStyle w:val="ListParagraph"/>
        <w:numPr>
          <w:ilvl w:val="0"/>
          <w:numId w:val="20"/>
        </w:numPr>
        <w:ind w:left="720" w:hanging="720"/>
        <w:rPr>
          <w:rFonts w:eastAsia="Times New Roman" w:cs="Open Sans"/>
          <w:spacing w:val="-5"/>
        </w:rPr>
      </w:pPr>
      <w:r>
        <w:rPr>
          <w:rFonts w:eastAsia="Times New Roman" w:cs="Open Sans"/>
          <w:spacing w:val="-5"/>
        </w:rPr>
        <w:t xml:space="preserve">The Department’s decision to transfer Mr KX to YHIDC, involuntarily and without notice, involved the planned use of force on a detainee with existing mental and physical vulnerabilities, against medical advice. </w:t>
      </w:r>
    </w:p>
    <w:p w14:paraId="0375605B" w14:textId="6BE85F6D" w:rsidR="003608E3" w:rsidRPr="0056467D" w:rsidRDefault="003608E3" w:rsidP="00D73ED4">
      <w:pPr>
        <w:pStyle w:val="ListParagraph"/>
        <w:numPr>
          <w:ilvl w:val="0"/>
          <w:numId w:val="20"/>
        </w:numPr>
        <w:ind w:left="720" w:hanging="720"/>
        <w:rPr>
          <w:rFonts w:eastAsia="Times New Roman" w:cs="Open Sans"/>
          <w:spacing w:val="-5"/>
        </w:rPr>
      </w:pPr>
      <w:r>
        <w:rPr>
          <w:rFonts w:eastAsia="Times New Roman" w:cs="Open Sans"/>
          <w:spacing w:val="-5"/>
        </w:rPr>
        <w:t xml:space="preserve">This </w:t>
      </w:r>
      <w:r w:rsidR="00627D80">
        <w:rPr>
          <w:rFonts w:eastAsia="Times New Roman" w:cs="Open Sans"/>
          <w:spacing w:val="-5"/>
        </w:rPr>
        <w:t>document</w:t>
      </w:r>
      <w:r>
        <w:rPr>
          <w:rFonts w:eastAsia="Times New Roman" w:cs="Open Sans"/>
          <w:spacing w:val="-5"/>
        </w:rPr>
        <w:t xml:space="preserve"> comprises a notice of my findings in relation to this inquiry as required by </w:t>
      </w:r>
      <w:r w:rsidRPr="00965B3C">
        <w:rPr>
          <w:rStyle w:val="normaltextrun"/>
          <w:rFonts w:cs="Open Sans"/>
          <w:bdr w:val="none" w:sz="0" w:space="0" w:color="auto" w:frame="1"/>
        </w:rPr>
        <w:t>s 29 of the AHRC Act and my recommendations to the Commonwealth.</w:t>
      </w:r>
      <w:r w:rsidRPr="00965B3C">
        <w:rPr>
          <w:rFonts w:eastAsia="Times New Roman" w:cs="Open Sans"/>
          <w:spacing w:val="-5"/>
        </w:rPr>
        <w:t xml:space="preserve"> </w:t>
      </w:r>
    </w:p>
    <w:p w14:paraId="59656FA0" w14:textId="732004A4" w:rsidR="003608E3" w:rsidRPr="0037544A" w:rsidRDefault="003608E3" w:rsidP="0037544A">
      <w:pPr>
        <w:pStyle w:val="AHRCHeading1"/>
        <w:keepLines w:val="0"/>
        <w:ind w:left="850" w:hanging="850"/>
        <w:rPr>
          <w:spacing w:val="-5"/>
        </w:rPr>
      </w:pPr>
      <w:bookmarkStart w:id="10" w:name="_Toc149564177"/>
      <w:bookmarkStart w:id="11" w:name="_Toc154064219"/>
      <w:r w:rsidRPr="79748EE0">
        <w:lastRenderedPageBreak/>
        <w:t xml:space="preserve">Summary of </w:t>
      </w:r>
      <w:r w:rsidRPr="00EC0281">
        <w:t>findings</w:t>
      </w:r>
      <w:r>
        <w:t xml:space="preserve"> and recommendations</w:t>
      </w:r>
      <w:bookmarkEnd w:id="10"/>
      <w:bookmarkEnd w:id="11"/>
    </w:p>
    <w:p w14:paraId="237829E3" w14:textId="77777777" w:rsidR="003608E3" w:rsidRDefault="003608E3" w:rsidP="00D73ED4">
      <w:pPr>
        <w:pStyle w:val="EndnoteText"/>
        <w:keepNext/>
        <w:numPr>
          <w:ilvl w:val="0"/>
          <w:numId w:val="20"/>
        </w:numPr>
        <w:spacing w:before="240" w:after="240"/>
        <w:ind w:left="720" w:hanging="720"/>
        <w:rPr>
          <w:rFonts w:cs="Open Sans"/>
          <w:sz w:val="24"/>
          <w:szCs w:val="24"/>
        </w:rPr>
      </w:pPr>
      <w:r>
        <w:rPr>
          <w:rFonts w:cs="Open Sans"/>
          <w:sz w:val="24"/>
          <w:szCs w:val="24"/>
        </w:rPr>
        <w:t>As a result of the inquiry, I find that the following act of the Commonwealth is inconsistent with, or contrary to, articles 10, 17 and 23 of the ICCPR:</w:t>
      </w:r>
    </w:p>
    <w:p w14:paraId="53EBBE5C" w14:textId="77777777" w:rsidR="003608E3" w:rsidRPr="00261556" w:rsidRDefault="003608E3" w:rsidP="00261556">
      <w:pPr>
        <w:pStyle w:val="Blockquote"/>
      </w:pPr>
      <w:r w:rsidRPr="00261556">
        <w:t>The Department’s decision to transfer Mr KX from MITA to YHIDC, without notice and involving the planned use of force.</w:t>
      </w:r>
    </w:p>
    <w:p w14:paraId="15F2A18C" w14:textId="77777777" w:rsidR="003608E3" w:rsidRDefault="003608E3" w:rsidP="00D73ED4">
      <w:pPr>
        <w:pStyle w:val="EndnoteText"/>
        <w:numPr>
          <w:ilvl w:val="0"/>
          <w:numId w:val="20"/>
        </w:numPr>
        <w:spacing w:before="240" w:after="240"/>
        <w:ind w:left="720" w:hanging="720"/>
        <w:rPr>
          <w:rFonts w:cs="Open Sans"/>
          <w:sz w:val="24"/>
          <w:szCs w:val="24"/>
        </w:rPr>
      </w:pPr>
      <w:r>
        <w:rPr>
          <w:rFonts w:cs="Open Sans"/>
          <w:sz w:val="24"/>
          <w:szCs w:val="24"/>
        </w:rPr>
        <w:t>I find that the following act of the Commonwealth did not constitute a breach of Mr KX’s rights under the ICCPR:</w:t>
      </w:r>
    </w:p>
    <w:p w14:paraId="182C2E56" w14:textId="77777777" w:rsidR="003608E3" w:rsidRPr="00261556" w:rsidRDefault="003608E3" w:rsidP="00261556">
      <w:pPr>
        <w:pStyle w:val="Blockquote"/>
      </w:pPr>
      <w:r w:rsidRPr="00261556">
        <w:t>The provision of medical care to Mr KX by the Department following the use of force.</w:t>
      </w:r>
    </w:p>
    <w:p w14:paraId="71FA4EBD" w14:textId="659D01F0" w:rsidR="003608E3" w:rsidRDefault="003608E3" w:rsidP="00D73ED4">
      <w:pPr>
        <w:pStyle w:val="EndnoteText"/>
        <w:numPr>
          <w:ilvl w:val="0"/>
          <w:numId w:val="20"/>
        </w:numPr>
        <w:spacing w:before="240" w:after="240"/>
        <w:ind w:left="720" w:hanging="720"/>
        <w:rPr>
          <w:rFonts w:cs="Open Sans"/>
          <w:sz w:val="24"/>
          <w:szCs w:val="24"/>
        </w:rPr>
      </w:pPr>
      <w:r>
        <w:rPr>
          <w:rFonts w:cs="Open Sans"/>
          <w:sz w:val="24"/>
          <w:szCs w:val="24"/>
        </w:rPr>
        <w:t xml:space="preserve">Section 8 of this </w:t>
      </w:r>
      <w:r w:rsidR="00627D80">
        <w:rPr>
          <w:rFonts w:cs="Open Sans"/>
          <w:sz w:val="24"/>
          <w:szCs w:val="24"/>
        </w:rPr>
        <w:t>report</w:t>
      </w:r>
      <w:r>
        <w:rPr>
          <w:rFonts w:cs="Open Sans"/>
          <w:sz w:val="24"/>
          <w:szCs w:val="24"/>
        </w:rPr>
        <w:t xml:space="preserve"> sets out the recommendations that I make to the Commonwealth as a result of this inquiry. They are as follows:</w:t>
      </w:r>
    </w:p>
    <w:p w14:paraId="14B3CC78" w14:textId="4E78CBC8" w:rsidR="003608E3" w:rsidRPr="00965B3C" w:rsidRDefault="003608E3" w:rsidP="0037544A">
      <w:pPr>
        <w:ind w:left="720"/>
        <w:textAlignment w:val="baseline"/>
        <w:rPr>
          <w:rFonts w:eastAsia="Times New Roman" w:cs="Open Sans"/>
          <w:b/>
          <w:bCs/>
        </w:rPr>
      </w:pPr>
      <w:r w:rsidRPr="00965B3C">
        <w:rPr>
          <w:rFonts w:eastAsia="Times New Roman" w:cs="Open Sans"/>
          <w:b/>
          <w:bCs/>
        </w:rPr>
        <w:t>Recommendation 1</w:t>
      </w:r>
    </w:p>
    <w:p w14:paraId="36C819C5" w14:textId="7421C468" w:rsidR="003608E3" w:rsidRDefault="003608E3" w:rsidP="0037544A">
      <w:pPr>
        <w:ind w:left="720"/>
        <w:rPr>
          <w:rFonts w:eastAsia="Times New Roman" w:cs="Open Sans"/>
        </w:rPr>
      </w:pPr>
      <w:r w:rsidRPr="00965B3C">
        <w:rPr>
          <w:rFonts w:eastAsia="Times New Roman" w:cs="Open Sans"/>
        </w:rPr>
        <w:t xml:space="preserve">The Commission recommends that the Commonwealth pay to Mr </w:t>
      </w:r>
      <w:r>
        <w:rPr>
          <w:rFonts w:eastAsia="Times New Roman" w:cs="Open Sans"/>
        </w:rPr>
        <w:t>KX</w:t>
      </w:r>
      <w:r w:rsidRPr="00965B3C">
        <w:rPr>
          <w:rFonts w:eastAsia="Times New Roman" w:cs="Open Sans"/>
        </w:rPr>
        <w:t xml:space="preserve"> an appropriate amount of compensation to reflect the loss and damage he suffered as a result of the breach of his human rights identified by this inquiry,</w:t>
      </w:r>
      <w:r w:rsidRPr="00E56530">
        <w:t xml:space="preserve"> </w:t>
      </w:r>
      <w:r w:rsidRPr="00965B3C">
        <w:rPr>
          <w:rFonts w:eastAsia="Times New Roman" w:cs="Open Sans"/>
        </w:rPr>
        <w:t>being the pain and suffering he experienced as a result of the use of force against him.</w:t>
      </w:r>
    </w:p>
    <w:p w14:paraId="290321C1" w14:textId="6EBA7962" w:rsidR="003608E3" w:rsidRPr="003608E3" w:rsidRDefault="003608E3" w:rsidP="0037544A">
      <w:pPr>
        <w:ind w:left="720"/>
        <w:rPr>
          <w:rFonts w:cs="Open Sans"/>
          <w:b/>
          <w:bCs/>
        </w:rPr>
      </w:pPr>
      <w:r w:rsidRPr="00965B3C">
        <w:rPr>
          <w:rFonts w:cs="Open Sans"/>
          <w:b/>
          <w:bCs/>
        </w:rPr>
        <w:t>Recommendation 2</w:t>
      </w:r>
    </w:p>
    <w:p w14:paraId="4E0940D7" w14:textId="1CF3BD1F" w:rsidR="003608E3" w:rsidRPr="0037544A" w:rsidRDefault="003608E3" w:rsidP="0037544A">
      <w:pPr>
        <w:ind w:left="720"/>
        <w:rPr>
          <w:rFonts w:cs="Open Sans"/>
        </w:rPr>
      </w:pPr>
      <w:r w:rsidRPr="0037544A">
        <w:rPr>
          <w:rFonts w:cs="Open Sans"/>
        </w:rPr>
        <w:t xml:space="preserve">The Commission recommends that the Department explore placement options within the immigration detention network that would allow Mr KX to be detained in a facility where his partner and children could reasonably be able to visit him.  </w:t>
      </w:r>
    </w:p>
    <w:p w14:paraId="03299325" w14:textId="62EF9664" w:rsidR="003608E3" w:rsidRPr="003608E3" w:rsidRDefault="003608E3" w:rsidP="0037544A">
      <w:pPr>
        <w:ind w:left="720"/>
        <w:rPr>
          <w:rFonts w:cs="Open Sans"/>
          <w:b/>
          <w:bCs/>
        </w:rPr>
      </w:pPr>
      <w:r w:rsidRPr="00965B3C">
        <w:rPr>
          <w:rFonts w:cs="Open Sans"/>
          <w:b/>
          <w:bCs/>
        </w:rPr>
        <w:t>Recommendation 3</w:t>
      </w:r>
    </w:p>
    <w:p w14:paraId="12BCFB1E" w14:textId="7176C2F2" w:rsidR="003608E3" w:rsidRPr="0037544A" w:rsidRDefault="003608E3" w:rsidP="0037544A">
      <w:pPr>
        <w:ind w:left="720"/>
        <w:rPr>
          <w:rFonts w:cs="Open Sans"/>
        </w:rPr>
      </w:pPr>
      <w:r w:rsidRPr="0037544A">
        <w:rPr>
          <w:rFonts w:cs="Open Sans"/>
        </w:rPr>
        <w:t>The Commission recommends that a Departmental policy is created to require Departmental officers to document their consideration of a detainee’s welfare and family connections when making decisions in relation to the placement of detainees that may interfere with their family relationships. This Policy should require Departmental officers to document their consideration of a child’s best interests with respect to all decisions which may affect a child including the placement of their parent within the immigration detention network.</w:t>
      </w:r>
    </w:p>
    <w:p w14:paraId="76FA6E42" w14:textId="77777777" w:rsidR="003608E3" w:rsidRPr="0026015B" w:rsidRDefault="003608E3" w:rsidP="0037544A">
      <w:pPr>
        <w:pStyle w:val="AHRCHeading1"/>
        <w:keepLines w:val="0"/>
      </w:pPr>
      <w:bookmarkStart w:id="12" w:name="_Toc149564178"/>
      <w:bookmarkStart w:id="13" w:name="_Toc154064220"/>
      <w:r w:rsidRPr="0026015B">
        <w:lastRenderedPageBreak/>
        <w:t>Background</w:t>
      </w:r>
      <w:bookmarkEnd w:id="12"/>
      <w:bookmarkEnd w:id="13"/>
    </w:p>
    <w:p w14:paraId="0064DB4F" w14:textId="77777777" w:rsidR="003608E3" w:rsidRPr="0056467D" w:rsidRDefault="003608E3" w:rsidP="00D73ED4">
      <w:pPr>
        <w:pStyle w:val="ListParagraph"/>
        <w:keepNext/>
        <w:numPr>
          <w:ilvl w:val="0"/>
          <w:numId w:val="20"/>
        </w:numPr>
        <w:ind w:left="720" w:hanging="720"/>
        <w:rPr>
          <w:rFonts w:eastAsia="Times New Roman" w:cs="Open Sans"/>
          <w:spacing w:val="-5"/>
        </w:rPr>
      </w:pPr>
      <w:r w:rsidRPr="5B174204">
        <w:rPr>
          <w:rFonts w:cs="Open Sans"/>
        </w:rPr>
        <w:t xml:space="preserve">Mr </w:t>
      </w:r>
      <w:r>
        <w:rPr>
          <w:rFonts w:cs="Open Sans"/>
        </w:rPr>
        <w:t>KX</w:t>
      </w:r>
      <w:r w:rsidRPr="5B174204">
        <w:rPr>
          <w:rFonts w:cs="Open Sans"/>
        </w:rPr>
        <w:t xml:space="preserve"> arrived in Australia from Iraq on 13 August 1999 as an unauthorised maritime arrival. He was granted a permanent protection visa on 11 November 1999. </w:t>
      </w:r>
    </w:p>
    <w:p w14:paraId="383E0698" w14:textId="77777777" w:rsidR="003608E3" w:rsidRPr="0056467D" w:rsidRDefault="003608E3" w:rsidP="00D73ED4">
      <w:pPr>
        <w:pStyle w:val="ListParagraph"/>
        <w:numPr>
          <w:ilvl w:val="0"/>
          <w:numId w:val="20"/>
        </w:numPr>
        <w:ind w:left="720" w:hanging="720"/>
        <w:rPr>
          <w:rFonts w:eastAsia="Times New Roman" w:cs="Open Sans"/>
          <w:spacing w:val="-5"/>
        </w:rPr>
      </w:pPr>
      <w:r w:rsidRPr="5B174204">
        <w:rPr>
          <w:rFonts w:cs="Open Sans"/>
        </w:rPr>
        <w:t xml:space="preserve">On 23 August 2018, Mr </w:t>
      </w:r>
      <w:r>
        <w:rPr>
          <w:rFonts w:cs="Open Sans"/>
        </w:rPr>
        <w:t>KX</w:t>
      </w:r>
      <w:r w:rsidRPr="5B174204">
        <w:rPr>
          <w:rFonts w:cs="Open Sans"/>
        </w:rPr>
        <w:t xml:space="preserve">’s AZ-866 visa was mandatorily cancelled under s 501(3A) of the Migration Act due to a conviction for contravening an Apprehended Violence Order (Domestic) for which he was sentenced to three years imprisonment, with a non-parole period of 18 months. The protected person on the AVO was not his current life partner. </w:t>
      </w:r>
    </w:p>
    <w:p w14:paraId="3E8FC518" w14:textId="77777777" w:rsidR="003608E3" w:rsidRPr="0056467D" w:rsidRDefault="003608E3" w:rsidP="00D73ED4">
      <w:pPr>
        <w:pStyle w:val="ListParagraph"/>
        <w:numPr>
          <w:ilvl w:val="0"/>
          <w:numId w:val="20"/>
        </w:numPr>
        <w:ind w:left="720" w:hanging="720"/>
        <w:rPr>
          <w:rFonts w:eastAsia="Times New Roman" w:cs="Open Sans"/>
          <w:spacing w:val="-5"/>
        </w:rPr>
      </w:pPr>
      <w:r w:rsidRPr="5B174204">
        <w:rPr>
          <w:rFonts w:cs="Open Sans"/>
        </w:rPr>
        <w:t xml:space="preserve">Mr </w:t>
      </w:r>
      <w:r>
        <w:rPr>
          <w:rFonts w:cs="Open Sans"/>
        </w:rPr>
        <w:t>KX</w:t>
      </w:r>
      <w:r w:rsidRPr="5B174204">
        <w:rPr>
          <w:rFonts w:cs="Open Sans"/>
        </w:rPr>
        <w:t xml:space="preserve"> became an unlawful non-citizen on 24 August 2018. On 19 February 2019, upon release from custody, he was detained under s 189(1) of the Migration Act and transferred to VIDC. </w:t>
      </w:r>
    </w:p>
    <w:p w14:paraId="5E66B228" w14:textId="6B15B348" w:rsidR="00627D80" w:rsidRPr="00627D80" w:rsidRDefault="003608E3" w:rsidP="00D73ED4">
      <w:pPr>
        <w:pStyle w:val="ListParagraph"/>
        <w:numPr>
          <w:ilvl w:val="0"/>
          <w:numId w:val="20"/>
        </w:numPr>
        <w:ind w:left="720" w:hanging="720"/>
        <w:rPr>
          <w:rFonts w:eastAsia="Times New Roman" w:cs="Open Sans"/>
          <w:spacing w:val="-5"/>
        </w:rPr>
      </w:pPr>
      <w:r w:rsidRPr="5B174204">
        <w:rPr>
          <w:rFonts w:cs="Open Sans"/>
        </w:rPr>
        <w:t xml:space="preserve">On 15 January 2020, Mr </w:t>
      </w:r>
      <w:r>
        <w:rPr>
          <w:rFonts w:cs="Open Sans"/>
        </w:rPr>
        <w:t>KX</w:t>
      </w:r>
      <w:r w:rsidRPr="5B174204">
        <w:rPr>
          <w:rFonts w:cs="Open Sans"/>
        </w:rPr>
        <w:t xml:space="preserve"> was transferred from Villawood to MITA. His partner and stepchildren moved from NSW to Melbourne to be closer to him. </w:t>
      </w:r>
    </w:p>
    <w:p w14:paraId="4446BEEF" w14:textId="051CDA46" w:rsidR="003608E3" w:rsidRPr="007738FA" w:rsidRDefault="003608E3" w:rsidP="00D73ED4">
      <w:pPr>
        <w:pStyle w:val="ListParagraph"/>
        <w:numPr>
          <w:ilvl w:val="0"/>
          <w:numId w:val="20"/>
        </w:numPr>
        <w:ind w:left="720" w:hanging="720"/>
        <w:rPr>
          <w:rFonts w:eastAsia="Times New Roman" w:cs="Open Sans"/>
          <w:spacing w:val="-5"/>
        </w:rPr>
      </w:pPr>
      <w:r w:rsidRPr="5B174204">
        <w:rPr>
          <w:rFonts w:cs="Open Sans"/>
        </w:rPr>
        <w:t xml:space="preserve">Mr </w:t>
      </w:r>
      <w:r>
        <w:rPr>
          <w:rFonts w:cs="Open Sans"/>
        </w:rPr>
        <w:t>KX</w:t>
      </w:r>
      <w:r w:rsidRPr="5B174204">
        <w:rPr>
          <w:rFonts w:cs="Open Sans"/>
        </w:rPr>
        <w:t xml:space="preserve"> suffers from a variety of physical health issues and psychiatric conditions, including chronic PTSD. He reports that he has a history of torture and trauma in Iraq. He has been classified by the Department as an ‘extreme risk’ detainee with a history of violent, non-compliant and aggressive behaviour.</w:t>
      </w:r>
    </w:p>
    <w:p w14:paraId="6917A5CC" w14:textId="77777777" w:rsidR="003608E3" w:rsidRPr="001C6B6C" w:rsidRDefault="003608E3" w:rsidP="00D73ED4">
      <w:pPr>
        <w:pStyle w:val="ListParagraph"/>
        <w:numPr>
          <w:ilvl w:val="0"/>
          <w:numId w:val="20"/>
        </w:numPr>
        <w:ind w:left="720" w:hanging="720"/>
        <w:rPr>
          <w:rFonts w:eastAsia="Times New Roman" w:cs="Open Sans"/>
          <w:spacing w:val="-5"/>
        </w:rPr>
      </w:pPr>
      <w:r w:rsidRPr="5B174204">
        <w:rPr>
          <w:rFonts w:cs="Open Sans"/>
        </w:rPr>
        <w:t xml:space="preserve">On 27 September 2020, Mr </w:t>
      </w:r>
      <w:r>
        <w:rPr>
          <w:rFonts w:cs="Open Sans"/>
        </w:rPr>
        <w:t>KX</w:t>
      </w:r>
      <w:r w:rsidRPr="5B174204">
        <w:rPr>
          <w:rFonts w:cs="Open Sans"/>
        </w:rPr>
        <w:t xml:space="preserve"> was transferred, involuntarily and without notice, from MITA to YHIDC. The transfer involved the use of force, both planned and unplanned. </w:t>
      </w:r>
    </w:p>
    <w:p w14:paraId="4B406E2E" w14:textId="77777777" w:rsidR="003608E3" w:rsidRPr="00812DD7" w:rsidRDefault="003608E3" w:rsidP="00D73ED4">
      <w:pPr>
        <w:pStyle w:val="ListParagraph"/>
        <w:numPr>
          <w:ilvl w:val="0"/>
          <w:numId w:val="20"/>
        </w:numPr>
        <w:ind w:left="720" w:hanging="720"/>
        <w:rPr>
          <w:rFonts w:eastAsia="Times New Roman" w:cs="Open Sans"/>
          <w:spacing w:val="-5"/>
        </w:rPr>
      </w:pPr>
      <w:r w:rsidRPr="0056467D">
        <w:rPr>
          <w:rFonts w:eastAsia="Times New Roman" w:cs="Open Sans"/>
          <w:spacing w:val="-5"/>
        </w:rPr>
        <w:t xml:space="preserve">After the transfer, Mr </w:t>
      </w:r>
      <w:r>
        <w:rPr>
          <w:rFonts w:eastAsia="Times New Roman" w:cs="Open Sans"/>
          <w:spacing w:val="-5"/>
        </w:rPr>
        <w:t>KX</w:t>
      </w:r>
      <w:r w:rsidRPr="0056467D">
        <w:rPr>
          <w:rFonts w:eastAsia="Times New Roman" w:cs="Open Sans"/>
          <w:spacing w:val="-5"/>
        </w:rPr>
        <w:t xml:space="preserve">’s </w:t>
      </w:r>
      <w:r>
        <w:rPr>
          <w:rFonts w:eastAsia="Times New Roman" w:cs="Open Sans"/>
          <w:spacing w:val="-5"/>
        </w:rPr>
        <w:t>partner</w:t>
      </w:r>
      <w:r w:rsidRPr="0056467D">
        <w:rPr>
          <w:rFonts w:eastAsia="Times New Roman" w:cs="Open Sans"/>
          <w:spacing w:val="-5"/>
        </w:rPr>
        <w:t xml:space="preserve"> moved temporarily to Western Australia to be closer to him. However, she found it extremely difficult to find housing in or near </w:t>
      </w:r>
      <w:proofErr w:type="spellStart"/>
      <w:r w:rsidRPr="0056467D">
        <w:rPr>
          <w:rFonts w:eastAsia="Times New Roman" w:cs="Open Sans"/>
          <w:spacing w:val="-5"/>
        </w:rPr>
        <w:t>Yongah</w:t>
      </w:r>
      <w:proofErr w:type="spellEnd"/>
      <w:r w:rsidRPr="0056467D">
        <w:rPr>
          <w:rFonts w:eastAsia="Times New Roman" w:cs="Open Sans"/>
          <w:spacing w:val="-5"/>
        </w:rPr>
        <w:t xml:space="preserve"> Hill</w:t>
      </w:r>
      <w:r>
        <w:rPr>
          <w:rFonts w:eastAsia="Times New Roman" w:cs="Open Sans"/>
          <w:spacing w:val="-5"/>
        </w:rPr>
        <w:t xml:space="preserve"> </w:t>
      </w:r>
      <w:r w:rsidRPr="0056467D">
        <w:rPr>
          <w:rFonts w:eastAsia="Times New Roman" w:cs="Open Sans"/>
          <w:spacing w:val="-5"/>
        </w:rPr>
        <w:t>and to be separate</w:t>
      </w:r>
      <w:r>
        <w:rPr>
          <w:rFonts w:eastAsia="Times New Roman" w:cs="Open Sans"/>
          <w:spacing w:val="-5"/>
        </w:rPr>
        <w:t>d</w:t>
      </w:r>
      <w:r w:rsidRPr="0056467D">
        <w:rPr>
          <w:rFonts w:eastAsia="Times New Roman" w:cs="Open Sans"/>
          <w:spacing w:val="-5"/>
        </w:rPr>
        <w:t xml:space="preserve"> from their children, who stayed in Melbourne with their aunt. Mr </w:t>
      </w:r>
      <w:r>
        <w:rPr>
          <w:rFonts w:eastAsia="Times New Roman" w:cs="Open Sans"/>
          <w:spacing w:val="-5"/>
        </w:rPr>
        <w:t>KX</w:t>
      </w:r>
      <w:r w:rsidRPr="0056467D">
        <w:rPr>
          <w:rFonts w:eastAsia="Times New Roman" w:cs="Open Sans"/>
          <w:spacing w:val="-5"/>
        </w:rPr>
        <w:t xml:space="preserve"> has not seen his stepchildren in many months, and </w:t>
      </w:r>
      <w:r>
        <w:rPr>
          <w:rFonts w:eastAsia="Times New Roman" w:cs="Open Sans"/>
          <w:spacing w:val="-5"/>
        </w:rPr>
        <w:t>complain</w:t>
      </w:r>
      <w:r w:rsidRPr="0056467D">
        <w:rPr>
          <w:rFonts w:eastAsia="Times New Roman" w:cs="Open Sans"/>
          <w:spacing w:val="-5"/>
        </w:rPr>
        <w:t xml:space="preserve">s that the transfer has had a significant negative impact on his wellbeing, his family and his marriage. </w:t>
      </w:r>
    </w:p>
    <w:p w14:paraId="01CFCA35" w14:textId="0DAE2D46" w:rsidR="003608E3" w:rsidRPr="00867C32" w:rsidRDefault="003608E3" w:rsidP="003608E3">
      <w:pPr>
        <w:pStyle w:val="AHRCHeading2"/>
        <w:rPr>
          <w:i/>
        </w:rPr>
      </w:pPr>
      <w:bookmarkStart w:id="14" w:name="_Toc149564179"/>
      <w:bookmarkStart w:id="15" w:name="_Toc154064221"/>
      <w:r w:rsidRPr="00561E34">
        <w:t>The decision to transfer</w:t>
      </w:r>
      <w:bookmarkEnd w:id="14"/>
      <w:bookmarkEnd w:id="15"/>
    </w:p>
    <w:p w14:paraId="1B8D1186" w14:textId="77777777" w:rsidR="003608E3" w:rsidRPr="00C74643" w:rsidRDefault="003608E3" w:rsidP="00D73ED4">
      <w:pPr>
        <w:pStyle w:val="ListParagraph"/>
        <w:numPr>
          <w:ilvl w:val="0"/>
          <w:numId w:val="20"/>
        </w:numPr>
        <w:ind w:left="720" w:hanging="720"/>
        <w:rPr>
          <w:rFonts w:eastAsia="Times New Roman" w:cs="Open Sans"/>
          <w:spacing w:val="-5"/>
        </w:rPr>
      </w:pPr>
      <w:r>
        <w:rPr>
          <w:rFonts w:cs="Open Sans"/>
        </w:rPr>
        <w:t>The Department says that d</w:t>
      </w:r>
      <w:r w:rsidRPr="0056467D">
        <w:rPr>
          <w:rFonts w:cs="Open Sans"/>
        </w:rPr>
        <w:t xml:space="preserve">ue to </w:t>
      </w:r>
      <w:r>
        <w:rPr>
          <w:rFonts w:cs="Open Sans"/>
        </w:rPr>
        <w:t>‘</w:t>
      </w:r>
      <w:r w:rsidRPr="0056467D">
        <w:rPr>
          <w:rFonts w:cs="Open Sans"/>
        </w:rPr>
        <w:t>behavioural concerns and his significant destabilising influence within MITA</w:t>
      </w:r>
      <w:r>
        <w:rPr>
          <w:rFonts w:cs="Open Sans"/>
        </w:rPr>
        <w:t>’</w:t>
      </w:r>
      <w:r w:rsidRPr="0056467D">
        <w:rPr>
          <w:rFonts w:cs="Open Sans"/>
        </w:rPr>
        <w:t xml:space="preserve">, </w:t>
      </w:r>
      <w:r>
        <w:rPr>
          <w:rFonts w:cs="Open Sans"/>
        </w:rPr>
        <w:t>Mr KX’s</w:t>
      </w:r>
      <w:r w:rsidRPr="0056467D">
        <w:rPr>
          <w:rFonts w:cs="Open Sans"/>
        </w:rPr>
        <w:t xml:space="preserve"> ongoing placement there was no longer appropriate.</w:t>
      </w:r>
      <w:r w:rsidRPr="4C239322">
        <w:rPr>
          <w:rStyle w:val="EndnoteReference"/>
          <w:rFonts w:cs="Open Sans"/>
        </w:rPr>
        <w:endnoteReference w:id="2"/>
      </w:r>
      <w:r>
        <w:rPr>
          <w:rFonts w:cs="Open Sans"/>
        </w:rPr>
        <w:t xml:space="preserve"> The Department also stated that all placement decisions are part of a process of assessing and minimising risk to detainees, service providers, visitors and staff.</w:t>
      </w:r>
      <w:r w:rsidRPr="4C239322">
        <w:rPr>
          <w:rStyle w:val="EndnoteReference"/>
        </w:rPr>
        <w:endnoteReference w:id="3"/>
      </w:r>
    </w:p>
    <w:p w14:paraId="0DE5F2FD" w14:textId="77777777" w:rsidR="003608E3" w:rsidRPr="00867C32" w:rsidRDefault="003608E3" w:rsidP="00D73ED4">
      <w:pPr>
        <w:pStyle w:val="ListParagraph"/>
        <w:numPr>
          <w:ilvl w:val="0"/>
          <w:numId w:val="20"/>
        </w:numPr>
        <w:ind w:left="720" w:hanging="720"/>
        <w:rPr>
          <w:rFonts w:eastAsia="Times New Roman" w:cs="Open Sans"/>
          <w:spacing w:val="-5"/>
        </w:rPr>
      </w:pPr>
      <w:r>
        <w:rPr>
          <w:rFonts w:cs="Open Sans"/>
        </w:rPr>
        <w:lastRenderedPageBreak/>
        <w:t>Detainees are assessed on a case-by-case basis to determine risk profiles, using a Security Risk Assessment Tool (SRAT). The Department says that decisions about detainee placement within the immigration detention network are guided and supported by the SRAT.</w:t>
      </w:r>
      <w:r w:rsidRPr="5EB1300D">
        <w:rPr>
          <w:rStyle w:val="EndnoteReference"/>
        </w:rPr>
        <w:endnoteReference w:id="4"/>
      </w:r>
      <w:r>
        <w:rPr>
          <w:rFonts w:cs="Open Sans"/>
        </w:rPr>
        <w:t xml:space="preserve"> According to the Department, appropriate placement decisions also take into account welfare issues – such as keeping families intact, recognising community links, health and welfare needs.</w:t>
      </w:r>
      <w:r w:rsidRPr="5EB1300D">
        <w:rPr>
          <w:rStyle w:val="EndnoteReference"/>
        </w:rPr>
        <w:endnoteReference w:id="5"/>
      </w:r>
      <w:r>
        <w:rPr>
          <w:rFonts w:cs="Open Sans"/>
        </w:rPr>
        <w:t xml:space="preserve">  </w:t>
      </w:r>
    </w:p>
    <w:p w14:paraId="49A78BF5" w14:textId="77777777" w:rsidR="003608E3" w:rsidRPr="003670CF" w:rsidRDefault="003608E3" w:rsidP="00D73ED4">
      <w:pPr>
        <w:pStyle w:val="ListParagraph"/>
        <w:numPr>
          <w:ilvl w:val="0"/>
          <w:numId w:val="20"/>
        </w:numPr>
        <w:ind w:left="720" w:hanging="720"/>
        <w:rPr>
          <w:rFonts w:eastAsia="Times New Roman" w:cs="Open Sans"/>
          <w:spacing w:val="-5"/>
        </w:rPr>
      </w:pPr>
      <w:r w:rsidRPr="5B174204">
        <w:rPr>
          <w:rFonts w:cs="Open Sans"/>
        </w:rPr>
        <w:t>The Department has provided a copy of Mr</w:t>
      </w:r>
      <w:r>
        <w:rPr>
          <w:rFonts w:cs="Open Sans"/>
        </w:rPr>
        <w:t xml:space="preserve"> KX’s </w:t>
      </w:r>
      <w:r w:rsidRPr="5B174204">
        <w:rPr>
          <w:rFonts w:cs="Open Sans"/>
        </w:rPr>
        <w:t xml:space="preserve">SRAT, which includes a list of incidents involving Mr </w:t>
      </w:r>
      <w:r>
        <w:rPr>
          <w:rFonts w:cs="Open Sans"/>
        </w:rPr>
        <w:t>KX</w:t>
      </w:r>
      <w:r w:rsidRPr="5B174204">
        <w:rPr>
          <w:rFonts w:cs="Open Sans"/>
        </w:rPr>
        <w:t xml:space="preserve"> while in detention. The incident history encompasses Mr </w:t>
      </w:r>
      <w:r>
        <w:rPr>
          <w:rFonts w:cs="Open Sans"/>
        </w:rPr>
        <w:t>KX</w:t>
      </w:r>
      <w:r w:rsidRPr="5B174204">
        <w:rPr>
          <w:rFonts w:cs="Open Sans"/>
        </w:rPr>
        <w:t>’s entire time in immigration detention, and includes 85 incidents recorded during the period from 15 January 2020 until 15 September 2020 while he was in transit to, or placed at, MITA. The incidents comprise the following:</w:t>
      </w:r>
    </w:p>
    <w:p w14:paraId="3BB10AC0" w14:textId="64D64035" w:rsidR="003608E3" w:rsidRPr="00D758B2" w:rsidRDefault="003608E3" w:rsidP="00D73ED4">
      <w:pPr>
        <w:pStyle w:val="ListParagraph"/>
        <w:numPr>
          <w:ilvl w:val="0"/>
          <w:numId w:val="25"/>
        </w:numPr>
        <w:spacing w:after="120"/>
        <w:ind w:left="1434" w:hanging="357"/>
        <w:rPr>
          <w:rFonts w:eastAsia="Times New Roman" w:cs="Open Sans"/>
          <w:spacing w:val="-5"/>
        </w:rPr>
      </w:pPr>
      <w:r>
        <w:rPr>
          <w:rFonts w:eastAsia="Times New Roman" w:cs="Open Sans"/>
          <w:spacing w:val="-5"/>
        </w:rPr>
        <w:t xml:space="preserve">Two critical incidents – both described by the Department as allegations of sexual assault. One of these lists Mr KX as the victim, and the other says that another detainee noted on a complaint form that Mr KX made ‘unwarranted sexual comments towards him’. </w:t>
      </w:r>
    </w:p>
    <w:p w14:paraId="11F62BF0" w14:textId="77777777" w:rsidR="003608E3" w:rsidRDefault="003608E3" w:rsidP="00D73ED4">
      <w:pPr>
        <w:pStyle w:val="ListParagraph"/>
        <w:numPr>
          <w:ilvl w:val="0"/>
          <w:numId w:val="25"/>
        </w:numPr>
        <w:spacing w:after="120"/>
        <w:ind w:left="1434" w:hanging="357"/>
        <w:rPr>
          <w:rFonts w:eastAsia="Times New Roman" w:cs="Open Sans"/>
          <w:spacing w:val="-5"/>
        </w:rPr>
      </w:pPr>
      <w:r>
        <w:rPr>
          <w:rFonts w:eastAsia="Times New Roman" w:cs="Open Sans"/>
          <w:spacing w:val="-5"/>
        </w:rPr>
        <w:t>26 major incidents – these included the unplanned use of force against Mr KX due to abusive, aggressive or non-compliant behaviour, the planned use of force during escorts, actual and threatened self-harm, and occasions where he was held in high care observation accommodation.</w:t>
      </w:r>
    </w:p>
    <w:p w14:paraId="2C0054E7" w14:textId="77777777" w:rsidR="003608E3" w:rsidRPr="00AB6594" w:rsidRDefault="003608E3" w:rsidP="00D73ED4">
      <w:pPr>
        <w:pStyle w:val="ListParagraph"/>
        <w:numPr>
          <w:ilvl w:val="0"/>
          <w:numId w:val="25"/>
        </w:numPr>
        <w:ind w:left="1434" w:hanging="357"/>
        <w:rPr>
          <w:rFonts w:eastAsia="Times New Roman" w:cs="Open Sans"/>
          <w:spacing w:val="-5"/>
        </w:rPr>
      </w:pPr>
      <w:r>
        <w:rPr>
          <w:rFonts w:eastAsia="Times New Roman" w:cs="Open Sans"/>
          <w:spacing w:val="-5"/>
        </w:rPr>
        <w:t>57 minor incidents – these mostly included the possession of contraband or abusive or aggressive language or behaviour directed towards officers or other detainees. Some incidents included minor disturbances such as covering a camera, taking his shirt off in an aggressive manner, or demanding that medical staff give him eye drops.</w:t>
      </w:r>
    </w:p>
    <w:p w14:paraId="23C5FD08" w14:textId="77777777" w:rsidR="003608E3" w:rsidRDefault="003608E3" w:rsidP="00D73ED4">
      <w:pPr>
        <w:pStyle w:val="ListParagraph"/>
        <w:numPr>
          <w:ilvl w:val="0"/>
          <w:numId w:val="20"/>
        </w:numPr>
        <w:ind w:left="720" w:hanging="720"/>
        <w:rPr>
          <w:rFonts w:eastAsia="Times New Roman" w:cs="Open Sans"/>
          <w:spacing w:val="-5"/>
        </w:rPr>
      </w:pPr>
      <w:r>
        <w:rPr>
          <w:rFonts w:eastAsia="Times New Roman" w:cs="Open Sans"/>
          <w:spacing w:val="-5"/>
        </w:rPr>
        <w:t>Under the heading ‘temporary override comments’, the SRAT states that ‘Mr KX continues to be involved in behaviours that actively contributes to the destabilisation of the security environment wherever he is accommodated. This includes the regular manufacture of weapons, drug trafficking and the targeting of staff with whom he has grievances against.’</w:t>
      </w:r>
    </w:p>
    <w:p w14:paraId="7D88F0F2" w14:textId="3BD311F5" w:rsidR="003608E3" w:rsidRPr="00C15B6A" w:rsidRDefault="003608E3" w:rsidP="003608E3">
      <w:pPr>
        <w:pStyle w:val="AHRCHeading2"/>
      </w:pPr>
      <w:bookmarkStart w:id="16" w:name="_Toc149564180"/>
      <w:bookmarkStart w:id="17" w:name="_Toc154064222"/>
      <w:r w:rsidRPr="00C15B6A">
        <w:t>Planned use of force</w:t>
      </w:r>
      <w:bookmarkEnd w:id="16"/>
      <w:bookmarkEnd w:id="17"/>
    </w:p>
    <w:p w14:paraId="09907A57" w14:textId="77777777" w:rsidR="003608E3" w:rsidRPr="004051FF" w:rsidRDefault="003608E3" w:rsidP="00D73ED4">
      <w:pPr>
        <w:pStyle w:val="ListParagraph"/>
        <w:numPr>
          <w:ilvl w:val="0"/>
          <w:numId w:val="20"/>
        </w:numPr>
        <w:ind w:left="720" w:hanging="720"/>
        <w:rPr>
          <w:rFonts w:eastAsia="Times New Roman" w:cs="Open Sans"/>
          <w:spacing w:val="-5"/>
        </w:rPr>
      </w:pPr>
      <w:r>
        <w:rPr>
          <w:rFonts w:cs="Open Sans"/>
        </w:rPr>
        <w:t>Mr KX was classified as an extreme risk detainee with a long history of violent, non-compliant and abusive behaviour.</w:t>
      </w:r>
      <w:r w:rsidRPr="4C239322">
        <w:rPr>
          <w:rStyle w:val="EndnoteReference"/>
        </w:rPr>
        <w:endnoteReference w:id="6"/>
      </w:r>
      <w:r>
        <w:rPr>
          <w:rFonts w:cs="Open Sans"/>
        </w:rPr>
        <w:t xml:space="preserve"> Prior to the transfer, the </w:t>
      </w:r>
      <w:r>
        <w:rPr>
          <w:rFonts w:cs="Open Sans"/>
        </w:rPr>
        <w:lastRenderedPageBreak/>
        <w:t>Department undertook an individualised risk assessment for the planned use of force.</w:t>
      </w:r>
    </w:p>
    <w:p w14:paraId="06B209FD" w14:textId="77777777" w:rsidR="003608E3" w:rsidRPr="00737924" w:rsidRDefault="003608E3" w:rsidP="00D73ED4">
      <w:pPr>
        <w:pStyle w:val="ListParagraph"/>
        <w:numPr>
          <w:ilvl w:val="0"/>
          <w:numId w:val="20"/>
        </w:numPr>
        <w:ind w:left="720" w:hanging="720"/>
        <w:rPr>
          <w:rFonts w:eastAsia="Times New Roman" w:cs="Open Sans"/>
          <w:spacing w:val="-5"/>
        </w:rPr>
      </w:pPr>
      <w:r>
        <w:rPr>
          <w:rFonts w:cs="Open Sans"/>
        </w:rPr>
        <w:t>The Department has provided an IHMS risk assessment for planned use of force (RAPUF) completed on 24 September 2020, in anticipation of the proposed transfer.</w:t>
      </w:r>
      <w:r w:rsidRPr="4C239322">
        <w:rPr>
          <w:rStyle w:val="EndnoteReference"/>
        </w:rPr>
        <w:endnoteReference w:id="7"/>
      </w:r>
      <w:r>
        <w:rPr>
          <w:rFonts w:cs="Open Sans"/>
        </w:rPr>
        <w:t xml:space="preserve"> On the form, the Clinical Team Leader marked ‘yes’ to the following statements:</w:t>
      </w:r>
    </w:p>
    <w:p w14:paraId="7735F318" w14:textId="77777777" w:rsidR="003608E3" w:rsidRDefault="003608E3" w:rsidP="00D73ED4">
      <w:pPr>
        <w:pStyle w:val="ListParagraph"/>
        <w:numPr>
          <w:ilvl w:val="0"/>
          <w:numId w:val="26"/>
        </w:numPr>
        <w:rPr>
          <w:rFonts w:eastAsia="Times New Roman" w:cs="Open Sans"/>
          <w:spacing w:val="-5"/>
        </w:rPr>
      </w:pPr>
      <w:r>
        <w:rPr>
          <w:rFonts w:eastAsia="Times New Roman" w:cs="Open Sans"/>
          <w:spacing w:val="-5"/>
        </w:rPr>
        <w:t>IHMS advises that a mental health condition does exist and the use of force and restraints may exacerbate mental distress. It is strongly recommended that it NOT be employed.</w:t>
      </w:r>
    </w:p>
    <w:p w14:paraId="6BBBC4CB" w14:textId="77777777" w:rsidR="003608E3" w:rsidRPr="005D386F" w:rsidRDefault="003608E3" w:rsidP="00D73ED4">
      <w:pPr>
        <w:pStyle w:val="ListParagraph"/>
        <w:numPr>
          <w:ilvl w:val="0"/>
          <w:numId w:val="26"/>
        </w:numPr>
        <w:rPr>
          <w:rFonts w:eastAsia="Times New Roman" w:cs="Open Sans"/>
          <w:spacing w:val="-5"/>
        </w:rPr>
      </w:pPr>
      <w:r>
        <w:rPr>
          <w:rFonts w:eastAsia="Times New Roman" w:cs="Open Sans"/>
          <w:spacing w:val="-5"/>
        </w:rPr>
        <w:t>IHMS advises that the Detainee is a known survivor of torture and/or trauma and the use of force and restraints may exacerbate trauma symptoms. It is strongly recommended that it NOT be employed.</w:t>
      </w:r>
    </w:p>
    <w:p w14:paraId="1D79A14D" w14:textId="77777777" w:rsidR="003608E3" w:rsidRDefault="003608E3" w:rsidP="00D73ED4">
      <w:pPr>
        <w:pStyle w:val="ListParagraph"/>
        <w:numPr>
          <w:ilvl w:val="0"/>
          <w:numId w:val="20"/>
        </w:numPr>
        <w:ind w:left="720" w:hanging="720"/>
        <w:rPr>
          <w:rFonts w:eastAsia="Times New Roman" w:cs="Open Sans"/>
          <w:spacing w:val="-5"/>
        </w:rPr>
      </w:pPr>
      <w:r>
        <w:rPr>
          <w:rFonts w:eastAsia="Times New Roman" w:cs="Open Sans"/>
          <w:spacing w:val="-5"/>
        </w:rPr>
        <w:t>The Department has also provided an ‘IHMS Section B: Fitness to Travel’ document signed by a doctor on 12 September 2020, stating that Mr KX is fit to travel, but that a ‘doctor is required to mitigate the risks of the client acting out with self-harm and to provide medication as required’.</w:t>
      </w:r>
      <w:r w:rsidRPr="4C239322">
        <w:rPr>
          <w:rStyle w:val="EndnoteReference"/>
          <w:rFonts w:eastAsia="Times New Roman"/>
          <w:spacing w:val="-5"/>
        </w:rPr>
        <w:endnoteReference w:id="8"/>
      </w:r>
    </w:p>
    <w:p w14:paraId="5E2DBCB2" w14:textId="77777777" w:rsidR="003608E3" w:rsidRPr="00CE1D32" w:rsidRDefault="003608E3" w:rsidP="00D73ED4">
      <w:pPr>
        <w:pStyle w:val="ListParagraph"/>
        <w:numPr>
          <w:ilvl w:val="0"/>
          <w:numId w:val="20"/>
        </w:numPr>
        <w:ind w:left="720" w:hanging="720"/>
        <w:rPr>
          <w:rFonts w:eastAsia="Times New Roman" w:cs="Open Sans"/>
          <w:spacing w:val="-5"/>
        </w:rPr>
      </w:pPr>
      <w:r>
        <w:rPr>
          <w:rFonts w:eastAsia="Times New Roman" w:cs="Open Sans"/>
          <w:spacing w:val="-5"/>
        </w:rPr>
        <w:t>In an email dated 25 September 2020, Serco sought approval from the MITA Australian Border Force Superintendent for the planned transfer and use of force, and the proposed risk mitigation strategies. Next to Mr KX’s name, there is a note of the IHMS advice strongly recommending not to employ the use of force or restraints due to Mr KX’s mental health concerns and history of trauma and torture.</w:t>
      </w:r>
      <w:r w:rsidRPr="4C239322">
        <w:rPr>
          <w:rStyle w:val="EndnoteReference"/>
          <w:rFonts w:eastAsia="Times New Roman"/>
          <w:spacing w:val="-5"/>
        </w:rPr>
        <w:endnoteReference w:id="9"/>
      </w:r>
      <w:r>
        <w:rPr>
          <w:rFonts w:eastAsia="Times New Roman" w:cs="Open Sans"/>
          <w:spacing w:val="-5"/>
        </w:rPr>
        <w:t xml:space="preserve"> The proposed mitigation strategy was noted as ‘</w:t>
      </w:r>
      <w:proofErr w:type="spellStart"/>
      <w:r>
        <w:rPr>
          <w:rFonts w:eastAsia="Times New Roman" w:cs="Open Sans"/>
          <w:spacing w:val="-5"/>
        </w:rPr>
        <w:t>SureLock</w:t>
      </w:r>
      <w:proofErr w:type="spellEnd"/>
      <w:r>
        <w:rPr>
          <w:rFonts w:eastAsia="Times New Roman" w:cs="Open Sans"/>
          <w:spacing w:val="-5"/>
        </w:rPr>
        <w:t xml:space="preserve"> Restraints to be applied prior to departing the centre and remain applied for the duration of the escort. EEP (enhanced escort position) to be applied throughout all unsecure areas of the escort and line of sight to be maintained for the duration of the escort.’ </w:t>
      </w:r>
    </w:p>
    <w:p w14:paraId="1BACDB92" w14:textId="77777777" w:rsidR="003608E3" w:rsidRDefault="003608E3" w:rsidP="00D73ED4">
      <w:pPr>
        <w:pStyle w:val="ListParagraph"/>
        <w:numPr>
          <w:ilvl w:val="0"/>
          <w:numId w:val="20"/>
        </w:numPr>
        <w:ind w:left="720" w:hanging="720"/>
        <w:rPr>
          <w:rFonts w:eastAsia="Times New Roman" w:cs="Open Sans"/>
          <w:spacing w:val="-5"/>
        </w:rPr>
      </w:pPr>
      <w:r>
        <w:rPr>
          <w:rFonts w:eastAsia="Times New Roman" w:cs="Open Sans"/>
          <w:spacing w:val="-5"/>
        </w:rPr>
        <w:t xml:space="preserve">The Department has explained that the </w:t>
      </w:r>
      <w:proofErr w:type="spellStart"/>
      <w:r>
        <w:rPr>
          <w:rFonts w:eastAsia="Times New Roman" w:cs="Open Sans"/>
          <w:spacing w:val="-5"/>
        </w:rPr>
        <w:t>SureLock</w:t>
      </w:r>
      <w:proofErr w:type="spellEnd"/>
      <w:r>
        <w:rPr>
          <w:rFonts w:eastAsia="Times New Roman" w:cs="Open Sans"/>
          <w:spacing w:val="-5"/>
        </w:rPr>
        <w:t xml:space="preserve"> Restraint system is a ‘body belt with arm restraints that can allow freedom of movement’.</w:t>
      </w:r>
      <w:r w:rsidRPr="4C239322">
        <w:rPr>
          <w:rStyle w:val="EndnoteReference"/>
          <w:rFonts w:eastAsia="Times New Roman"/>
          <w:spacing w:val="-5"/>
        </w:rPr>
        <w:endnoteReference w:id="10"/>
      </w:r>
      <w:r>
        <w:rPr>
          <w:rFonts w:eastAsia="Times New Roman" w:cs="Open Sans"/>
          <w:spacing w:val="-5"/>
        </w:rPr>
        <w:t xml:space="preserve"> The Department has confirmed that the use of the </w:t>
      </w:r>
      <w:proofErr w:type="spellStart"/>
      <w:r>
        <w:rPr>
          <w:rFonts w:eastAsia="Times New Roman" w:cs="Open Sans"/>
          <w:spacing w:val="-5"/>
        </w:rPr>
        <w:t>SureLock</w:t>
      </w:r>
      <w:proofErr w:type="spellEnd"/>
      <w:r>
        <w:rPr>
          <w:rFonts w:eastAsia="Times New Roman" w:cs="Open Sans"/>
          <w:spacing w:val="-5"/>
        </w:rPr>
        <w:t xml:space="preserve"> system on Mr KX was approved by the MITA Australian Border Force Superintendent. </w:t>
      </w:r>
    </w:p>
    <w:p w14:paraId="517040E3" w14:textId="77777777" w:rsidR="003608E3" w:rsidRDefault="003608E3" w:rsidP="00D73ED4">
      <w:pPr>
        <w:pStyle w:val="ListParagraph"/>
        <w:numPr>
          <w:ilvl w:val="0"/>
          <w:numId w:val="20"/>
        </w:numPr>
        <w:ind w:left="720" w:hanging="720"/>
        <w:rPr>
          <w:rFonts w:eastAsia="Times New Roman" w:cs="Open Sans"/>
          <w:spacing w:val="-5"/>
        </w:rPr>
      </w:pPr>
      <w:r>
        <w:rPr>
          <w:rFonts w:eastAsia="Times New Roman" w:cs="Open Sans"/>
          <w:spacing w:val="-5"/>
        </w:rPr>
        <w:t>IHMS records provided by the Department refer to EEP as a ‘procedure where an officer may need to physically touch a Detainee’.</w:t>
      </w:r>
      <w:r w:rsidRPr="4C239322">
        <w:rPr>
          <w:rStyle w:val="EndnoteReference"/>
          <w:rFonts w:eastAsia="Times New Roman"/>
          <w:spacing w:val="-5"/>
        </w:rPr>
        <w:endnoteReference w:id="11"/>
      </w:r>
      <w:r>
        <w:rPr>
          <w:rFonts w:eastAsia="Times New Roman" w:cs="Open Sans"/>
          <w:spacing w:val="-5"/>
        </w:rPr>
        <w:t xml:space="preserve"> </w:t>
      </w:r>
    </w:p>
    <w:p w14:paraId="5A761DEE" w14:textId="77777777" w:rsidR="003608E3" w:rsidRPr="00F234D7" w:rsidRDefault="003608E3" w:rsidP="00D73ED4">
      <w:pPr>
        <w:pStyle w:val="ListParagraph"/>
        <w:numPr>
          <w:ilvl w:val="0"/>
          <w:numId w:val="20"/>
        </w:numPr>
        <w:ind w:left="720" w:hanging="720"/>
        <w:rPr>
          <w:rFonts w:eastAsia="Times New Roman" w:cs="Open Sans"/>
          <w:spacing w:val="-5"/>
        </w:rPr>
      </w:pPr>
      <w:r>
        <w:rPr>
          <w:rFonts w:eastAsia="Times New Roman" w:cs="Open Sans"/>
          <w:spacing w:val="-5"/>
        </w:rPr>
        <w:t>It appears from the material provided by the Department that the use of restraints was approved for the duration of the escort from MITA to YHIDC. The Serco ‘Escort Operational Order’ provided by the Department notes that ‘mechanical restraints will be applied to the detainees as per attached manifest for the duration of the flight’.</w:t>
      </w:r>
      <w:r w:rsidRPr="4C239322">
        <w:rPr>
          <w:rStyle w:val="EndnoteReference"/>
          <w:rFonts w:eastAsia="Times New Roman"/>
          <w:spacing w:val="-5"/>
        </w:rPr>
        <w:endnoteReference w:id="12"/>
      </w:r>
      <w:r>
        <w:rPr>
          <w:rFonts w:eastAsia="Times New Roman" w:cs="Open Sans"/>
          <w:spacing w:val="-5"/>
        </w:rPr>
        <w:t xml:space="preserve"> </w:t>
      </w:r>
    </w:p>
    <w:p w14:paraId="006708A9" w14:textId="6F81D6AE" w:rsidR="003608E3" w:rsidRPr="00FF3AA3" w:rsidRDefault="003608E3" w:rsidP="003608E3">
      <w:pPr>
        <w:pStyle w:val="AHRCHeading2"/>
        <w:rPr>
          <w:i/>
        </w:rPr>
      </w:pPr>
      <w:bookmarkStart w:id="18" w:name="_Toc149564181"/>
      <w:bookmarkStart w:id="19" w:name="_Toc154064223"/>
      <w:r w:rsidRPr="00FF3AA3">
        <w:lastRenderedPageBreak/>
        <w:t xml:space="preserve">Escalation and </w:t>
      </w:r>
      <w:r>
        <w:t>u</w:t>
      </w:r>
      <w:r w:rsidRPr="00FF3AA3">
        <w:t xml:space="preserve">nplanned </w:t>
      </w:r>
      <w:r>
        <w:t>u</w:t>
      </w:r>
      <w:r w:rsidRPr="00FF3AA3">
        <w:t xml:space="preserve">se of </w:t>
      </w:r>
      <w:r>
        <w:t>f</w:t>
      </w:r>
      <w:r w:rsidRPr="00FF3AA3">
        <w:t>orce</w:t>
      </w:r>
      <w:bookmarkEnd w:id="18"/>
      <w:bookmarkEnd w:id="19"/>
      <w:r w:rsidRPr="00FF3AA3">
        <w:t xml:space="preserve"> </w:t>
      </w:r>
    </w:p>
    <w:p w14:paraId="0BC3DCAB" w14:textId="77777777" w:rsidR="003608E3" w:rsidRDefault="003608E3" w:rsidP="00D73ED4">
      <w:pPr>
        <w:pStyle w:val="ListParagraph"/>
        <w:numPr>
          <w:ilvl w:val="0"/>
          <w:numId w:val="20"/>
        </w:numPr>
        <w:ind w:left="720" w:hanging="720"/>
        <w:rPr>
          <w:rFonts w:eastAsia="Times New Roman" w:cs="Open Sans"/>
          <w:spacing w:val="-5"/>
        </w:rPr>
      </w:pPr>
      <w:r>
        <w:rPr>
          <w:rFonts w:eastAsia="Times New Roman" w:cs="Open Sans"/>
          <w:spacing w:val="-5"/>
        </w:rPr>
        <w:t>The Department has stated that:</w:t>
      </w:r>
    </w:p>
    <w:p w14:paraId="209047E9" w14:textId="3AF346B1" w:rsidR="003608E3" w:rsidRPr="00627D80" w:rsidRDefault="003608E3" w:rsidP="00261556">
      <w:pPr>
        <w:pStyle w:val="Blockquote"/>
        <w:rPr>
          <w:sz w:val="22"/>
          <w:szCs w:val="22"/>
        </w:rPr>
      </w:pPr>
      <w:r w:rsidRPr="00627D80">
        <w:rPr>
          <w:sz w:val="22"/>
          <w:szCs w:val="22"/>
        </w:rPr>
        <w:t xml:space="preserve">Initially the restraints were applied as a risk mitigation strategy to ensure [Mr KX] could be escorted safely throughout unsecured areas of the Airport. However, [Mr KX] became increasingly non-compliant throughout the transfer process with [Mr KX’s] behaviour directly resulting in multiple incidents and injury to several escorting officers. On that basis, a decision was made to keep [Mr KX] in restraints until he arrived at </w:t>
      </w:r>
      <w:proofErr w:type="spellStart"/>
      <w:r w:rsidRPr="00627D80">
        <w:rPr>
          <w:sz w:val="22"/>
          <w:szCs w:val="22"/>
        </w:rPr>
        <w:t>Yongah</w:t>
      </w:r>
      <w:proofErr w:type="spellEnd"/>
      <w:r w:rsidRPr="00627D80">
        <w:rPr>
          <w:sz w:val="22"/>
          <w:szCs w:val="22"/>
        </w:rPr>
        <w:t xml:space="preserve"> Hill IDC.</w:t>
      </w:r>
      <w:r w:rsidRPr="00627D80">
        <w:rPr>
          <w:rStyle w:val="EndnoteReference"/>
          <w:rFonts w:eastAsia="Times New Roman"/>
          <w:spacing w:val="-5"/>
          <w:sz w:val="18"/>
          <w:szCs w:val="22"/>
        </w:rPr>
        <w:endnoteReference w:id="13"/>
      </w:r>
    </w:p>
    <w:p w14:paraId="5A2387FD" w14:textId="77777777" w:rsidR="003608E3" w:rsidRPr="004E6704" w:rsidRDefault="003608E3" w:rsidP="00D73ED4">
      <w:pPr>
        <w:pStyle w:val="ListParagraph"/>
        <w:numPr>
          <w:ilvl w:val="0"/>
          <w:numId w:val="20"/>
        </w:numPr>
        <w:ind w:left="720" w:hanging="720"/>
        <w:rPr>
          <w:rFonts w:eastAsia="Times New Roman" w:cs="Open Sans"/>
          <w:spacing w:val="-5"/>
        </w:rPr>
      </w:pPr>
      <w:r>
        <w:rPr>
          <w:rFonts w:eastAsia="Times New Roman" w:cs="Open Sans"/>
          <w:spacing w:val="-5"/>
        </w:rPr>
        <w:t xml:space="preserve">This statement from the Department appears inconsistent with the Serco Escort Operational Order mentioned above at </w:t>
      </w:r>
      <w:r w:rsidRPr="00402D08">
        <w:rPr>
          <w:rFonts w:eastAsia="Times New Roman" w:cs="Open Sans"/>
          <w:spacing w:val="-5"/>
        </w:rPr>
        <w:t>[</w:t>
      </w:r>
      <w:r w:rsidRPr="00402D08">
        <w:rPr>
          <w:rFonts w:eastAsia="Times New Roman" w:cs="Open Sans"/>
        </w:rPr>
        <w:t>29</w:t>
      </w:r>
      <w:r w:rsidRPr="00DD44FD">
        <w:rPr>
          <w:rFonts w:eastAsia="Times New Roman" w:cs="Open Sans"/>
          <w:spacing w:val="-5"/>
        </w:rPr>
        <w:t>],</w:t>
      </w:r>
      <w:r>
        <w:rPr>
          <w:rFonts w:eastAsia="Times New Roman" w:cs="Open Sans"/>
          <w:spacing w:val="-5"/>
        </w:rPr>
        <w:t xml:space="preserve"> which suggests that approval was sought for restraints to be applied for the duration of the flight.</w:t>
      </w:r>
    </w:p>
    <w:p w14:paraId="2024E6A7" w14:textId="77777777" w:rsidR="003608E3" w:rsidRPr="006F1DD1" w:rsidRDefault="003608E3" w:rsidP="00D73ED4">
      <w:pPr>
        <w:pStyle w:val="ListParagraph"/>
        <w:numPr>
          <w:ilvl w:val="0"/>
          <w:numId w:val="20"/>
        </w:numPr>
        <w:ind w:left="720" w:hanging="720"/>
        <w:rPr>
          <w:rFonts w:eastAsia="Times New Roman" w:cs="Open Sans"/>
          <w:spacing w:val="-5"/>
        </w:rPr>
      </w:pPr>
      <w:r>
        <w:rPr>
          <w:rFonts w:cs="Open Sans"/>
        </w:rPr>
        <w:t>The Department has provided Escort Observation notes from Detainee Service Officers which note that Mr KX had an altercation with an ERT (Emergency Response Team) officer in the van on the way to the airport. It is noted that he became physically violent, made verbal threats, threatened self-harm and refused to comply with directions. It is also noted that force was used in order to get him from the van to the aircraft and that during the struggle, Mr KX bit two officers. The officer reports that when Mr KX was taken to his seat, he began yelling ’I want my kids’ and ‘I’m not going anywhere’.</w:t>
      </w:r>
      <w:r w:rsidRPr="4C239322">
        <w:rPr>
          <w:rStyle w:val="EndnoteReference"/>
        </w:rPr>
        <w:endnoteReference w:id="14"/>
      </w:r>
    </w:p>
    <w:p w14:paraId="42B1642B" w14:textId="77777777" w:rsidR="003608E3" w:rsidRPr="003D01D3" w:rsidRDefault="003608E3" w:rsidP="00D73ED4">
      <w:pPr>
        <w:pStyle w:val="ListParagraph"/>
        <w:numPr>
          <w:ilvl w:val="0"/>
          <w:numId w:val="20"/>
        </w:numPr>
        <w:ind w:left="720" w:hanging="720"/>
        <w:rPr>
          <w:rFonts w:eastAsia="Times New Roman" w:cs="Open Sans"/>
          <w:spacing w:val="-5"/>
        </w:rPr>
      </w:pPr>
      <w:r w:rsidRPr="003D01D3">
        <w:rPr>
          <w:rFonts w:cs="Open Sans"/>
        </w:rPr>
        <w:t xml:space="preserve">The Department says that Mr </w:t>
      </w:r>
      <w:r>
        <w:rPr>
          <w:rFonts w:cs="Open Sans"/>
        </w:rPr>
        <w:t>KX</w:t>
      </w:r>
      <w:r w:rsidRPr="003D01D3">
        <w:rPr>
          <w:rFonts w:cs="Open Sans"/>
        </w:rPr>
        <w:t xml:space="preserve"> demonstrated ‘aggressive and combative’ behaviour on the flight.</w:t>
      </w:r>
      <w:r w:rsidRPr="4C239322">
        <w:rPr>
          <w:rStyle w:val="EndnoteReference"/>
          <w:rFonts w:cs="Open Sans"/>
        </w:rPr>
        <w:endnoteReference w:id="15"/>
      </w:r>
      <w:r w:rsidRPr="003D01D3">
        <w:rPr>
          <w:rFonts w:cs="Open Sans"/>
        </w:rPr>
        <w:t xml:space="preserve"> His behaviour is reported to include biting, spitting, hitting his head against the window, threatening self-harm and kicking the airplane window. The Department says he made sexual comments towards the Captain, and disruptive comments to the other detainees. </w:t>
      </w:r>
    </w:p>
    <w:p w14:paraId="2A5C94BF" w14:textId="77777777" w:rsidR="003608E3" w:rsidRPr="003D01D3" w:rsidRDefault="003608E3" w:rsidP="00D73ED4">
      <w:pPr>
        <w:pStyle w:val="ListParagraph"/>
        <w:numPr>
          <w:ilvl w:val="0"/>
          <w:numId w:val="20"/>
        </w:numPr>
        <w:ind w:left="720" w:hanging="720"/>
        <w:rPr>
          <w:rFonts w:eastAsia="Times New Roman" w:cs="Open Sans"/>
          <w:spacing w:val="-5"/>
        </w:rPr>
      </w:pPr>
      <w:r w:rsidRPr="5B174204">
        <w:rPr>
          <w:rFonts w:cs="Open Sans"/>
        </w:rPr>
        <w:t xml:space="preserve">Mr </w:t>
      </w:r>
      <w:r>
        <w:rPr>
          <w:rFonts w:cs="Open Sans"/>
        </w:rPr>
        <w:t>KX</w:t>
      </w:r>
      <w:r w:rsidRPr="5B174204">
        <w:rPr>
          <w:rFonts w:cs="Open Sans"/>
        </w:rPr>
        <w:t xml:space="preserve"> was offered oral anxiety medication, which he refused to take. He was then moved to the back of the plane by four Emergency Response Team Officers. The Department says that he continued to make threats of harm to himself and others. </w:t>
      </w:r>
    </w:p>
    <w:p w14:paraId="3CC33608" w14:textId="77777777" w:rsidR="003608E3" w:rsidRPr="003D01D3" w:rsidRDefault="003608E3" w:rsidP="00D73ED4">
      <w:pPr>
        <w:pStyle w:val="ListParagraph"/>
        <w:numPr>
          <w:ilvl w:val="0"/>
          <w:numId w:val="20"/>
        </w:numPr>
        <w:ind w:left="720" w:hanging="720"/>
        <w:rPr>
          <w:rFonts w:eastAsia="Times New Roman" w:cs="Open Sans"/>
          <w:spacing w:val="-5"/>
        </w:rPr>
      </w:pPr>
      <w:r w:rsidRPr="003D01D3">
        <w:rPr>
          <w:rFonts w:cs="Open Sans"/>
        </w:rPr>
        <w:t>At approximately 1</w:t>
      </w:r>
      <w:r>
        <w:rPr>
          <w:rFonts w:cs="Open Sans"/>
        </w:rPr>
        <w:t>.</w:t>
      </w:r>
      <w:r w:rsidRPr="003D01D3">
        <w:rPr>
          <w:rFonts w:cs="Open Sans"/>
        </w:rPr>
        <w:t xml:space="preserve">40pm, an IHMS doctor administered Haloperidol to </w:t>
      </w:r>
      <w:r w:rsidRPr="4C239322">
        <w:rPr>
          <w:rFonts w:cs="Open Sans"/>
        </w:rPr>
        <w:t xml:space="preserve">Mr </w:t>
      </w:r>
      <w:r>
        <w:rPr>
          <w:rFonts w:cs="Open Sans"/>
        </w:rPr>
        <w:t xml:space="preserve">KX </w:t>
      </w:r>
      <w:r w:rsidRPr="003D01D3">
        <w:rPr>
          <w:rFonts w:cs="Open Sans"/>
        </w:rPr>
        <w:t>by an injection in the leg. Following this, his body belt was adjusted to allow him to sleep, and he moved to his seat, where he was reported to be ‘calm, compliant and coherent’.</w:t>
      </w:r>
      <w:r w:rsidRPr="4C239322">
        <w:rPr>
          <w:rStyle w:val="EndnoteReference"/>
        </w:rPr>
        <w:endnoteReference w:id="16"/>
      </w:r>
      <w:r w:rsidRPr="003D01D3">
        <w:rPr>
          <w:rFonts w:cs="Open Sans"/>
        </w:rPr>
        <w:t xml:space="preserve"> He was then monitored for the duration of the flight. A spit mask was applied as he was taken off the aircraft. </w:t>
      </w:r>
    </w:p>
    <w:p w14:paraId="27FCB829" w14:textId="77777777" w:rsidR="003608E3" w:rsidRPr="003D01D3" w:rsidRDefault="003608E3" w:rsidP="00D73ED4">
      <w:pPr>
        <w:pStyle w:val="ListParagraph"/>
        <w:numPr>
          <w:ilvl w:val="0"/>
          <w:numId w:val="20"/>
        </w:numPr>
        <w:ind w:left="720" w:hanging="720"/>
        <w:rPr>
          <w:rFonts w:eastAsia="Times New Roman" w:cs="Open Sans"/>
          <w:spacing w:val="-5"/>
        </w:rPr>
      </w:pPr>
      <w:r w:rsidRPr="5B174204">
        <w:rPr>
          <w:rFonts w:cs="Open Sans"/>
        </w:rPr>
        <w:lastRenderedPageBreak/>
        <w:t>After arriving at YHIDC, Mr</w:t>
      </w:r>
      <w:r>
        <w:rPr>
          <w:rFonts w:cs="Open Sans"/>
        </w:rPr>
        <w:t xml:space="preserve"> KX</w:t>
      </w:r>
      <w:r w:rsidRPr="5B174204">
        <w:rPr>
          <w:rFonts w:cs="Open Sans"/>
        </w:rPr>
        <w:t xml:space="preserve"> was taken into an interview room</w:t>
      </w:r>
      <w:r>
        <w:rPr>
          <w:rFonts w:cs="Open Sans"/>
        </w:rPr>
        <w:t xml:space="preserve"> </w:t>
      </w:r>
      <w:r w:rsidRPr="5B174204">
        <w:rPr>
          <w:rFonts w:cs="Open Sans"/>
        </w:rPr>
        <w:t xml:space="preserve">where he was required to wait for several hours before being seen by a primary health nurse for a post use-of-force check. The Department says that took place at 9.23pm that evening, which is approximately 8 hours after the administration of the chemical restraint.  </w:t>
      </w:r>
    </w:p>
    <w:p w14:paraId="2531BBE9" w14:textId="77777777" w:rsidR="003608E3" w:rsidRPr="003D01D3" w:rsidRDefault="003608E3" w:rsidP="00D73ED4">
      <w:pPr>
        <w:pStyle w:val="ListParagraph"/>
        <w:numPr>
          <w:ilvl w:val="0"/>
          <w:numId w:val="20"/>
        </w:numPr>
        <w:ind w:left="720" w:hanging="720"/>
        <w:rPr>
          <w:rFonts w:eastAsia="Times New Roman" w:cs="Open Sans"/>
          <w:spacing w:val="-5"/>
        </w:rPr>
      </w:pPr>
      <w:r w:rsidRPr="5B174204">
        <w:rPr>
          <w:rFonts w:cs="Open Sans"/>
        </w:rPr>
        <w:t xml:space="preserve">On 29 September 2020, 2 days after the transfer, Mr </w:t>
      </w:r>
      <w:r>
        <w:rPr>
          <w:rFonts w:cs="Open Sans"/>
        </w:rPr>
        <w:t>KX</w:t>
      </w:r>
      <w:r w:rsidRPr="5B174204">
        <w:rPr>
          <w:rFonts w:cs="Open Sans"/>
        </w:rPr>
        <w:t xml:space="preserve"> was reviewed by an IHMS nurse for a welfare check. He reported bruises and scratches and told the nurse that he had vomited blood. Later that day, he was reviewed by an IHMS General Practitioner, to whom he reported dizziness, double vision and pain. No active bleeding was observed and pain relief was provided.</w:t>
      </w:r>
    </w:p>
    <w:p w14:paraId="0002AA46" w14:textId="77777777" w:rsidR="003608E3" w:rsidRPr="003D01D3" w:rsidRDefault="003608E3" w:rsidP="00D73ED4">
      <w:pPr>
        <w:pStyle w:val="ListParagraph"/>
        <w:numPr>
          <w:ilvl w:val="0"/>
          <w:numId w:val="20"/>
        </w:numPr>
        <w:ind w:left="720" w:hanging="720"/>
        <w:rPr>
          <w:rFonts w:eastAsia="Times New Roman" w:cs="Open Sans"/>
          <w:spacing w:val="-5"/>
        </w:rPr>
      </w:pPr>
      <w:r w:rsidRPr="5B174204">
        <w:rPr>
          <w:rFonts w:cs="Open Sans"/>
        </w:rPr>
        <w:t xml:space="preserve">On 9 October 2020, Mr </w:t>
      </w:r>
      <w:r>
        <w:rPr>
          <w:rFonts w:cs="Open Sans"/>
        </w:rPr>
        <w:t>KX</w:t>
      </w:r>
      <w:r w:rsidRPr="5B174204">
        <w:rPr>
          <w:rFonts w:cs="Open Sans"/>
        </w:rPr>
        <w:t xml:space="preserve"> was again reviewed by an IHMS General Practitioner. Mr </w:t>
      </w:r>
      <w:r>
        <w:rPr>
          <w:rFonts w:cs="Open Sans"/>
        </w:rPr>
        <w:t>KX</w:t>
      </w:r>
      <w:r w:rsidRPr="5B174204">
        <w:rPr>
          <w:rFonts w:cs="Open Sans"/>
        </w:rPr>
        <w:t xml:space="preserve"> reported having vomited blood four times since arriving at YHIDC. The doctor assessed him and concluded no obvious medical connection between the issues and the reported events of the transfer. </w:t>
      </w:r>
    </w:p>
    <w:p w14:paraId="014ADDA1" w14:textId="23EAE09C" w:rsidR="003608E3" w:rsidRPr="002B001F" w:rsidRDefault="003608E3" w:rsidP="003608E3">
      <w:pPr>
        <w:pStyle w:val="AHRCHeading2"/>
        <w:rPr>
          <w:i/>
        </w:rPr>
      </w:pPr>
      <w:bookmarkStart w:id="20" w:name="_Toc149564182"/>
      <w:bookmarkStart w:id="21" w:name="_Toc154064224"/>
      <w:r w:rsidRPr="00DF49D4">
        <w:t>Timeline of transfer and medical care</w:t>
      </w:r>
      <w:bookmarkEnd w:id="20"/>
      <w:bookmarkEnd w:id="21"/>
    </w:p>
    <w:p w14:paraId="302524AF" w14:textId="77777777" w:rsidR="003608E3" w:rsidRDefault="003608E3" w:rsidP="00D73ED4">
      <w:pPr>
        <w:pStyle w:val="ListParagraph"/>
        <w:numPr>
          <w:ilvl w:val="0"/>
          <w:numId w:val="20"/>
        </w:numPr>
        <w:ind w:left="720" w:hanging="720"/>
        <w:contextualSpacing/>
        <w:rPr>
          <w:rFonts w:eastAsia="Times New Roman" w:cs="Open Sans"/>
          <w:spacing w:val="-5"/>
        </w:rPr>
      </w:pPr>
      <w:r>
        <w:rPr>
          <w:rFonts w:eastAsia="Times New Roman" w:cs="Open Sans"/>
          <w:spacing w:val="-5"/>
        </w:rPr>
        <w:t xml:space="preserve">The Department has provided detailed incident reports and escort observations setting out what they say occurred during the transfer. The Department has also provided video footage depicting some of the transfer.  Below is a timeline of the events as they are presented in the documents. </w:t>
      </w:r>
    </w:p>
    <w:p w14:paraId="1BFD21EB" w14:textId="77777777" w:rsidR="003608E3" w:rsidRDefault="003608E3" w:rsidP="003608E3">
      <w:pPr>
        <w:pStyle w:val="ListParagraph"/>
        <w:rPr>
          <w:rFonts w:eastAsia="Times New Roman" w:cs="Open Sans"/>
          <w:spacing w:val="-5"/>
        </w:rPr>
      </w:pPr>
    </w:p>
    <w:tbl>
      <w:tblPr>
        <w:tblStyle w:val="TableGrid"/>
        <w:tblW w:w="0" w:type="auto"/>
        <w:tblInd w:w="562" w:type="dxa"/>
        <w:tblLook w:val="04A0" w:firstRow="1" w:lastRow="0" w:firstColumn="1" w:lastColumn="0" w:noHBand="0" w:noVBand="1"/>
      </w:tblPr>
      <w:tblGrid>
        <w:gridCol w:w="2694"/>
        <w:gridCol w:w="5760"/>
      </w:tblGrid>
      <w:tr w:rsidR="003608E3" w:rsidRPr="00114567" w14:paraId="4CB804CF" w14:textId="77777777" w:rsidTr="004044A2">
        <w:tc>
          <w:tcPr>
            <w:tcW w:w="2694" w:type="dxa"/>
          </w:tcPr>
          <w:p w14:paraId="590B0029" w14:textId="77777777" w:rsidR="003608E3" w:rsidRPr="00685B10" w:rsidRDefault="003608E3" w:rsidP="004044A2">
            <w:pPr>
              <w:rPr>
                <w:rFonts w:cs="Open Sans"/>
                <w:b/>
                <w:bCs/>
              </w:rPr>
            </w:pPr>
            <w:r w:rsidRPr="00685B10">
              <w:rPr>
                <w:rFonts w:cs="Open Sans"/>
                <w:b/>
                <w:bCs/>
              </w:rPr>
              <w:t>Date and Time</w:t>
            </w:r>
          </w:p>
        </w:tc>
        <w:tc>
          <w:tcPr>
            <w:tcW w:w="5760" w:type="dxa"/>
          </w:tcPr>
          <w:p w14:paraId="1612078A" w14:textId="77777777" w:rsidR="003608E3" w:rsidRPr="00685B10" w:rsidRDefault="003608E3" w:rsidP="004044A2">
            <w:pPr>
              <w:rPr>
                <w:rFonts w:cs="Open Sans"/>
                <w:b/>
                <w:bCs/>
              </w:rPr>
            </w:pPr>
            <w:r w:rsidRPr="00685B10">
              <w:rPr>
                <w:rFonts w:cs="Open Sans"/>
                <w:b/>
                <w:bCs/>
              </w:rPr>
              <w:t>Event</w:t>
            </w:r>
          </w:p>
        </w:tc>
      </w:tr>
      <w:tr w:rsidR="003608E3" w:rsidRPr="00114567" w14:paraId="211EFA3F" w14:textId="77777777" w:rsidTr="004044A2">
        <w:tc>
          <w:tcPr>
            <w:tcW w:w="2694" w:type="dxa"/>
          </w:tcPr>
          <w:p w14:paraId="4A9D6492" w14:textId="77777777" w:rsidR="003608E3" w:rsidRPr="00685B10" w:rsidRDefault="003608E3" w:rsidP="004044A2">
            <w:pPr>
              <w:rPr>
                <w:rFonts w:cs="Open Sans"/>
              </w:rPr>
            </w:pPr>
            <w:r w:rsidRPr="00685B10">
              <w:rPr>
                <w:rFonts w:cs="Open Sans"/>
              </w:rPr>
              <w:t>27 September 2020</w:t>
            </w:r>
          </w:p>
          <w:p w14:paraId="13281A0C" w14:textId="77777777" w:rsidR="003608E3" w:rsidRPr="00685B10" w:rsidRDefault="003608E3" w:rsidP="004044A2">
            <w:pPr>
              <w:rPr>
                <w:rFonts w:cs="Open Sans"/>
              </w:rPr>
            </w:pPr>
            <w:r w:rsidRPr="00685B10">
              <w:rPr>
                <w:rFonts w:cs="Open Sans"/>
              </w:rPr>
              <w:t>6.20am</w:t>
            </w:r>
          </w:p>
        </w:tc>
        <w:tc>
          <w:tcPr>
            <w:tcW w:w="5760" w:type="dxa"/>
          </w:tcPr>
          <w:p w14:paraId="047BEC25" w14:textId="77777777" w:rsidR="003608E3" w:rsidRPr="00685B10" w:rsidRDefault="003608E3" w:rsidP="004044A2">
            <w:pPr>
              <w:rPr>
                <w:rFonts w:cs="Open Sans"/>
              </w:rPr>
            </w:pPr>
            <w:r w:rsidRPr="00685B10">
              <w:rPr>
                <w:rFonts w:cs="Open Sans"/>
              </w:rPr>
              <w:t xml:space="preserve">Mr </w:t>
            </w:r>
            <w:r>
              <w:rPr>
                <w:rFonts w:cs="Open Sans"/>
              </w:rPr>
              <w:t>KX</w:t>
            </w:r>
            <w:r w:rsidRPr="00685B10">
              <w:rPr>
                <w:rFonts w:cs="Open Sans"/>
              </w:rPr>
              <w:t xml:space="preserve"> subjected to pat and wand search procedure and placed in </w:t>
            </w:r>
            <w:proofErr w:type="spellStart"/>
            <w:r w:rsidRPr="00685B10">
              <w:rPr>
                <w:rFonts w:cs="Open Sans"/>
              </w:rPr>
              <w:t>SureLock</w:t>
            </w:r>
            <w:proofErr w:type="spellEnd"/>
            <w:r w:rsidRPr="00685B10">
              <w:rPr>
                <w:rFonts w:cs="Open Sans"/>
              </w:rPr>
              <w:t xml:space="preserve"> restraint system.</w:t>
            </w:r>
            <w:r w:rsidRPr="00544952">
              <w:rPr>
                <w:rFonts w:cs="Open Sans"/>
                <w:sz w:val="20"/>
                <w:szCs w:val="20"/>
                <w:vertAlign w:val="superscript"/>
              </w:rPr>
              <w:endnoteReference w:id="17"/>
            </w:r>
          </w:p>
        </w:tc>
      </w:tr>
      <w:tr w:rsidR="003608E3" w:rsidRPr="00114567" w14:paraId="65D1E85D" w14:textId="77777777" w:rsidTr="004044A2">
        <w:tc>
          <w:tcPr>
            <w:tcW w:w="2694" w:type="dxa"/>
          </w:tcPr>
          <w:p w14:paraId="3C72FC35" w14:textId="77777777" w:rsidR="003608E3" w:rsidRPr="00685B10" w:rsidRDefault="003608E3" w:rsidP="004044A2">
            <w:pPr>
              <w:rPr>
                <w:rFonts w:cs="Open Sans"/>
              </w:rPr>
            </w:pPr>
            <w:r w:rsidRPr="00685B10">
              <w:rPr>
                <w:rFonts w:cs="Open Sans"/>
              </w:rPr>
              <w:t>6.50am</w:t>
            </w:r>
          </w:p>
        </w:tc>
        <w:tc>
          <w:tcPr>
            <w:tcW w:w="5760" w:type="dxa"/>
          </w:tcPr>
          <w:p w14:paraId="2242555F" w14:textId="77777777" w:rsidR="003608E3" w:rsidRPr="00685B10" w:rsidRDefault="003608E3" w:rsidP="004044A2">
            <w:pPr>
              <w:rPr>
                <w:rFonts w:cs="Open Sans"/>
              </w:rPr>
            </w:pPr>
            <w:r w:rsidRPr="00685B10">
              <w:rPr>
                <w:rFonts w:cs="Open Sans"/>
              </w:rPr>
              <w:t xml:space="preserve">Mr </w:t>
            </w:r>
            <w:r>
              <w:rPr>
                <w:rFonts w:cs="Open Sans"/>
              </w:rPr>
              <w:t>KX</w:t>
            </w:r>
            <w:r w:rsidRPr="00685B10">
              <w:rPr>
                <w:rFonts w:cs="Open Sans"/>
              </w:rPr>
              <w:t xml:space="preserve"> refused to go, had altercation with ERT, became abusive and aggressive and requested to see ABF officer.</w:t>
            </w:r>
          </w:p>
        </w:tc>
      </w:tr>
      <w:tr w:rsidR="003608E3" w:rsidRPr="00114567" w14:paraId="15DC3361" w14:textId="77777777" w:rsidTr="004044A2">
        <w:tc>
          <w:tcPr>
            <w:tcW w:w="2694" w:type="dxa"/>
          </w:tcPr>
          <w:p w14:paraId="40CC233C" w14:textId="77777777" w:rsidR="003608E3" w:rsidRPr="00685B10" w:rsidRDefault="003608E3" w:rsidP="004044A2">
            <w:pPr>
              <w:rPr>
                <w:rFonts w:cs="Open Sans"/>
              </w:rPr>
            </w:pPr>
            <w:r w:rsidRPr="00685B10">
              <w:rPr>
                <w:rFonts w:cs="Open Sans"/>
              </w:rPr>
              <w:t>7.15am</w:t>
            </w:r>
          </w:p>
        </w:tc>
        <w:tc>
          <w:tcPr>
            <w:tcW w:w="5760" w:type="dxa"/>
          </w:tcPr>
          <w:p w14:paraId="72707A67" w14:textId="77777777" w:rsidR="003608E3" w:rsidRPr="00685B10" w:rsidRDefault="003608E3" w:rsidP="004044A2">
            <w:pPr>
              <w:rPr>
                <w:rFonts w:cs="Open Sans"/>
              </w:rPr>
            </w:pPr>
            <w:r w:rsidRPr="4C239322">
              <w:rPr>
                <w:rFonts w:cs="Open Sans"/>
              </w:rPr>
              <w:t xml:space="preserve">Mr </w:t>
            </w:r>
            <w:r>
              <w:rPr>
                <w:rFonts w:cs="Open Sans"/>
              </w:rPr>
              <w:t>KX</w:t>
            </w:r>
            <w:r w:rsidRPr="4C239322">
              <w:rPr>
                <w:rFonts w:cs="Open Sans"/>
              </w:rPr>
              <w:t xml:space="preserve"> said that he wasn’t feeling well, provided water and assistance by ERT.</w:t>
            </w:r>
          </w:p>
          <w:p w14:paraId="6014B7CE" w14:textId="77777777" w:rsidR="003608E3" w:rsidRPr="00027838" w:rsidRDefault="003608E3" w:rsidP="004044A2">
            <w:pPr>
              <w:rPr>
                <w:rFonts w:cs="Open Sans"/>
              </w:rPr>
            </w:pPr>
            <w:r w:rsidRPr="00685B10">
              <w:rPr>
                <w:rFonts w:cs="Open Sans"/>
              </w:rPr>
              <w:lastRenderedPageBreak/>
              <w:t xml:space="preserve">Around this time, Mr </w:t>
            </w:r>
            <w:r>
              <w:rPr>
                <w:rFonts w:cs="Open Sans"/>
              </w:rPr>
              <w:t>KX</w:t>
            </w:r>
            <w:r w:rsidRPr="00685B10">
              <w:rPr>
                <w:rFonts w:cs="Open Sans"/>
              </w:rPr>
              <w:t xml:space="preserve"> mentions his blood pressure to the o</w:t>
            </w:r>
            <w:r w:rsidRPr="4C239322">
              <w:rPr>
                <w:rFonts w:cs="Open Sans"/>
              </w:rPr>
              <w:t xml:space="preserve">fficers and asks several times to see the nurse before they </w:t>
            </w:r>
            <w:r w:rsidRPr="00685B10">
              <w:rPr>
                <w:rFonts w:cs="Open Sans"/>
              </w:rPr>
              <w:t>leave.</w:t>
            </w:r>
            <w:r w:rsidRPr="005F629B">
              <w:rPr>
                <w:rFonts w:cs="Open Sans"/>
                <w:sz w:val="20"/>
                <w:szCs w:val="20"/>
                <w:vertAlign w:val="superscript"/>
              </w:rPr>
              <w:endnoteReference w:id="18"/>
            </w:r>
          </w:p>
        </w:tc>
      </w:tr>
      <w:tr w:rsidR="003608E3" w:rsidRPr="00114567" w14:paraId="723F252A" w14:textId="77777777" w:rsidTr="004044A2">
        <w:tc>
          <w:tcPr>
            <w:tcW w:w="2694" w:type="dxa"/>
          </w:tcPr>
          <w:p w14:paraId="3BABC60A" w14:textId="77777777" w:rsidR="003608E3" w:rsidRPr="00027838" w:rsidRDefault="003608E3" w:rsidP="004044A2">
            <w:pPr>
              <w:rPr>
                <w:rFonts w:cs="Open Sans"/>
              </w:rPr>
            </w:pPr>
            <w:r w:rsidRPr="00027838">
              <w:rPr>
                <w:rFonts w:cs="Open Sans"/>
              </w:rPr>
              <w:lastRenderedPageBreak/>
              <w:t>7</w:t>
            </w:r>
            <w:r>
              <w:rPr>
                <w:rFonts w:cs="Open Sans"/>
              </w:rPr>
              <w:t>.</w:t>
            </w:r>
            <w:r w:rsidRPr="00027838">
              <w:rPr>
                <w:rFonts w:cs="Open Sans"/>
              </w:rPr>
              <w:t>58am</w:t>
            </w:r>
          </w:p>
        </w:tc>
        <w:tc>
          <w:tcPr>
            <w:tcW w:w="5760" w:type="dxa"/>
          </w:tcPr>
          <w:p w14:paraId="47D93125" w14:textId="77777777" w:rsidR="003608E3" w:rsidRPr="00027838" w:rsidRDefault="003608E3" w:rsidP="004044A2">
            <w:pPr>
              <w:rPr>
                <w:rFonts w:cs="Open Sans"/>
              </w:rPr>
            </w:pPr>
            <w:r w:rsidRPr="00027838">
              <w:rPr>
                <w:rFonts w:cs="Open Sans"/>
              </w:rPr>
              <w:t xml:space="preserve">All detainees on coach leaving MITA, Mr </w:t>
            </w:r>
            <w:r>
              <w:rPr>
                <w:rFonts w:cs="Open Sans"/>
              </w:rPr>
              <w:t>KX</w:t>
            </w:r>
            <w:r w:rsidRPr="00027838">
              <w:rPr>
                <w:rFonts w:cs="Open Sans"/>
              </w:rPr>
              <w:t xml:space="preserve"> in chase van vehicle.</w:t>
            </w:r>
          </w:p>
        </w:tc>
      </w:tr>
      <w:tr w:rsidR="003608E3" w:rsidRPr="00114567" w14:paraId="00E18379" w14:textId="77777777" w:rsidTr="004044A2">
        <w:tc>
          <w:tcPr>
            <w:tcW w:w="2694" w:type="dxa"/>
          </w:tcPr>
          <w:p w14:paraId="7B81BC75" w14:textId="77777777" w:rsidR="003608E3" w:rsidRPr="00027838" w:rsidRDefault="003608E3" w:rsidP="004044A2">
            <w:pPr>
              <w:rPr>
                <w:rFonts w:cs="Open Sans"/>
              </w:rPr>
            </w:pPr>
            <w:r w:rsidRPr="00027838">
              <w:rPr>
                <w:rFonts w:cs="Open Sans"/>
              </w:rPr>
              <w:t>8.15am</w:t>
            </w:r>
          </w:p>
        </w:tc>
        <w:tc>
          <w:tcPr>
            <w:tcW w:w="5760" w:type="dxa"/>
          </w:tcPr>
          <w:p w14:paraId="3B27CC9D" w14:textId="77777777" w:rsidR="003608E3" w:rsidRPr="00027838" w:rsidRDefault="003608E3" w:rsidP="004044A2">
            <w:pPr>
              <w:rPr>
                <w:rFonts w:cs="Open Sans"/>
              </w:rPr>
            </w:pPr>
            <w:r w:rsidRPr="00027838">
              <w:rPr>
                <w:rFonts w:cs="Open Sans"/>
              </w:rPr>
              <w:t>Arrival at Melbourne Airport Jet Base.</w:t>
            </w:r>
          </w:p>
        </w:tc>
      </w:tr>
      <w:tr w:rsidR="003608E3" w:rsidRPr="00114567" w14:paraId="12FF4949" w14:textId="77777777" w:rsidTr="004044A2">
        <w:tc>
          <w:tcPr>
            <w:tcW w:w="2694" w:type="dxa"/>
          </w:tcPr>
          <w:p w14:paraId="667D63AA" w14:textId="77777777" w:rsidR="003608E3" w:rsidRPr="00027838" w:rsidRDefault="003608E3" w:rsidP="004044A2">
            <w:pPr>
              <w:rPr>
                <w:rFonts w:cs="Open Sans"/>
              </w:rPr>
            </w:pPr>
            <w:r w:rsidRPr="00027838">
              <w:rPr>
                <w:rFonts w:cs="Open Sans"/>
              </w:rPr>
              <w:t>10.00am</w:t>
            </w:r>
          </w:p>
        </w:tc>
        <w:tc>
          <w:tcPr>
            <w:tcW w:w="5760" w:type="dxa"/>
          </w:tcPr>
          <w:p w14:paraId="73655F20" w14:textId="77777777" w:rsidR="003608E3" w:rsidRPr="00027838" w:rsidRDefault="003608E3" w:rsidP="004044A2">
            <w:pPr>
              <w:rPr>
                <w:rFonts w:cs="Open Sans"/>
              </w:rPr>
            </w:pPr>
            <w:r w:rsidRPr="00027838">
              <w:rPr>
                <w:rFonts w:cs="Open Sans"/>
              </w:rPr>
              <w:t xml:space="preserve">Mr </w:t>
            </w:r>
            <w:r>
              <w:rPr>
                <w:rFonts w:cs="Open Sans"/>
              </w:rPr>
              <w:t>KX</w:t>
            </w:r>
            <w:r w:rsidRPr="00027838">
              <w:rPr>
                <w:rFonts w:cs="Open Sans"/>
              </w:rPr>
              <w:t xml:space="preserve"> resisted to get out from van, ERT had to use force to get him to the aircraft. During the struggle, Mr </w:t>
            </w:r>
            <w:r>
              <w:rPr>
                <w:rFonts w:cs="Open Sans"/>
              </w:rPr>
              <w:t>KX</w:t>
            </w:r>
            <w:r w:rsidRPr="00027838">
              <w:rPr>
                <w:rFonts w:cs="Open Sans"/>
              </w:rPr>
              <w:t xml:space="preserve"> bit two officers.</w:t>
            </w:r>
          </w:p>
        </w:tc>
      </w:tr>
      <w:tr w:rsidR="003608E3" w:rsidRPr="00114567" w14:paraId="0DB2A0A1" w14:textId="77777777" w:rsidTr="004044A2">
        <w:tc>
          <w:tcPr>
            <w:tcW w:w="2694" w:type="dxa"/>
          </w:tcPr>
          <w:p w14:paraId="66AB3655" w14:textId="77777777" w:rsidR="003608E3" w:rsidRPr="00027838" w:rsidRDefault="003608E3" w:rsidP="004044A2">
            <w:pPr>
              <w:rPr>
                <w:rFonts w:cs="Open Sans"/>
              </w:rPr>
            </w:pPr>
            <w:r w:rsidRPr="00027838">
              <w:rPr>
                <w:rFonts w:cs="Open Sans"/>
              </w:rPr>
              <w:t>10.07am</w:t>
            </w:r>
          </w:p>
        </w:tc>
        <w:tc>
          <w:tcPr>
            <w:tcW w:w="5760" w:type="dxa"/>
          </w:tcPr>
          <w:p w14:paraId="5150394A" w14:textId="77777777" w:rsidR="003608E3" w:rsidRPr="00027838" w:rsidRDefault="003608E3" w:rsidP="004044A2">
            <w:pPr>
              <w:rPr>
                <w:rFonts w:cs="Open Sans"/>
              </w:rPr>
            </w:pPr>
            <w:r w:rsidRPr="00027838">
              <w:rPr>
                <w:rFonts w:cs="Open Sans"/>
              </w:rPr>
              <w:t>Mr</w:t>
            </w:r>
            <w:r>
              <w:rPr>
                <w:rFonts w:cs="Open Sans"/>
              </w:rPr>
              <w:t xml:space="preserve"> KX</w:t>
            </w:r>
            <w:r w:rsidRPr="00027838">
              <w:rPr>
                <w:rFonts w:cs="Open Sans"/>
              </w:rPr>
              <w:t xml:space="preserve"> escorted to seat 22F, refused to sit down and started to shout.</w:t>
            </w:r>
          </w:p>
        </w:tc>
      </w:tr>
      <w:tr w:rsidR="003608E3" w:rsidRPr="00114567" w14:paraId="0F58B26E" w14:textId="77777777" w:rsidTr="004044A2">
        <w:tc>
          <w:tcPr>
            <w:tcW w:w="2694" w:type="dxa"/>
          </w:tcPr>
          <w:p w14:paraId="18C904AD" w14:textId="77777777" w:rsidR="003608E3" w:rsidRPr="00027838" w:rsidRDefault="003608E3" w:rsidP="004044A2">
            <w:pPr>
              <w:rPr>
                <w:rFonts w:cs="Open Sans"/>
              </w:rPr>
            </w:pPr>
            <w:r w:rsidRPr="00027838">
              <w:rPr>
                <w:rFonts w:cs="Open Sans"/>
              </w:rPr>
              <w:t>10.50am</w:t>
            </w:r>
          </w:p>
        </w:tc>
        <w:tc>
          <w:tcPr>
            <w:tcW w:w="5760" w:type="dxa"/>
          </w:tcPr>
          <w:p w14:paraId="72C51F8F" w14:textId="77777777" w:rsidR="003608E3" w:rsidRPr="00027838" w:rsidRDefault="003608E3" w:rsidP="004044A2">
            <w:pPr>
              <w:rPr>
                <w:rFonts w:cs="Open Sans"/>
              </w:rPr>
            </w:pPr>
            <w:r w:rsidRPr="00027838">
              <w:rPr>
                <w:rFonts w:cs="Open Sans"/>
              </w:rPr>
              <w:t xml:space="preserve">Mr </w:t>
            </w:r>
            <w:r>
              <w:rPr>
                <w:rFonts w:cs="Open Sans"/>
              </w:rPr>
              <w:t>KX</w:t>
            </w:r>
            <w:r w:rsidRPr="00027838">
              <w:rPr>
                <w:rFonts w:cs="Open Sans"/>
              </w:rPr>
              <w:t xml:space="preserve"> shouted and made sexual comments.</w:t>
            </w:r>
          </w:p>
        </w:tc>
      </w:tr>
      <w:tr w:rsidR="003608E3" w:rsidRPr="00114567" w14:paraId="7C857CCE" w14:textId="77777777" w:rsidTr="004044A2">
        <w:tc>
          <w:tcPr>
            <w:tcW w:w="2694" w:type="dxa"/>
          </w:tcPr>
          <w:p w14:paraId="58C1D4A4" w14:textId="77777777" w:rsidR="003608E3" w:rsidRPr="00027838" w:rsidRDefault="003608E3" w:rsidP="004044A2">
            <w:pPr>
              <w:rPr>
                <w:rFonts w:cs="Open Sans"/>
              </w:rPr>
            </w:pPr>
            <w:r w:rsidRPr="00027838">
              <w:rPr>
                <w:rFonts w:cs="Open Sans"/>
              </w:rPr>
              <w:t>11:09am</w:t>
            </w:r>
          </w:p>
        </w:tc>
        <w:tc>
          <w:tcPr>
            <w:tcW w:w="5760" w:type="dxa"/>
          </w:tcPr>
          <w:p w14:paraId="1F0777A3" w14:textId="77777777" w:rsidR="003608E3" w:rsidRPr="00027838" w:rsidRDefault="003608E3" w:rsidP="004044A2">
            <w:pPr>
              <w:rPr>
                <w:rFonts w:cs="Open Sans"/>
              </w:rPr>
            </w:pPr>
            <w:r w:rsidRPr="00027838">
              <w:rPr>
                <w:rFonts w:cs="Open Sans"/>
              </w:rPr>
              <w:t xml:space="preserve">Mr </w:t>
            </w:r>
            <w:r>
              <w:rPr>
                <w:rFonts w:cs="Open Sans"/>
              </w:rPr>
              <w:t>KX</w:t>
            </w:r>
            <w:r w:rsidRPr="00027838">
              <w:rPr>
                <w:rFonts w:cs="Open Sans"/>
              </w:rPr>
              <w:t xml:space="preserve"> shouted in a disruptive manner towards other detainees on the aircraft.</w:t>
            </w:r>
          </w:p>
        </w:tc>
      </w:tr>
      <w:tr w:rsidR="003608E3" w:rsidRPr="00114567" w14:paraId="050FC7AF" w14:textId="77777777" w:rsidTr="004044A2">
        <w:tc>
          <w:tcPr>
            <w:tcW w:w="2694" w:type="dxa"/>
          </w:tcPr>
          <w:p w14:paraId="2811EDD0" w14:textId="77777777" w:rsidR="003608E3" w:rsidRPr="00027838" w:rsidRDefault="003608E3" w:rsidP="004044A2">
            <w:pPr>
              <w:rPr>
                <w:rFonts w:cs="Open Sans"/>
              </w:rPr>
            </w:pPr>
            <w:r w:rsidRPr="00027838">
              <w:rPr>
                <w:rFonts w:cs="Open Sans"/>
              </w:rPr>
              <w:t>11.12am</w:t>
            </w:r>
          </w:p>
        </w:tc>
        <w:tc>
          <w:tcPr>
            <w:tcW w:w="5760" w:type="dxa"/>
          </w:tcPr>
          <w:p w14:paraId="52DD0B85" w14:textId="77777777" w:rsidR="003608E3" w:rsidRPr="00027838" w:rsidRDefault="003608E3" w:rsidP="004044A2">
            <w:pPr>
              <w:rPr>
                <w:rFonts w:cs="Open Sans"/>
              </w:rPr>
            </w:pPr>
            <w:r w:rsidRPr="00027838">
              <w:rPr>
                <w:rFonts w:cs="Open Sans"/>
              </w:rPr>
              <w:t xml:space="preserve">Mr </w:t>
            </w:r>
            <w:r>
              <w:rPr>
                <w:rFonts w:cs="Open Sans"/>
              </w:rPr>
              <w:t>KX</w:t>
            </w:r>
            <w:r w:rsidRPr="00027838">
              <w:rPr>
                <w:rFonts w:cs="Open Sans"/>
              </w:rPr>
              <w:t xml:space="preserve"> splashed water on the window.</w:t>
            </w:r>
          </w:p>
        </w:tc>
      </w:tr>
      <w:tr w:rsidR="003608E3" w:rsidRPr="00114567" w14:paraId="602190CD" w14:textId="77777777" w:rsidTr="004044A2">
        <w:tc>
          <w:tcPr>
            <w:tcW w:w="2694" w:type="dxa"/>
          </w:tcPr>
          <w:p w14:paraId="496C3A4C" w14:textId="77777777" w:rsidR="003608E3" w:rsidRPr="00027838" w:rsidRDefault="003608E3" w:rsidP="004044A2">
            <w:pPr>
              <w:rPr>
                <w:rFonts w:cs="Open Sans"/>
              </w:rPr>
            </w:pPr>
            <w:r w:rsidRPr="00027838">
              <w:rPr>
                <w:rFonts w:cs="Open Sans"/>
              </w:rPr>
              <w:t>11.17am</w:t>
            </w:r>
          </w:p>
        </w:tc>
        <w:tc>
          <w:tcPr>
            <w:tcW w:w="5760" w:type="dxa"/>
          </w:tcPr>
          <w:p w14:paraId="58055883" w14:textId="77777777" w:rsidR="003608E3" w:rsidRPr="00027838" w:rsidRDefault="003608E3" w:rsidP="004044A2">
            <w:pPr>
              <w:rPr>
                <w:rFonts w:cs="Open Sans"/>
              </w:rPr>
            </w:pPr>
            <w:r w:rsidRPr="00027838">
              <w:rPr>
                <w:rFonts w:cs="Open Sans"/>
              </w:rPr>
              <w:t xml:space="preserve">Mr </w:t>
            </w:r>
            <w:r>
              <w:rPr>
                <w:rFonts w:cs="Open Sans"/>
              </w:rPr>
              <w:t>KX</w:t>
            </w:r>
            <w:r w:rsidRPr="00027838">
              <w:rPr>
                <w:rFonts w:cs="Open Sans"/>
              </w:rPr>
              <w:t xml:space="preserve"> appeared to be asleep.</w:t>
            </w:r>
          </w:p>
        </w:tc>
      </w:tr>
      <w:tr w:rsidR="003608E3" w:rsidRPr="00114567" w14:paraId="2C1EAD27" w14:textId="77777777" w:rsidTr="004044A2">
        <w:tc>
          <w:tcPr>
            <w:tcW w:w="2694" w:type="dxa"/>
          </w:tcPr>
          <w:p w14:paraId="02BCE1F1" w14:textId="77777777" w:rsidR="003608E3" w:rsidRPr="00027838" w:rsidRDefault="003608E3" w:rsidP="004044A2">
            <w:pPr>
              <w:rPr>
                <w:rFonts w:cs="Open Sans"/>
              </w:rPr>
            </w:pPr>
            <w:r w:rsidRPr="00027838">
              <w:rPr>
                <w:rFonts w:cs="Open Sans"/>
              </w:rPr>
              <w:t>1.26pm</w:t>
            </w:r>
          </w:p>
        </w:tc>
        <w:tc>
          <w:tcPr>
            <w:tcW w:w="5760" w:type="dxa"/>
          </w:tcPr>
          <w:p w14:paraId="23348962" w14:textId="77777777" w:rsidR="003608E3" w:rsidRPr="00027838" w:rsidRDefault="003608E3" w:rsidP="004044A2">
            <w:pPr>
              <w:rPr>
                <w:rFonts w:cs="Open Sans"/>
              </w:rPr>
            </w:pPr>
            <w:r w:rsidRPr="4C239322">
              <w:rPr>
                <w:rFonts w:cs="Open Sans"/>
              </w:rPr>
              <w:t xml:space="preserve">Mr </w:t>
            </w:r>
            <w:r>
              <w:rPr>
                <w:rFonts w:cs="Open Sans"/>
              </w:rPr>
              <w:t xml:space="preserve">KX </w:t>
            </w:r>
            <w:r w:rsidRPr="4C239322">
              <w:rPr>
                <w:rFonts w:cs="Open Sans"/>
              </w:rPr>
              <w:t xml:space="preserve">awoke and started to attack ERT officers. ERT officers attempted to apply spit hood and escorted Mr </w:t>
            </w:r>
            <w:r>
              <w:rPr>
                <w:rFonts w:cs="Open Sans"/>
              </w:rPr>
              <w:t>KX</w:t>
            </w:r>
            <w:r w:rsidRPr="4C239322">
              <w:rPr>
                <w:rFonts w:cs="Open Sans"/>
              </w:rPr>
              <w:t xml:space="preserve"> to the back of the aircraft and placed him in recovery position.</w:t>
            </w:r>
          </w:p>
          <w:p w14:paraId="31873C3D" w14:textId="77777777" w:rsidR="003608E3" w:rsidRPr="00027838" w:rsidRDefault="003608E3" w:rsidP="004044A2">
            <w:pPr>
              <w:rPr>
                <w:rFonts w:cs="Open Sans"/>
              </w:rPr>
            </w:pPr>
            <w:r w:rsidRPr="4C239322">
              <w:rPr>
                <w:rFonts w:cs="Open Sans"/>
              </w:rPr>
              <w:t xml:space="preserve">During this incident, Mr </w:t>
            </w:r>
            <w:r>
              <w:rPr>
                <w:rFonts w:cs="Open Sans"/>
              </w:rPr>
              <w:t>KX</w:t>
            </w:r>
            <w:r w:rsidRPr="4C239322">
              <w:rPr>
                <w:rFonts w:cs="Open Sans"/>
              </w:rPr>
              <w:t xml:space="preserve"> called out </w:t>
            </w:r>
            <w:r>
              <w:rPr>
                <w:rFonts w:cs="Open Sans"/>
              </w:rPr>
              <w:t>’</w:t>
            </w:r>
            <w:r w:rsidRPr="4C239322">
              <w:rPr>
                <w:rFonts w:cs="Open Sans"/>
              </w:rPr>
              <w:t>He’s hurting me</w:t>
            </w:r>
            <w:r>
              <w:rPr>
                <w:rFonts w:cs="Open Sans"/>
              </w:rPr>
              <w:t>’</w:t>
            </w:r>
            <w:r w:rsidRPr="4C239322">
              <w:rPr>
                <w:rFonts w:cs="Open Sans"/>
              </w:rPr>
              <w:t>.</w:t>
            </w:r>
          </w:p>
        </w:tc>
      </w:tr>
      <w:tr w:rsidR="003608E3" w:rsidRPr="00114567" w14:paraId="48D28F89" w14:textId="77777777" w:rsidTr="004044A2">
        <w:tc>
          <w:tcPr>
            <w:tcW w:w="2694" w:type="dxa"/>
          </w:tcPr>
          <w:p w14:paraId="2FE58577" w14:textId="77777777" w:rsidR="003608E3" w:rsidRPr="00027838" w:rsidRDefault="003608E3" w:rsidP="004044A2">
            <w:pPr>
              <w:rPr>
                <w:rFonts w:cs="Open Sans"/>
              </w:rPr>
            </w:pPr>
            <w:r w:rsidRPr="00027838">
              <w:rPr>
                <w:rFonts w:cs="Open Sans"/>
              </w:rPr>
              <w:t>1.37pm</w:t>
            </w:r>
          </w:p>
        </w:tc>
        <w:tc>
          <w:tcPr>
            <w:tcW w:w="5760" w:type="dxa"/>
          </w:tcPr>
          <w:p w14:paraId="133DE6F9" w14:textId="77777777" w:rsidR="003608E3" w:rsidRPr="00027838" w:rsidRDefault="003608E3" w:rsidP="004044A2">
            <w:pPr>
              <w:rPr>
                <w:rFonts w:cs="Open Sans"/>
              </w:rPr>
            </w:pPr>
            <w:r w:rsidRPr="00027838">
              <w:rPr>
                <w:rFonts w:cs="Open Sans"/>
              </w:rPr>
              <w:t>IHMS doctor and nurse attended.</w:t>
            </w:r>
          </w:p>
        </w:tc>
      </w:tr>
      <w:tr w:rsidR="003608E3" w:rsidRPr="00114567" w14:paraId="56BFC6C7" w14:textId="77777777" w:rsidTr="004044A2">
        <w:tc>
          <w:tcPr>
            <w:tcW w:w="2694" w:type="dxa"/>
          </w:tcPr>
          <w:p w14:paraId="50D953A2" w14:textId="77777777" w:rsidR="003608E3" w:rsidRPr="00027838" w:rsidRDefault="003608E3" w:rsidP="004044A2">
            <w:pPr>
              <w:rPr>
                <w:rFonts w:cs="Open Sans"/>
              </w:rPr>
            </w:pPr>
            <w:r w:rsidRPr="00027838">
              <w:rPr>
                <w:rFonts w:cs="Open Sans"/>
              </w:rPr>
              <w:t>1.40pm</w:t>
            </w:r>
          </w:p>
        </w:tc>
        <w:tc>
          <w:tcPr>
            <w:tcW w:w="5760" w:type="dxa"/>
          </w:tcPr>
          <w:p w14:paraId="3C6A5807" w14:textId="77777777" w:rsidR="003608E3" w:rsidRPr="00027838" w:rsidRDefault="003608E3" w:rsidP="004044A2">
            <w:pPr>
              <w:rPr>
                <w:rFonts w:cs="Open Sans"/>
              </w:rPr>
            </w:pPr>
            <w:r w:rsidRPr="00027838">
              <w:rPr>
                <w:rFonts w:cs="Open Sans"/>
              </w:rPr>
              <w:t>IHMS doctor administered haloperidol.</w:t>
            </w:r>
          </w:p>
        </w:tc>
      </w:tr>
      <w:tr w:rsidR="003608E3" w:rsidRPr="00114567" w14:paraId="418873A5" w14:textId="77777777" w:rsidTr="004044A2">
        <w:tc>
          <w:tcPr>
            <w:tcW w:w="2694" w:type="dxa"/>
          </w:tcPr>
          <w:p w14:paraId="1639B004" w14:textId="77777777" w:rsidR="003608E3" w:rsidRPr="00027838" w:rsidRDefault="003608E3" w:rsidP="004044A2">
            <w:pPr>
              <w:rPr>
                <w:rFonts w:cs="Open Sans"/>
              </w:rPr>
            </w:pPr>
            <w:r w:rsidRPr="00027838">
              <w:rPr>
                <w:rFonts w:cs="Open Sans"/>
              </w:rPr>
              <w:lastRenderedPageBreak/>
              <w:t>1.44pm</w:t>
            </w:r>
          </w:p>
        </w:tc>
        <w:tc>
          <w:tcPr>
            <w:tcW w:w="5760" w:type="dxa"/>
          </w:tcPr>
          <w:p w14:paraId="3E223643" w14:textId="77777777" w:rsidR="003608E3" w:rsidRPr="00027838" w:rsidRDefault="003608E3" w:rsidP="004044A2">
            <w:pPr>
              <w:rPr>
                <w:rFonts w:cs="Open Sans"/>
              </w:rPr>
            </w:pPr>
            <w:r w:rsidRPr="00027838">
              <w:rPr>
                <w:rFonts w:cs="Open Sans"/>
              </w:rPr>
              <w:t xml:space="preserve">Mr </w:t>
            </w:r>
            <w:r>
              <w:rPr>
                <w:rFonts w:cs="Open Sans"/>
              </w:rPr>
              <w:t xml:space="preserve">KX was </w:t>
            </w:r>
            <w:r w:rsidRPr="00027838">
              <w:rPr>
                <w:rFonts w:cs="Open Sans"/>
              </w:rPr>
              <w:t>escorted back to his seat by ERT officers.</w:t>
            </w:r>
          </w:p>
        </w:tc>
      </w:tr>
      <w:tr w:rsidR="003608E3" w:rsidRPr="00114567" w14:paraId="37A0EF2A" w14:textId="77777777" w:rsidTr="004044A2">
        <w:tc>
          <w:tcPr>
            <w:tcW w:w="2694" w:type="dxa"/>
          </w:tcPr>
          <w:p w14:paraId="2AC94979" w14:textId="77777777" w:rsidR="003608E3" w:rsidRPr="00027838" w:rsidRDefault="003608E3" w:rsidP="004044A2">
            <w:pPr>
              <w:rPr>
                <w:rFonts w:cs="Open Sans"/>
              </w:rPr>
            </w:pPr>
            <w:r w:rsidRPr="00027838">
              <w:rPr>
                <w:rFonts w:cs="Open Sans"/>
              </w:rPr>
              <w:t>2pm</w:t>
            </w:r>
          </w:p>
        </w:tc>
        <w:tc>
          <w:tcPr>
            <w:tcW w:w="5760" w:type="dxa"/>
          </w:tcPr>
          <w:p w14:paraId="07147A35" w14:textId="77777777" w:rsidR="003608E3" w:rsidRPr="00027838" w:rsidRDefault="003608E3" w:rsidP="004044A2">
            <w:pPr>
              <w:rPr>
                <w:rFonts w:cs="Open Sans"/>
              </w:rPr>
            </w:pPr>
            <w:r w:rsidRPr="00027838">
              <w:rPr>
                <w:rFonts w:cs="Open Sans"/>
              </w:rPr>
              <w:t xml:space="preserve">Mr </w:t>
            </w:r>
            <w:r>
              <w:rPr>
                <w:rFonts w:cs="Open Sans"/>
              </w:rPr>
              <w:t xml:space="preserve">KX </w:t>
            </w:r>
            <w:r w:rsidRPr="00027838">
              <w:rPr>
                <w:rFonts w:cs="Open Sans"/>
              </w:rPr>
              <w:t>fell asleep.</w:t>
            </w:r>
          </w:p>
        </w:tc>
      </w:tr>
      <w:tr w:rsidR="003608E3" w:rsidRPr="00114567" w14:paraId="001980C7" w14:textId="77777777" w:rsidTr="004044A2">
        <w:tc>
          <w:tcPr>
            <w:tcW w:w="2694" w:type="dxa"/>
          </w:tcPr>
          <w:p w14:paraId="3403E2AB" w14:textId="77777777" w:rsidR="003608E3" w:rsidRPr="00027838" w:rsidRDefault="003608E3" w:rsidP="004044A2">
            <w:pPr>
              <w:rPr>
                <w:rFonts w:cs="Open Sans"/>
              </w:rPr>
            </w:pPr>
            <w:r w:rsidRPr="00027838">
              <w:rPr>
                <w:rFonts w:cs="Open Sans"/>
              </w:rPr>
              <w:t>4.23pm</w:t>
            </w:r>
          </w:p>
        </w:tc>
        <w:tc>
          <w:tcPr>
            <w:tcW w:w="5760" w:type="dxa"/>
          </w:tcPr>
          <w:p w14:paraId="141B8DBE" w14:textId="77777777" w:rsidR="003608E3" w:rsidRPr="00027838" w:rsidRDefault="003608E3" w:rsidP="004044A2">
            <w:pPr>
              <w:rPr>
                <w:rFonts w:cs="Open Sans"/>
              </w:rPr>
            </w:pPr>
            <w:r w:rsidRPr="00027838">
              <w:rPr>
                <w:rFonts w:cs="Open Sans"/>
              </w:rPr>
              <w:t>Aircraft landed at Perth Airport</w:t>
            </w:r>
          </w:p>
        </w:tc>
      </w:tr>
      <w:tr w:rsidR="003608E3" w:rsidRPr="00114567" w14:paraId="4BA6EED8" w14:textId="77777777" w:rsidTr="004044A2">
        <w:tc>
          <w:tcPr>
            <w:tcW w:w="2694" w:type="dxa"/>
          </w:tcPr>
          <w:p w14:paraId="6D6E0218" w14:textId="77777777" w:rsidR="003608E3" w:rsidRPr="00027838" w:rsidRDefault="003608E3" w:rsidP="004044A2">
            <w:pPr>
              <w:rPr>
                <w:rFonts w:cs="Open Sans"/>
              </w:rPr>
            </w:pPr>
            <w:r w:rsidRPr="00027838">
              <w:rPr>
                <w:rFonts w:cs="Open Sans"/>
              </w:rPr>
              <w:t>5.25pm</w:t>
            </w:r>
          </w:p>
        </w:tc>
        <w:tc>
          <w:tcPr>
            <w:tcW w:w="5760" w:type="dxa"/>
          </w:tcPr>
          <w:p w14:paraId="30534E94" w14:textId="77777777" w:rsidR="003608E3" w:rsidRPr="00027838" w:rsidRDefault="003608E3" w:rsidP="004044A2">
            <w:pPr>
              <w:rPr>
                <w:rFonts w:cs="Open Sans"/>
              </w:rPr>
            </w:pPr>
            <w:r w:rsidRPr="4C239322">
              <w:rPr>
                <w:rFonts w:cs="Open Sans"/>
              </w:rPr>
              <w:t xml:space="preserve">Mr </w:t>
            </w:r>
            <w:r>
              <w:rPr>
                <w:rFonts w:cs="Open Sans"/>
              </w:rPr>
              <w:t>KX</w:t>
            </w:r>
            <w:r w:rsidRPr="4C239322">
              <w:rPr>
                <w:rFonts w:cs="Open Sans"/>
              </w:rPr>
              <w:t xml:space="preserve"> was the last detainee escorted off the aircraft.</w:t>
            </w:r>
          </w:p>
          <w:p w14:paraId="06FA4E9F" w14:textId="77777777" w:rsidR="003608E3" w:rsidRPr="00027838" w:rsidRDefault="003608E3" w:rsidP="004044A2">
            <w:pPr>
              <w:rPr>
                <w:rFonts w:cs="Open Sans"/>
              </w:rPr>
            </w:pPr>
            <w:r w:rsidRPr="00027838">
              <w:rPr>
                <w:rFonts w:cs="Open Sans"/>
              </w:rPr>
              <w:t xml:space="preserve">Around this time, Mr </w:t>
            </w:r>
            <w:r>
              <w:rPr>
                <w:rFonts w:cs="Open Sans"/>
              </w:rPr>
              <w:t>KX</w:t>
            </w:r>
            <w:r w:rsidRPr="4C239322">
              <w:rPr>
                <w:rFonts w:cs="Open Sans"/>
              </w:rPr>
              <w:t xml:space="preserve"> was</w:t>
            </w:r>
            <w:r w:rsidRPr="00027838">
              <w:rPr>
                <w:rFonts w:cs="Open Sans"/>
              </w:rPr>
              <w:t xml:space="preserve"> taken into an interview room wh</w:t>
            </w:r>
            <w:r w:rsidRPr="4C239322">
              <w:rPr>
                <w:rFonts w:cs="Open Sans"/>
              </w:rPr>
              <w:t>ere he was observed</w:t>
            </w:r>
            <w:r w:rsidRPr="00027838">
              <w:rPr>
                <w:rFonts w:cs="Open Sans"/>
              </w:rPr>
              <w:t xml:space="preserve"> by officers. Mr </w:t>
            </w:r>
            <w:r>
              <w:rPr>
                <w:rFonts w:cs="Open Sans"/>
              </w:rPr>
              <w:t xml:space="preserve">KX </w:t>
            </w:r>
            <w:r w:rsidRPr="4C239322">
              <w:rPr>
                <w:rFonts w:cs="Open Sans"/>
              </w:rPr>
              <w:t>told</w:t>
            </w:r>
            <w:r w:rsidRPr="00027838">
              <w:rPr>
                <w:rFonts w:cs="Open Sans"/>
              </w:rPr>
              <w:t xml:space="preserve"> them things such as ‘I need doctor’ and ‘It’s killing me, brother’.</w:t>
            </w:r>
            <w:r w:rsidRPr="005F629B">
              <w:rPr>
                <w:rFonts w:cs="Open Sans"/>
                <w:sz w:val="20"/>
                <w:szCs w:val="20"/>
                <w:vertAlign w:val="superscript"/>
              </w:rPr>
              <w:endnoteReference w:id="19"/>
            </w:r>
          </w:p>
        </w:tc>
      </w:tr>
      <w:tr w:rsidR="003608E3" w:rsidRPr="00114567" w14:paraId="699BD570" w14:textId="77777777" w:rsidTr="004044A2">
        <w:tc>
          <w:tcPr>
            <w:tcW w:w="2694" w:type="dxa"/>
          </w:tcPr>
          <w:p w14:paraId="5E25C070" w14:textId="77777777" w:rsidR="003608E3" w:rsidRPr="00027838" w:rsidRDefault="003608E3" w:rsidP="004044A2">
            <w:pPr>
              <w:rPr>
                <w:rFonts w:cs="Open Sans"/>
              </w:rPr>
            </w:pPr>
            <w:r w:rsidRPr="00027838">
              <w:rPr>
                <w:rFonts w:cs="Open Sans"/>
              </w:rPr>
              <w:t>9.23pm</w:t>
            </w:r>
          </w:p>
        </w:tc>
        <w:tc>
          <w:tcPr>
            <w:tcW w:w="5760" w:type="dxa"/>
          </w:tcPr>
          <w:p w14:paraId="69547F12" w14:textId="77777777" w:rsidR="003608E3" w:rsidRPr="00027838" w:rsidRDefault="003608E3" w:rsidP="004044A2">
            <w:pPr>
              <w:rPr>
                <w:rFonts w:cs="Open Sans"/>
              </w:rPr>
            </w:pPr>
            <w:r w:rsidRPr="00027838">
              <w:rPr>
                <w:rFonts w:cs="Open Sans"/>
              </w:rPr>
              <w:t xml:space="preserve">Mr </w:t>
            </w:r>
            <w:r>
              <w:rPr>
                <w:rFonts w:cs="Open Sans"/>
              </w:rPr>
              <w:t>KX</w:t>
            </w:r>
            <w:r w:rsidRPr="00027838">
              <w:rPr>
                <w:rFonts w:cs="Open Sans"/>
              </w:rPr>
              <w:t xml:space="preserve"> assessed by an IHMS primary health nurse.</w:t>
            </w:r>
          </w:p>
        </w:tc>
      </w:tr>
      <w:tr w:rsidR="003608E3" w:rsidRPr="00114567" w14:paraId="57C9E357" w14:textId="77777777" w:rsidTr="004044A2">
        <w:tc>
          <w:tcPr>
            <w:tcW w:w="2694" w:type="dxa"/>
          </w:tcPr>
          <w:p w14:paraId="1A582C37" w14:textId="77777777" w:rsidR="003608E3" w:rsidRPr="00027838" w:rsidRDefault="003608E3" w:rsidP="004044A2">
            <w:pPr>
              <w:rPr>
                <w:rFonts w:cs="Open Sans"/>
              </w:rPr>
            </w:pPr>
            <w:r w:rsidRPr="00027838">
              <w:rPr>
                <w:rFonts w:cs="Open Sans"/>
              </w:rPr>
              <w:t>29 September 2020</w:t>
            </w:r>
          </w:p>
          <w:p w14:paraId="43A4FD7E" w14:textId="77777777" w:rsidR="003608E3" w:rsidRPr="00027838" w:rsidRDefault="003608E3" w:rsidP="004044A2">
            <w:pPr>
              <w:rPr>
                <w:rFonts w:cs="Open Sans"/>
              </w:rPr>
            </w:pPr>
            <w:r w:rsidRPr="00027838">
              <w:rPr>
                <w:rFonts w:cs="Open Sans"/>
              </w:rPr>
              <w:t>1.41pm</w:t>
            </w:r>
          </w:p>
        </w:tc>
        <w:tc>
          <w:tcPr>
            <w:tcW w:w="5760" w:type="dxa"/>
          </w:tcPr>
          <w:p w14:paraId="2B9D9780" w14:textId="77777777" w:rsidR="003608E3" w:rsidRPr="00027838" w:rsidRDefault="003608E3" w:rsidP="004044A2">
            <w:pPr>
              <w:rPr>
                <w:rFonts w:cs="Open Sans"/>
              </w:rPr>
            </w:pPr>
            <w:r w:rsidRPr="00027838">
              <w:rPr>
                <w:rFonts w:cs="Open Sans"/>
              </w:rPr>
              <w:t xml:space="preserve">Mr </w:t>
            </w:r>
            <w:r>
              <w:rPr>
                <w:rFonts w:cs="Open Sans"/>
              </w:rPr>
              <w:t>KX</w:t>
            </w:r>
            <w:r w:rsidRPr="00027838">
              <w:rPr>
                <w:rFonts w:cs="Open Sans"/>
              </w:rPr>
              <w:t xml:space="preserve"> assessed by an IHMS primary health nurse.</w:t>
            </w:r>
          </w:p>
        </w:tc>
      </w:tr>
      <w:tr w:rsidR="003608E3" w:rsidRPr="00114567" w14:paraId="4501C999" w14:textId="77777777" w:rsidTr="004044A2">
        <w:tc>
          <w:tcPr>
            <w:tcW w:w="2694" w:type="dxa"/>
          </w:tcPr>
          <w:p w14:paraId="77235246" w14:textId="77777777" w:rsidR="003608E3" w:rsidRPr="00027838" w:rsidRDefault="003608E3" w:rsidP="004044A2">
            <w:pPr>
              <w:rPr>
                <w:rFonts w:cs="Open Sans"/>
              </w:rPr>
            </w:pPr>
            <w:r w:rsidRPr="00027838">
              <w:rPr>
                <w:rFonts w:cs="Open Sans"/>
              </w:rPr>
              <w:t>29 September 2020</w:t>
            </w:r>
          </w:p>
          <w:p w14:paraId="2118472F" w14:textId="77777777" w:rsidR="003608E3" w:rsidRPr="00027838" w:rsidRDefault="003608E3" w:rsidP="004044A2">
            <w:pPr>
              <w:rPr>
                <w:rFonts w:cs="Open Sans"/>
              </w:rPr>
            </w:pPr>
            <w:r w:rsidRPr="00027838">
              <w:rPr>
                <w:rFonts w:cs="Open Sans"/>
              </w:rPr>
              <w:t>7.04pm</w:t>
            </w:r>
          </w:p>
        </w:tc>
        <w:tc>
          <w:tcPr>
            <w:tcW w:w="5760" w:type="dxa"/>
          </w:tcPr>
          <w:p w14:paraId="3B6FA460" w14:textId="77777777" w:rsidR="003608E3" w:rsidRPr="00027838" w:rsidRDefault="003608E3" w:rsidP="004044A2">
            <w:pPr>
              <w:rPr>
                <w:rFonts w:cs="Open Sans"/>
              </w:rPr>
            </w:pPr>
            <w:r w:rsidRPr="00027838">
              <w:rPr>
                <w:rFonts w:cs="Open Sans"/>
              </w:rPr>
              <w:t xml:space="preserve">Mr </w:t>
            </w:r>
            <w:r>
              <w:rPr>
                <w:rFonts w:cs="Open Sans"/>
              </w:rPr>
              <w:t>KX</w:t>
            </w:r>
            <w:r w:rsidRPr="00027838">
              <w:rPr>
                <w:rFonts w:cs="Open Sans"/>
              </w:rPr>
              <w:t xml:space="preserve"> assessed by an IHMS Doctor.</w:t>
            </w:r>
          </w:p>
        </w:tc>
      </w:tr>
      <w:tr w:rsidR="003608E3" w:rsidRPr="00114567" w14:paraId="567F28C9" w14:textId="77777777" w:rsidTr="004044A2">
        <w:tc>
          <w:tcPr>
            <w:tcW w:w="2694" w:type="dxa"/>
          </w:tcPr>
          <w:p w14:paraId="709FBA70" w14:textId="77777777" w:rsidR="003608E3" w:rsidRPr="00027838" w:rsidRDefault="003608E3" w:rsidP="004044A2">
            <w:pPr>
              <w:rPr>
                <w:rFonts w:cs="Open Sans"/>
              </w:rPr>
            </w:pPr>
            <w:r w:rsidRPr="00027838">
              <w:rPr>
                <w:rFonts w:cs="Open Sans"/>
              </w:rPr>
              <w:t>9 October 2020</w:t>
            </w:r>
          </w:p>
          <w:p w14:paraId="3AC03BF2" w14:textId="77777777" w:rsidR="003608E3" w:rsidRPr="00027838" w:rsidRDefault="003608E3" w:rsidP="004044A2">
            <w:pPr>
              <w:rPr>
                <w:rFonts w:cs="Open Sans"/>
              </w:rPr>
            </w:pPr>
            <w:r w:rsidRPr="00027838">
              <w:rPr>
                <w:rFonts w:cs="Open Sans"/>
              </w:rPr>
              <w:t>6.26pm</w:t>
            </w:r>
          </w:p>
        </w:tc>
        <w:tc>
          <w:tcPr>
            <w:tcW w:w="5760" w:type="dxa"/>
          </w:tcPr>
          <w:p w14:paraId="7BC8840F" w14:textId="77777777" w:rsidR="003608E3" w:rsidRPr="00027838" w:rsidRDefault="003608E3" w:rsidP="004044A2">
            <w:pPr>
              <w:rPr>
                <w:rFonts w:cs="Open Sans"/>
              </w:rPr>
            </w:pPr>
            <w:r w:rsidRPr="00027838">
              <w:rPr>
                <w:rFonts w:cs="Open Sans"/>
              </w:rPr>
              <w:t xml:space="preserve">Mr </w:t>
            </w:r>
            <w:r>
              <w:rPr>
                <w:rFonts w:cs="Open Sans"/>
              </w:rPr>
              <w:t>KX</w:t>
            </w:r>
            <w:r w:rsidRPr="00027838">
              <w:rPr>
                <w:rFonts w:cs="Open Sans"/>
              </w:rPr>
              <w:t xml:space="preserve"> reviewed by an IHMS Doctor.</w:t>
            </w:r>
          </w:p>
        </w:tc>
      </w:tr>
    </w:tbl>
    <w:p w14:paraId="7F932B96" w14:textId="19D2079E" w:rsidR="003608E3" w:rsidRPr="003608E3" w:rsidRDefault="003608E3" w:rsidP="00D73ED4">
      <w:pPr>
        <w:pStyle w:val="Heading1"/>
        <w:ind w:left="0" w:firstLine="0"/>
        <w:rPr>
          <w:szCs w:val="36"/>
        </w:rPr>
      </w:pPr>
      <w:bookmarkStart w:id="22" w:name="_Toc131589896"/>
      <w:bookmarkStart w:id="23" w:name="_Toc101879641"/>
      <w:bookmarkStart w:id="24" w:name="_Toc101879644"/>
      <w:bookmarkEnd w:id="22"/>
      <w:r w:rsidRPr="00286FD9">
        <w:t xml:space="preserve"> </w:t>
      </w:r>
      <w:bookmarkStart w:id="25" w:name="_Toc149564183"/>
      <w:bookmarkStart w:id="26" w:name="_Toc154064225"/>
      <w:r w:rsidRPr="0015291B">
        <w:rPr>
          <w:szCs w:val="36"/>
        </w:rPr>
        <w:t>Legal framework</w:t>
      </w:r>
      <w:bookmarkEnd w:id="23"/>
      <w:r w:rsidRPr="0015291B">
        <w:rPr>
          <w:szCs w:val="36"/>
        </w:rPr>
        <w:t xml:space="preserve"> for human rights inquiry</w:t>
      </w:r>
      <w:bookmarkStart w:id="27" w:name="_Toc101879642"/>
      <w:bookmarkEnd w:id="25"/>
      <w:bookmarkEnd w:id="26"/>
    </w:p>
    <w:p w14:paraId="4BFC1C3E" w14:textId="4E961FC2" w:rsidR="003608E3" w:rsidRPr="00C44C2D" w:rsidRDefault="003608E3" w:rsidP="003608E3">
      <w:pPr>
        <w:pStyle w:val="AHRCHeading2"/>
        <w:rPr>
          <w:i/>
        </w:rPr>
      </w:pPr>
      <w:bookmarkStart w:id="28" w:name="_Toc149564184"/>
      <w:bookmarkStart w:id="29" w:name="_Toc154064226"/>
      <w:r w:rsidRPr="00C44C2D">
        <w:t>Functions of the Commission</w:t>
      </w:r>
      <w:bookmarkEnd w:id="27"/>
      <w:bookmarkEnd w:id="28"/>
      <w:bookmarkEnd w:id="29"/>
    </w:p>
    <w:p w14:paraId="21D44F04" w14:textId="77777777" w:rsidR="003608E3" w:rsidRPr="0056467D" w:rsidRDefault="003608E3" w:rsidP="00D73ED4">
      <w:pPr>
        <w:numPr>
          <w:ilvl w:val="0"/>
          <w:numId w:val="20"/>
        </w:numPr>
        <w:tabs>
          <w:tab w:val="num" w:pos="720"/>
          <w:tab w:val="num" w:pos="960"/>
        </w:tabs>
        <w:spacing w:after="0"/>
        <w:ind w:left="720" w:hanging="720"/>
        <w:rPr>
          <w:rFonts w:eastAsia="Times New Roman" w:cs="Open Sans"/>
          <w:spacing w:val="-5"/>
        </w:rPr>
      </w:pPr>
      <w:r w:rsidRPr="0056467D">
        <w:rPr>
          <w:rFonts w:eastAsia="Times New Roman" w:cs="Open Sans"/>
          <w:spacing w:val="-5"/>
        </w:rPr>
        <w:t>Section 11(1)(f) of the AHRC Act provides that the Commission has the function to inquire into any act or practice that may be inconsistent with or contrary to any human right.</w:t>
      </w:r>
    </w:p>
    <w:p w14:paraId="68E813C8" w14:textId="77777777" w:rsidR="003608E3" w:rsidRPr="0056467D" w:rsidRDefault="003608E3" w:rsidP="00D73ED4">
      <w:pPr>
        <w:numPr>
          <w:ilvl w:val="0"/>
          <w:numId w:val="20"/>
        </w:numPr>
        <w:tabs>
          <w:tab w:val="num" w:pos="720"/>
          <w:tab w:val="num" w:pos="960"/>
        </w:tabs>
        <w:spacing w:after="0"/>
        <w:ind w:left="720" w:hanging="720"/>
        <w:rPr>
          <w:rFonts w:eastAsia="Times New Roman" w:cs="Open Sans"/>
          <w:spacing w:val="-5"/>
        </w:rPr>
      </w:pPr>
      <w:r w:rsidRPr="0056467D">
        <w:rPr>
          <w:rFonts w:eastAsia="Times New Roman" w:cs="Open Sans"/>
          <w:spacing w:val="-5"/>
        </w:rPr>
        <w:t xml:space="preserve">Section 20(1)(b) of the AHRC Act requires the Commission to perform this function when a complaint is made to it in writing alleging that an act is inconsistent with, or contrary to, any human right. </w:t>
      </w:r>
    </w:p>
    <w:p w14:paraId="2A4BDCDD" w14:textId="77777777" w:rsidR="003608E3" w:rsidRPr="001F1059" w:rsidRDefault="003608E3" w:rsidP="00D73ED4">
      <w:pPr>
        <w:numPr>
          <w:ilvl w:val="0"/>
          <w:numId w:val="20"/>
        </w:numPr>
        <w:tabs>
          <w:tab w:val="num" w:pos="720"/>
          <w:tab w:val="num" w:pos="960"/>
        </w:tabs>
        <w:spacing w:after="0"/>
        <w:ind w:left="720" w:hanging="720"/>
        <w:rPr>
          <w:rFonts w:eastAsia="Times New Roman" w:cs="Open Sans"/>
          <w:spacing w:val="-5"/>
        </w:rPr>
      </w:pPr>
      <w:r w:rsidRPr="0056467D">
        <w:rPr>
          <w:rFonts w:eastAsia="Times New Roman" w:cs="Open Sans"/>
          <w:spacing w:val="-5"/>
        </w:rPr>
        <w:lastRenderedPageBreak/>
        <w:t>Section 8(6) of the AHRC Act requires that the functions of the Commission under s 11(1)(f) be performed by the President.</w:t>
      </w:r>
    </w:p>
    <w:p w14:paraId="3B64D1C4" w14:textId="02CFC53C" w:rsidR="003608E3" w:rsidRPr="001F1059" w:rsidRDefault="003608E3" w:rsidP="003608E3">
      <w:pPr>
        <w:pStyle w:val="AHRCHeading2"/>
        <w:rPr>
          <w:i/>
        </w:rPr>
      </w:pPr>
      <w:bookmarkStart w:id="30" w:name="_Toc101879643"/>
      <w:bookmarkStart w:id="31" w:name="_Toc149564185"/>
      <w:bookmarkStart w:id="32" w:name="_Toc154064227"/>
      <w:r w:rsidRPr="001F1059">
        <w:t>Scope of ‘act’ and ‘practice’</w:t>
      </w:r>
      <w:bookmarkEnd w:id="30"/>
      <w:bookmarkEnd w:id="31"/>
      <w:bookmarkEnd w:id="32"/>
    </w:p>
    <w:p w14:paraId="25D030FC" w14:textId="77777777" w:rsidR="003608E3" w:rsidRPr="0056467D" w:rsidRDefault="003608E3" w:rsidP="00D73ED4">
      <w:pPr>
        <w:numPr>
          <w:ilvl w:val="0"/>
          <w:numId w:val="20"/>
        </w:numPr>
        <w:tabs>
          <w:tab w:val="num" w:pos="720"/>
          <w:tab w:val="num" w:pos="960"/>
        </w:tabs>
        <w:spacing w:after="0"/>
        <w:ind w:left="720" w:hanging="720"/>
        <w:rPr>
          <w:rFonts w:eastAsia="Times New Roman" w:cs="Open Sans"/>
          <w:spacing w:val="-5"/>
        </w:rPr>
      </w:pPr>
      <w:r w:rsidRPr="0056467D">
        <w:rPr>
          <w:rFonts w:eastAsia="Times New Roman" w:cs="Open Sans"/>
          <w:spacing w:val="-5"/>
        </w:rPr>
        <w:t>The terms ‘act’ and ‘practice’ are defined in s 3(1) of the AHRC Act to include an act done or a practice engaged in by or on behalf of the Commonwealth or an authority of the Commonwealth or under an enactment.</w:t>
      </w:r>
    </w:p>
    <w:p w14:paraId="3EF3F2C9" w14:textId="77777777" w:rsidR="003608E3" w:rsidRDefault="003608E3" w:rsidP="00D73ED4">
      <w:pPr>
        <w:numPr>
          <w:ilvl w:val="0"/>
          <w:numId w:val="20"/>
        </w:numPr>
        <w:tabs>
          <w:tab w:val="num" w:pos="720"/>
          <w:tab w:val="num" w:pos="960"/>
        </w:tabs>
        <w:spacing w:after="0"/>
        <w:ind w:left="720" w:hanging="720"/>
        <w:rPr>
          <w:rFonts w:eastAsia="Times New Roman" w:cs="Open Sans"/>
          <w:spacing w:val="-5"/>
        </w:rPr>
      </w:pPr>
      <w:r w:rsidRPr="0056467D">
        <w:rPr>
          <w:rFonts w:eastAsia="Times New Roman" w:cs="Open Sans"/>
          <w:spacing w:val="-5"/>
        </w:rPr>
        <w:t>Section 3(3) provides that the reference to, or to the doing of, an act includes a reference to a refusal or failure to do an act.</w:t>
      </w:r>
    </w:p>
    <w:p w14:paraId="718D4F6B" w14:textId="0C943953" w:rsidR="003608E3" w:rsidRPr="00261556" w:rsidRDefault="003608E3" w:rsidP="00D73ED4">
      <w:pPr>
        <w:numPr>
          <w:ilvl w:val="0"/>
          <w:numId w:val="20"/>
        </w:numPr>
        <w:tabs>
          <w:tab w:val="num" w:pos="720"/>
          <w:tab w:val="num" w:pos="960"/>
        </w:tabs>
        <w:spacing w:after="0"/>
        <w:ind w:left="720" w:hanging="720"/>
        <w:rPr>
          <w:rFonts w:eastAsia="Times New Roman" w:cs="Open Sans"/>
          <w:spacing w:val="-5"/>
        </w:rPr>
      </w:pPr>
      <w:r>
        <w:rPr>
          <w:rFonts w:eastAsia="Times New Roman" w:cs="Open Sans"/>
          <w:spacing w:val="-5"/>
        </w:rPr>
        <w:t>The functions</w:t>
      </w:r>
      <w:r w:rsidRPr="00D07968">
        <w:rPr>
          <w:rFonts w:eastAsia="Times New Roman" w:cs="Open Sans"/>
          <w:spacing w:val="-5"/>
        </w:rPr>
        <w:t xml:space="preserve"> </w:t>
      </w:r>
      <w:r w:rsidRPr="00A93AE2">
        <w:rPr>
          <w:rFonts w:eastAsia="Times New Roman" w:cs="Open Sans"/>
          <w:spacing w:val="-5"/>
        </w:rPr>
        <w:t>of the Commission identified in s 11(1)(f) of the AHRC Act are only engaged where the act complained of is not one required by law to be taken, that is, where the relevant act or practice is within the discretion of the Commonwealth, its officers or those acting on its behalf.</w:t>
      </w:r>
      <w:r w:rsidRPr="0056467D">
        <w:rPr>
          <w:sz w:val="20"/>
          <w:szCs w:val="20"/>
          <w:vertAlign w:val="superscript"/>
        </w:rPr>
        <w:endnoteReference w:id="20"/>
      </w:r>
      <w:bookmarkStart w:id="33" w:name="_Toc452472694"/>
      <w:bookmarkStart w:id="34" w:name="_Toc487445601"/>
      <w:bookmarkStart w:id="35" w:name="_Toc487531386"/>
      <w:bookmarkStart w:id="36" w:name="_Toc487531405"/>
      <w:bookmarkStart w:id="37" w:name="_Toc487531475"/>
      <w:bookmarkStart w:id="38" w:name="_Toc487531595"/>
      <w:bookmarkStart w:id="39" w:name="_Toc104381612"/>
      <w:bookmarkStart w:id="40" w:name="_Toc126575409"/>
    </w:p>
    <w:p w14:paraId="552C9E8D" w14:textId="7CD8635F" w:rsidR="003608E3" w:rsidRPr="00803B8C" w:rsidRDefault="003608E3" w:rsidP="003608E3">
      <w:pPr>
        <w:pStyle w:val="AHRCHeading2"/>
        <w:rPr>
          <w:i/>
        </w:rPr>
      </w:pPr>
      <w:bookmarkStart w:id="41" w:name="_Toc149564186"/>
      <w:bookmarkStart w:id="42" w:name="_Toc154064228"/>
      <w:r w:rsidRPr="00803B8C">
        <w:t>What is a human right?</w:t>
      </w:r>
      <w:bookmarkEnd w:id="33"/>
      <w:bookmarkEnd w:id="34"/>
      <w:bookmarkEnd w:id="35"/>
      <w:bookmarkEnd w:id="36"/>
      <w:bookmarkEnd w:id="37"/>
      <w:bookmarkEnd w:id="38"/>
      <w:bookmarkEnd w:id="39"/>
      <w:bookmarkEnd w:id="40"/>
      <w:bookmarkEnd w:id="41"/>
      <w:bookmarkEnd w:id="42"/>
    </w:p>
    <w:p w14:paraId="2BCB699B" w14:textId="77777777" w:rsidR="003608E3" w:rsidRPr="0056467D" w:rsidRDefault="003608E3" w:rsidP="00D73ED4">
      <w:pPr>
        <w:numPr>
          <w:ilvl w:val="0"/>
          <w:numId w:val="20"/>
        </w:numPr>
        <w:tabs>
          <w:tab w:val="num" w:pos="720"/>
          <w:tab w:val="num" w:pos="960"/>
        </w:tabs>
        <w:spacing w:after="0"/>
        <w:ind w:left="720" w:hanging="720"/>
        <w:rPr>
          <w:rFonts w:eastAsia="Times New Roman" w:cs="Open Sans"/>
          <w:spacing w:val="-5"/>
        </w:rPr>
      </w:pPr>
      <w:r w:rsidRPr="0056467D">
        <w:rPr>
          <w:rFonts w:eastAsia="Times New Roman" w:cs="Open Sans"/>
          <w:spacing w:val="-5"/>
        </w:rPr>
        <w:t xml:space="preserve">The phrase ‘human rights’ is defined by section 3(1) of </w:t>
      </w:r>
      <w:r>
        <w:rPr>
          <w:rFonts w:eastAsia="Times New Roman" w:cs="Open Sans"/>
          <w:spacing w:val="-5"/>
        </w:rPr>
        <w:t>t</w:t>
      </w:r>
      <w:r w:rsidRPr="0056467D">
        <w:rPr>
          <w:rFonts w:eastAsia="Times New Roman" w:cs="Open Sans"/>
          <w:spacing w:val="-5"/>
        </w:rPr>
        <w:t xml:space="preserve">he AHRC Act to include the rights and freedoms recognised in the ICCPR. </w:t>
      </w:r>
    </w:p>
    <w:p w14:paraId="359F25BE" w14:textId="45706E12" w:rsidR="003608E3" w:rsidRPr="00DF2AE3" w:rsidRDefault="003608E3" w:rsidP="003608E3">
      <w:pPr>
        <w:pStyle w:val="AHRCHeading1"/>
      </w:pPr>
      <w:bookmarkStart w:id="43" w:name="_Toc149564187"/>
      <w:bookmarkStart w:id="44" w:name="_Toc154064229"/>
      <w:r w:rsidRPr="00E379D9">
        <w:rPr>
          <w:rStyle w:val="normaltextrun"/>
          <w:szCs w:val="36"/>
        </w:rPr>
        <w:t>Act or practice of the Commonwealth</w:t>
      </w:r>
      <w:bookmarkEnd w:id="43"/>
      <w:bookmarkEnd w:id="44"/>
      <w:r w:rsidRPr="00E379D9">
        <w:rPr>
          <w:rStyle w:val="eop"/>
          <w:szCs w:val="36"/>
        </w:rPr>
        <w:t> </w:t>
      </w:r>
    </w:p>
    <w:p w14:paraId="3577B9F9" w14:textId="77777777" w:rsidR="003608E3" w:rsidRPr="00DF2AE3" w:rsidRDefault="003608E3" w:rsidP="00D73ED4">
      <w:pPr>
        <w:numPr>
          <w:ilvl w:val="0"/>
          <w:numId w:val="20"/>
        </w:numPr>
        <w:tabs>
          <w:tab w:val="num" w:pos="720"/>
          <w:tab w:val="num" w:pos="960"/>
        </w:tabs>
        <w:spacing w:after="0"/>
        <w:ind w:left="720" w:hanging="720"/>
        <w:rPr>
          <w:rFonts w:eastAsia="Times New Roman" w:cs="Open Sans"/>
          <w:spacing w:val="-5"/>
        </w:rPr>
      </w:pPr>
      <w:r w:rsidRPr="5B174204">
        <w:rPr>
          <w:rStyle w:val="normaltextrun"/>
          <w:rFonts w:cs="Open Sans"/>
        </w:rPr>
        <w:t>I consider the following acts of the Commonwealth as relevant to this inquiry: </w:t>
      </w:r>
      <w:r w:rsidRPr="5B174204">
        <w:rPr>
          <w:rStyle w:val="eop"/>
          <w:rFonts w:eastAsiaTheme="majorEastAsia" w:cs="Open Sans"/>
        </w:rPr>
        <w:t> </w:t>
      </w:r>
    </w:p>
    <w:p w14:paraId="530BE4D3" w14:textId="3FDD1430" w:rsidR="003608E3" w:rsidRPr="00261556" w:rsidRDefault="003608E3" w:rsidP="00261556">
      <w:pPr>
        <w:pStyle w:val="ListLevel2"/>
        <w:ind w:left="1282" w:hanging="432"/>
      </w:pPr>
      <w:r w:rsidRPr="00DF2AE3">
        <w:t xml:space="preserve">The </w:t>
      </w:r>
      <w:r>
        <w:t xml:space="preserve">Department’s </w:t>
      </w:r>
      <w:r w:rsidRPr="00DF2AE3">
        <w:t xml:space="preserve">decision </w:t>
      </w:r>
      <w:r>
        <w:t xml:space="preserve">to transfer Mr KX from MITA to YHIDC, without notice and involving the planned use of force. </w:t>
      </w:r>
    </w:p>
    <w:p w14:paraId="0A565C28" w14:textId="77777777" w:rsidR="003608E3" w:rsidRPr="00FE578C" w:rsidRDefault="003608E3" w:rsidP="00261556">
      <w:pPr>
        <w:pStyle w:val="ListLevel2"/>
        <w:ind w:left="1282" w:hanging="432"/>
      </w:pPr>
      <w:r w:rsidRPr="00FE578C">
        <w:t xml:space="preserve">The provision of medical care to Mr </w:t>
      </w:r>
      <w:r>
        <w:t>KX</w:t>
      </w:r>
      <w:r w:rsidRPr="00FE578C">
        <w:t xml:space="preserve"> by the Department following the use of force.</w:t>
      </w:r>
    </w:p>
    <w:p w14:paraId="398E14F4" w14:textId="7AFDE293" w:rsidR="003608E3" w:rsidRPr="003608E3" w:rsidRDefault="003608E3" w:rsidP="003608E3">
      <w:pPr>
        <w:pStyle w:val="AHRCHeading1"/>
      </w:pPr>
      <w:bookmarkStart w:id="45" w:name="_Toc149564188"/>
      <w:bookmarkStart w:id="46" w:name="_Toc154064230"/>
      <w:r>
        <w:t>Human rights in detention</w:t>
      </w:r>
      <w:bookmarkEnd w:id="45"/>
      <w:bookmarkEnd w:id="46"/>
      <w:r w:rsidRPr="00BD1916">
        <w:t xml:space="preserve"> </w:t>
      </w:r>
    </w:p>
    <w:p w14:paraId="1AC6A471" w14:textId="7127E354" w:rsidR="003608E3" w:rsidRPr="001F1059" w:rsidRDefault="003608E3" w:rsidP="003608E3">
      <w:pPr>
        <w:pStyle w:val="AHRCHeading2"/>
        <w:rPr>
          <w:i/>
        </w:rPr>
      </w:pPr>
      <w:bookmarkStart w:id="47" w:name="_Toc149564189"/>
      <w:bookmarkStart w:id="48" w:name="_Toc154064231"/>
      <w:r w:rsidRPr="001F1059">
        <w:t>Treatment in detention, use of force and provision of medical care</w:t>
      </w:r>
      <w:bookmarkEnd w:id="47"/>
      <w:bookmarkEnd w:id="48"/>
    </w:p>
    <w:p w14:paraId="519F47AF" w14:textId="77777777" w:rsidR="003608E3" w:rsidRPr="0056467D" w:rsidRDefault="003608E3" w:rsidP="00D73ED4">
      <w:pPr>
        <w:numPr>
          <w:ilvl w:val="0"/>
          <w:numId w:val="20"/>
        </w:numPr>
        <w:tabs>
          <w:tab w:val="num" w:pos="720"/>
          <w:tab w:val="num" w:pos="960"/>
        </w:tabs>
        <w:spacing w:after="0"/>
        <w:ind w:left="720" w:hanging="720"/>
        <w:rPr>
          <w:rFonts w:eastAsia="Times New Roman" w:cs="Open Sans"/>
          <w:spacing w:val="-5"/>
        </w:rPr>
      </w:pPr>
      <w:r w:rsidRPr="5B174204">
        <w:rPr>
          <w:rFonts w:cs="Open Sans"/>
        </w:rPr>
        <w:t xml:space="preserve">Persons subject to immigration detention are entitled to the human rights protected by the ICCPR, including special protections as persons deprived of their liberty by the State. </w:t>
      </w:r>
      <w:bookmarkEnd w:id="24"/>
    </w:p>
    <w:p w14:paraId="779B14BB" w14:textId="618B65D4" w:rsidR="003608E3" w:rsidRPr="003608E3" w:rsidRDefault="003608E3" w:rsidP="00D73ED4">
      <w:pPr>
        <w:numPr>
          <w:ilvl w:val="0"/>
          <w:numId w:val="20"/>
        </w:numPr>
        <w:tabs>
          <w:tab w:val="num" w:pos="720"/>
          <w:tab w:val="num" w:pos="960"/>
        </w:tabs>
        <w:spacing w:after="0"/>
        <w:ind w:left="720" w:hanging="720"/>
        <w:rPr>
          <w:rFonts w:eastAsia="Times New Roman" w:cs="Open Sans"/>
          <w:spacing w:val="-5"/>
        </w:rPr>
      </w:pPr>
      <w:r w:rsidRPr="5B174204">
        <w:rPr>
          <w:rFonts w:cs="Open Sans"/>
        </w:rPr>
        <w:lastRenderedPageBreak/>
        <w:t>Article 7 of the ICCPR provides:</w:t>
      </w:r>
    </w:p>
    <w:p w14:paraId="096B82AD" w14:textId="77777777" w:rsidR="003608E3" w:rsidRPr="00627D80" w:rsidRDefault="003608E3" w:rsidP="00261556">
      <w:pPr>
        <w:pStyle w:val="Blockquote"/>
        <w:rPr>
          <w:sz w:val="22"/>
          <w:szCs w:val="22"/>
        </w:rPr>
      </w:pPr>
      <w:r w:rsidRPr="00627D80">
        <w:rPr>
          <w:sz w:val="22"/>
          <w:szCs w:val="22"/>
        </w:rPr>
        <w:t>No one shall be subjected to torture or to cruel, inhuman or degrading treatment or punishment. In particular, no one shall be subjected without his free consent to medical or scientific experimentation.</w:t>
      </w:r>
    </w:p>
    <w:p w14:paraId="7C80CB7C" w14:textId="77777777" w:rsidR="003608E3" w:rsidRPr="0056467D" w:rsidRDefault="003608E3" w:rsidP="00D73ED4">
      <w:pPr>
        <w:numPr>
          <w:ilvl w:val="0"/>
          <w:numId w:val="20"/>
        </w:numPr>
        <w:tabs>
          <w:tab w:val="num" w:pos="720"/>
          <w:tab w:val="num" w:pos="960"/>
        </w:tabs>
        <w:spacing w:after="0"/>
        <w:ind w:left="720" w:hanging="720"/>
        <w:rPr>
          <w:rFonts w:eastAsia="Times New Roman" w:cs="Open Sans"/>
          <w:spacing w:val="-5"/>
        </w:rPr>
      </w:pPr>
      <w:r w:rsidRPr="5B174204">
        <w:rPr>
          <w:rFonts w:cs="Open Sans"/>
        </w:rPr>
        <w:t>The prohibition in Article 7 of the ICCPR is absolute and non-</w:t>
      </w:r>
      <w:proofErr w:type="spellStart"/>
      <w:r w:rsidRPr="5B174204">
        <w:rPr>
          <w:rFonts w:cs="Open Sans"/>
        </w:rPr>
        <w:t>derogable</w:t>
      </w:r>
      <w:proofErr w:type="spellEnd"/>
      <w:r w:rsidRPr="5B174204">
        <w:rPr>
          <w:rFonts w:cs="Open Sans"/>
        </w:rPr>
        <w:t>. A person’s treatment in detention must not involve torture or cruel, inhuman or degrading treatment or punishment.</w:t>
      </w:r>
    </w:p>
    <w:p w14:paraId="69751633" w14:textId="5FA29D47" w:rsidR="003608E3" w:rsidRPr="003608E3" w:rsidRDefault="003608E3" w:rsidP="00D73ED4">
      <w:pPr>
        <w:numPr>
          <w:ilvl w:val="0"/>
          <w:numId w:val="20"/>
        </w:numPr>
        <w:tabs>
          <w:tab w:val="num" w:pos="720"/>
          <w:tab w:val="num" w:pos="960"/>
        </w:tabs>
        <w:spacing w:after="0"/>
        <w:ind w:left="720" w:hanging="720"/>
        <w:rPr>
          <w:rFonts w:eastAsia="Times New Roman" w:cs="Open Sans"/>
          <w:spacing w:val="-5"/>
        </w:rPr>
      </w:pPr>
      <w:r w:rsidRPr="5B174204">
        <w:rPr>
          <w:rFonts w:cs="Open Sans"/>
        </w:rPr>
        <w:t>Article 10(1) of the ICCPR provides:</w:t>
      </w:r>
    </w:p>
    <w:p w14:paraId="38A54F26" w14:textId="77777777" w:rsidR="003608E3" w:rsidRPr="00627D80" w:rsidRDefault="003608E3" w:rsidP="00627D80">
      <w:pPr>
        <w:pStyle w:val="Blockquote"/>
        <w:rPr>
          <w:sz w:val="22"/>
          <w:szCs w:val="22"/>
        </w:rPr>
      </w:pPr>
      <w:r w:rsidRPr="00627D80">
        <w:rPr>
          <w:sz w:val="22"/>
          <w:szCs w:val="22"/>
        </w:rPr>
        <w:t>All persons deprived of their liberty shall be treated with humanity and with respect for the inherent dignity of the human person.</w:t>
      </w:r>
    </w:p>
    <w:p w14:paraId="38DA3E58" w14:textId="77777777" w:rsidR="003608E3" w:rsidRPr="0056467D" w:rsidRDefault="003608E3" w:rsidP="00D73ED4">
      <w:pPr>
        <w:numPr>
          <w:ilvl w:val="0"/>
          <w:numId w:val="20"/>
        </w:numPr>
        <w:tabs>
          <w:tab w:val="num" w:pos="960"/>
        </w:tabs>
        <w:spacing w:after="0"/>
        <w:ind w:left="720" w:hanging="720"/>
        <w:rPr>
          <w:rFonts w:eastAsia="Times New Roman" w:cs="Open Sans"/>
          <w:spacing w:val="-5"/>
        </w:rPr>
      </w:pPr>
      <w:bookmarkStart w:id="49" w:name="_Toc73451602"/>
      <w:r w:rsidRPr="0056467D">
        <w:rPr>
          <w:rFonts w:eastAsia="Times New Roman" w:cs="Open Sans"/>
          <w:spacing w:val="-5"/>
        </w:rPr>
        <w:t xml:space="preserve">States have a responsibility to ensure that the rights guaranteed in Articles 7 and 10 of the ICCPR are accorded to detainees in privately run detention facilities. </w:t>
      </w:r>
    </w:p>
    <w:p w14:paraId="27969222" w14:textId="77777777" w:rsidR="003608E3" w:rsidRPr="0002145E" w:rsidRDefault="003608E3" w:rsidP="00D73ED4">
      <w:pPr>
        <w:numPr>
          <w:ilvl w:val="0"/>
          <w:numId w:val="20"/>
        </w:numPr>
        <w:tabs>
          <w:tab w:val="num" w:pos="960"/>
        </w:tabs>
        <w:spacing w:after="0"/>
        <w:ind w:left="720" w:hanging="720"/>
        <w:rPr>
          <w:rFonts w:cs="Open Sans"/>
          <w:spacing w:val="-5"/>
        </w:rPr>
      </w:pPr>
      <w:r w:rsidRPr="0056467D">
        <w:rPr>
          <w:rFonts w:eastAsia="Times New Roman" w:cs="Open Sans"/>
          <w:spacing w:val="-5"/>
        </w:rPr>
        <w:t>Article 10(1) imposes a positive obligation on States to ensure that detainees are treated with humanity and respect for their inherent dignity.</w:t>
      </w:r>
      <w:r w:rsidRPr="0056467D">
        <w:rPr>
          <w:rFonts w:eastAsia="Times New Roman" w:cs="Open Sans"/>
          <w:spacing w:val="-5"/>
          <w:sz w:val="20"/>
          <w:szCs w:val="20"/>
          <w:vertAlign w:val="superscript"/>
        </w:rPr>
        <w:endnoteReference w:id="21"/>
      </w:r>
      <w:r w:rsidRPr="0056467D">
        <w:rPr>
          <w:rFonts w:eastAsia="Times New Roman" w:cs="Open Sans"/>
          <w:spacing w:val="-5"/>
        </w:rPr>
        <w:t xml:space="preserve"> This is in recognition of the fact that detained persons are particularly vulnerable because they are wholly reliant on a relevant authority to provide for their basic needs.</w:t>
      </w:r>
      <w:r w:rsidRPr="0056467D">
        <w:rPr>
          <w:rFonts w:eastAsia="Times New Roman" w:cs="Open Sans"/>
          <w:spacing w:val="-5"/>
          <w:sz w:val="20"/>
          <w:szCs w:val="20"/>
          <w:vertAlign w:val="superscript"/>
        </w:rPr>
        <w:endnoteReference w:id="22"/>
      </w:r>
      <w:r w:rsidRPr="0056467D">
        <w:rPr>
          <w:rFonts w:eastAsia="Times New Roman" w:cs="Open Sans"/>
          <w:spacing w:val="-5"/>
        </w:rPr>
        <w:t xml:space="preserve"> In this case, the relevant authority is the Commonwealth of Australia through the Department and the service providers who act on its behalf.</w:t>
      </w:r>
    </w:p>
    <w:p w14:paraId="5670E5DC" w14:textId="77777777" w:rsidR="003608E3" w:rsidRPr="0056467D" w:rsidRDefault="003608E3" w:rsidP="00D73ED4">
      <w:pPr>
        <w:numPr>
          <w:ilvl w:val="0"/>
          <w:numId w:val="20"/>
        </w:numPr>
        <w:tabs>
          <w:tab w:val="num" w:pos="960"/>
        </w:tabs>
        <w:spacing w:after="0"/>
        <w:ind w:left="720" w:hanging="720"/>
        <w:rPr>
          <w:rFonts w:eastAsia="Times New Roman" w:cs="Open Sans"/>
          <w:spacing w:val="-5"/>
        </w:rPr>
      </w:pPr>
      <w:r w:rsidRPr="0056467D">
        <w:rPr>
          <w:rFonts w:eastAsia="Times New Roman" w:cs="Open Sans"/>
          <w:spacing w:val="-5"/>
        </w:rPr>
        <w:t>Professor Manfred Nowak has commented on the threshold for establishing a breach of article 10(1), when compared to the related prohibition against ‘cruel, inhuman or degrading treatment’ in article 7 of the ICCPR, as follows:</w:t>
      </w:r>
    </w:p>
    <w:p w14:paraId="442F1C03" w14:textId="77777777" w:rsidR="003608E3" w:rsidRPr="00261556" w:rsidRDefault="003608E3" w:rsidP="00261556">
      <w:pPr>
        <w:pStyle w:val="Blockquote"/>
        <w:rPr>
          <w:sz w:val="22"/>
          <w:szCs w:val="22"/>
        </w:rPr>
      </w:pPr>
      <w:r w:rsidRPr="00261556">
        <w:rPr>
          <w:sz w:val="22"/>
          <w:szCs w:val="22"/>
          <w:lang w:eastAsia="en-US"/>
        </w:rPr>
        <w:t>In contrast to article 7, article 10 relates only to the treatment of persons who have been deprived of their liberty. Whereas article 7 primarily is directed at specific, usually violent attacks on personal integrity, article 10 relates more to the general state of a detention facility or some other closed institution and to the specific conditions of detention. As a result, article 10 primarily imposes on States parties a positive obligation to ensure human dignity. Regardless of economic difficulties, the State must establish a minimum standard for humane conditions of detention (requirement of humane treatment). In other words, it must provide detainees and prisoners with a minimum of services to satisfy their basic needs and human rights (food, clothing, medical care, sanitary facilities, education, work, recreation, communication, light, opportunity to move about, privacy, etc). … Finally it is again stressed that the requirement of humane treatment pursuant to article 10 goes beyond the mere prohibition of inhuman treatment under article 7 with regard to the extent of the necessary ‘respect for the inherent dignity of the human person’.</w:t>
      </w:r>
      <w:r w:rsidRPr="00261556">
        <w:rPr>
          <w:rStyle w:val="EndnoteReference"/>
          <w:rFonts w:cs="Open Sans"/>
          <w:sz w:val="22"/>
          <w:szCs w:val="22"/>
        </w:rPr>
        <w:endnoteReference w:id="23"/>
      </w:r>
    </w:p>
    <w:p w14:paraId="5E5278ED" w14:textId="77777777" w:rsidR="003608E3" w:rsidRPr="0056467D" w:rsidRDefault="003608E3" w:rsidP="00D73ED4">
      <w:pPr>
        <w:numPr>
          <w:ilvl w:val="0"/>
          <w:numId w:val="20"/>
        </w:numPr>
        <w:tabs>
          <w:tab w:val="num" w:pos="960"/>
        </w:tabs>
        <w:ind w:left="720" w:hanging="720"/>
        <w:rPr>
          <w:rFonts w:eastAsia="Times New Roman" w:cs="Open Sans"/>
          <w:spacing w:val="-5"/>
        </w:rPr>
      </w:pPr>
      <w:r w:rsidRPr="0056467D">
        <w:rPr>
          <w:rFonts w:eastAsia="Times New Roman" w:cs="Open Sans"/>
          <w:spacing w:val="-5"/>
        </w:rPr>
        <w:lastRenderedPageBreak/>
        <w:t xml:space="preserve">These conclusions are also evident in the jurisprudence of the </w:t>
      </w:r>
      <w:r>
        <w:rPr>
          <w:rFonts w:eastAsia="Times New Roman" w:cs="Open Sans"/>
          <w:spacing w:val="-5"/>
        </w:rPr>
        <w:t xml:space="preserve">United Nations </w:t>
      </w:r>
      <w:r w:rsidRPr="0056467D">
        <w:rPr>
          <w:rFonts w:eastAsia="Times New Roman" w:cs="Open Sans"/>
          <w:spacing w:val="-5"/>
        </w:rPr>
        <w:t>Human Rights Committee, which discusses the positive obligation on relevant authorities to treat detainees with humanity and respect for their dignity.</w:t>
      </w:r>
      <w:r w:rsidRPr="0056467D">
        <w:rPr>
          <w:rFonts w:eastAsia="Times New Roman" w:cs="Open Sans"/>
          <w:spacing w:val="-5"/>
          <w:sz w:val="20"/>
          <w:szCs w:val="20"/>
          <w:vertAlign w:val="superscript"/>
        </w:rPr>
        <w:endnoteReference w:id="24"/>
      </w:r>
      <w:r w:rsidRPr="0056467D">
        <w:rPr>
          <w:rFonts w:eastAsia="Times New Roman" w:cs="Open Sans"/>
          <w:spacing w:val="-5"/>
        </w:rPr>
        <w:t xml:space="preserve">  </w:t>
      </w:r>
    </w:p>
    <w:p w14:paraId="1CF61423" w14:textId="77777777" w:rsidR="003608E3" w:rsidRPr="0056467D" w:rsidRDefault="003608E3" w:rsidP="00D73ED4">
      <w:pPr>
        <w:numPr>
          <w:ilvl w:val="0"/>
          <w:numId w:val="20"/>
        </w:numPr>
        <w:tabs>
          <w:tab w:val="num" w:pos="960"/>
        </w:tabs>
        <w:spacing w:after="0"/>
        <w:ind w:left="720" w:hanging="720"/>
        <w:rPr>
          <w:rFonts w:eastAsia="Times New Roman" w:cs="Open Sans"/>
          <w:spacing w:val="-5"/>
        </w:rPr>
      </w:pPr>
      <w:r w:rsidRPr="0056467D">
        <w:rPr>
          <w:rFonts w:eastAsia="Times New Roman" w:cs="Open Sans"/>
          <w:spacing w:val="-5"/>
        </w:rPr>
        <w:t>The content of article 10(1) has been developed through a number of U</w:t>
      </w:r>
      <w:r>
        <w:rPr>
          <w:rFonts w:eastAsia="Times New Roman" w:cs="Open Sans"/>
          <w:spacing w:val="-5"/>
        </w:rPr>
        <w:t xml:space="preserve">nited </w:t>
      </w:r>
      <w:r w:rsidRPr="0056467D">
        <w:rPr>
          <w:rFonts w:eastAsia="Times New Roman" w:cs="Open Sans"/>
          <w:spacing w:val="-5"/>
        </w:rPr>
        <w:t>N</w:t>
      </w:r>
      <w:r>
        <w:rPr>
          <w:rFonts w:eastAsia="Times New Roman" w:cs="Open Sans"/>
          <w:spacing w:val="-5"/>
        </w:rPr>
        <w:t>ations</w:t>
      </w:r>
      <w:r w:rsidRPr="0056467D">
        <w:rPr>
          <w:rFonts w:eastAsia="Times New Roman" w:cs="Open Sans"/>
          <w:spacing w:val="-5"/>
        </w:rPr>
        <w:t xml:space="preserve"> instruments that articulate minimum international standards in relation to people deprived of their liberty,</w:t>
      </w:r>
      <w:r w:rsidRPr="0056467D">
        <w:rPr>
          <w:rFonts w:eastAsia="Times New Roman" w:cs="Open Sans"/>
          <w:spacing w:val="-5"/>
          <w:sz w:val="20"/>
          <w:szCs w:val="20"/>
          <w:vertAlign w:val="superscript"/>
        </w:rPr>
        <w:endnoteReference w:id="25"/>
      </w:r>
      <w:r w:rsidRPr="0056467D">
        <w:rPr>
          <w:rFonts w:eastAsia="Times New Roman" w:cs="Open Sans"/>
          <w:spacing w:val="-5"/>
        </w:rPr>
        <w:t xml:space="preserve"> including:</w:t>
      </w:r>
    </w:p>
    <w:p w14:paraId="276F35BE" w14:textId="77777777" w:rsidR="003608E3" w:rsidRPr="0056467D" w:rsidRDefault="003608E3" w:rsidP="00D73ED4">
      <w:pPr>
        <w:pStyle w:val="NumberedParagraph"/>
        <w:numPr>
          <w:ilvl w:val="1"/>
          <w:numId w:val="22"/>
        </w:numPr>
        <w:tabs>
          <w:tab w:val="clear" w:pos="1440"/>
        </w:tabs>
        <w:spacing w:after="120"/>
        <w:ind w:left="1678" w:hanging="720"/>
      </w:pPr>
      <w:r w:rsidRPr="0056467D">
        <w:t xml:space="preserve">the </w:t>
      </w:r>
      <w:r w:rsidRPr="4C239322">
        <w:rPr>
          <w:i/>
          <w:iCs/>
        </w:rPr>
        <w:t>Standard Minimum Rules for the Treatment of Prisoners</w:t>
      </w:r>
      <w:r w:rsidRPr="0056467D">
        <w:t xml:space="preserve"> (</w:t>
      </w:r>
      <w:r>
        <w:t xml:space="preserve">Nelson </w:t>
      </w:r>
      <w:r w:rsidRPr="0056467D">
        <w:t>Mandela Rules),</w:t>
      </w:r>
      <w:r w:rsidRPr="0056467D">
        <w:rPr>
          <w:rStyle w:val="EndnoteReference"/>
          <w:rFonts w:eastAsia="MS Mincho"/>
        </w:rPr>
        <w:endnoteReference w:id="26"/>
      </w:r>
      <w:r w:rsidRPr="0056467D">
        <w:t xml:space="preserve"> and </w:t>
      </w:r>
    </w:p>
    <w:p w14:paraId="706D883F" w14:textId="77777777" w:rsidR="003608E3" w:rsidRPr="0056467D" w:rsidRDefault="003608E3" w:rsidP="00D73ED4">
      <w:pPr>
        <w:pStyle w:val="NumberedParagraph"/>
        <w:numPr>
          <w:ilvl w:val="1"/>
          <w:numId w:val="22"/>
        </w:numPr>
        <w:tabs>
          <w:tab w:val="clear" w:pos="1440"/>
        </w:tabs>
        <w:spacing w:after="120"/>
        <w:ind w:left="1678" w:hanging="720"/>
      </w:pPr>
      <w:r w:rsidRPr="0056467D">
        <w:t xml:space="preserve">the </w:t>
      </w:r>
      <w:r w:rsidRPr="4C239322">
        <w:rPr>
          <w:i/>
          <w:iCs/>
        </w:rPr>
        <w:t>Body of Principles for the Protection of all Persons under Any Form of Detention</w:t>
      </w:r>
      <w:r w:rsidRPr="0056467D">
        <w:t xml:space="preserve"> (Body of Principles).</w:t>
      </w:r>
      <w:r w:rsidRPr="0056467D">
        <w:rPr>
          <w:rStyle w:val="EndnoteReference"/>
          <w:rFonts w:eastAsia="MS Mincho"/>
        </w:rPr>
        <w:endnoteReference w:id="27"/>
      </w:r>
    </w:p>
    <w:p w14:paraId="3510CB01" w14:textId="77777777" w:rsidR="003608E3" w:rsidRPr="009E3E89" w:rsidRDefault="003608E3" w:rsidP="00D73ED4">
      <w:pPr>
        <w:numPr>
          <w:ilvl w:val="0"/>
          <w:numId w:val="20"/>
        </w:numPr>
        <w:ind w:left="720" w:hanging="720"/>
        <w:rPr>
          <w:rFonts w:eastAsia="Times New Roman" w:cs="Open Sans"/>
          <w:spacing w:val="-5"/>
        </w:rPr>
      </w:pPr>
      <w:bookmarkStart w:id="50" w:name="_Ref505955631"/>
      <w:r w:rsidRPr="009E3E89">
        <w:rPr>
          <w:rFonts w:eastAsia="Times New Roman" w:cs="Open Sans"/>
          <w:spacing w:val="-5"/>
        </w:rPr>
        <w:t>In 2015, the Mandela Rules were adopted by the United Nations. They provide a restatement of a number of United Nations instruments that set out the standards and norms for the treatment of prisoners.</w:t>
      </w:r>
      <w:r w:rsidRPr="0056467D">
        <w:rPr>
          <w:rFonts w:eastAsia="Times New Roman" w:cs="Open Sans"/>
          <w:spacing w:val="-5"/>
          <w:sz w:val="20"/>
          <w:szCs w:val="20"/>
          <w:vertAlign w:val="superscript"/>
        </w:rPr>
        <w:endnoteReference w:id="28"/>
      </w:r>
      <w:r w:rsidRPr="009E3E89">
        <w:rPr>
          <w:rFonts w:eastAsia="Times New Roman" w:cs="Open Sans"/>
          <w:spacing w:val="-5"/>
        </w:rPr>
        <w:t xml:space="preserve"> At least some of these principles have been determined to be minimum standards regarding the conditions of detention that must be observed regardless of a State Party’s level of development</w:t>
      </w:r>
      <w:r>
        <w:rPr>
          <w:rFonts w:eastAsia="Times New Roman" w:cs="Open Sans"/>
          <w:spacing w:val="-5"/>
        </w:rPr>
        <w:t>.</w:t>
      </w:r>
    </w:p>
    <w:bookmarkEnd w:id="50"/>
    <w:p w14:paraId="6048B16A" w14:textId="77777777" w:rsidR="003608E3" w:rsidRPr="0056467D" w:rsidRDefault="003608E3" w:rsidP="00D73ED4">
      <w:pPr>
        <w:numPr>
          <w:ilvl w:val="0"/>
          <w:numId w:val="20"/>
        </w:numPr>
        <w:tabs>
          <w:tab w:val="num" w:pos="960"/>
        </w:tabs>
        <w:spacing w:after="0"/>
        <w:ind w:left="720" w:hanging="720"/>
        <w:rPr>
          <w:rFonts w:eastAsia="Times New Roman" w:cs="Open Sans"/>
          <w:spacing w:val="-5"/>
        </w:rPr>
      </w:pPr>
      <w:r w:rsidRPr="0056467D">
        <w:rPr>
          <w:rFonts w:eastAsia="Times New Roman" w:cs="Open Sans"/>
          <w:spacing w:val="-5"/>
        </w:rPr>
        <w:t>Several of the Mandela Rules are relevant to the safety of detainees in respect of the behaviour of other detainees, and the general security and good order of detention facilities, including the following:</w:t>
      </w:r>
    </w:p>
    <w:p w14:paraId="5FCB175B" w14:textId="77777777" w:rsidR="003608E3" w:rsidRPr="00261556" w:rsidRDefault="003608E3" w:rsidP="00261556">
      <w:pPr>
        <w:pStyle w:val="Blockquote"/>
      </w:pPr>
      <w:r w:rsidRPr="00261556">
        <w:t xml:space="preserve">Rule 1: All prisoners shall be treated with the respect due to their inherent dignity and value as human beings … the safety and security of prisoners … and visitors shall be ensured at all times. </w:t>
      </w:r>
    </w:p>
    <w:p w14:paraId="0D4BF4D3" w14:textId="77777777" w:rsidR="003608E3" w:rsidRPr="00261556" w:rsidRDefault="003608E3" w:rsidP="00261556">
      <w:pPr>
        <w:pStyle w:val="Blockquote"/>
      </w:pPr>
      <w:r w:rsidRPr="00261556">
        <w:t xml:space="preserve">Rule 2: … prison administrations shall take account of the individual needs of prisoners, in particular the most vulnerable categories in prison settings. </w:t>
      </w:r>
    </w:p>
    <w:p w14:paraId="35FBF24F" w14:textId="77777777" w:rsidR="003608E3" w:rsidRPr="00261556" w:rsidRDefault="003608E3" w:rsidP="00261556">
      <w:pPr>
        <w:pStyle w:val="Blockquote"/>
      </w:pPr>
      <w:r w:rsidRPr="00261556">
        <w:t>Rule 12: … Where dormitories are used, they shall be occupied by prisoners carefully selected as being suitable to associate with one another in those conditions. There shall be regular supervision by night, in keeping with the nature of the prison.</w:t>
      </w:r>
    </w:p>
    <w:p w14:paraId="1D8B8842" w14:textId="77777777" w:rsidR="003608E3" w:rsidRPr="00261556" w:rsidRDefault="003608E3" w:rsidP="00261556">
      <w:pPr>
        <w:pStyle w:val="Blockquote"/>
      </w:pPr>
      <w:r w:rsidRPr="00261556">
        <w:t xml:space="preserve">Rule 36: Discipline and order shall be maintained with no more restriction than is necessary to ensure safe custody, the secure operation of the prison and a well ordered community life. </w:t>
      </w:r>
    </w:p>
    <w:p w14:paraId="0CF7115D" w14:textId="77777777" w:rsidR="003608E3" w:rsidRPr="0056467D" w:rsidRDefault="003608E3" w:rsidP="00D73ED4">
      <w:pPr>
        <w:numPr>
          <w:ilvl w:val="0"/>
          <w:numId w:val="20"/>
        </w:numPr>
        <w:tabs>
          <w:tab w:val="num" w:pos="960"/>
        </w:tabs>
        <w:spacing w:after="0"/>
        <w:ind w:left="720" w:hanging="720"/>
        <w:rPr>
          <w:rFonts w:eastAsia="Times New Roman" w:cs="Open Sans"/>
          <w:spacing w:val="-5"/>
        </w:rPr>
      </w:pPr>
      <w:r w:rsidRPr="0056467D">
        <w:rPr>
          <w:rFonts w:eastAsia="Times New Roman" w:cs="Open Sans"/>
          <w:spacing w:val="-5"/>
        </w:rPr>
        <w:t>Other rules are relevant to the use of force on detainees by detaining officers.  Rule 54(1) of the Mandela Rules provides:</w:t>
      </w:r>
    </w:p>
    <w:p w14:paraId="7D61D7E6" w14:textId="77777777" w:rsidR="003608E3" w:rsidRPr="0056467D" w:rsidRDefault="003608E3" w:rsidP="00261556">
      <w:pPr>
        <w:pStyle w:val="Blockquote"/>
      </w:pPr>
      <w:r w:rsidRPr="0056467D">
        <w:lastRenderedPageBreak/>
        <w:t>Officers of the institutions shall not, in their relations with the prisoners, use force except in self-defence or in cases of attempted escape, or active or passive physical resistance to an order based on law or regulations. Officers who have recourse to force must use no more than is strictly necessary and must report the incident immediately to the director of the institution.</w:t>
      </w:r>
    </w:p>
    <w:p w14:paraId="2DA49ED2" w14:textId="77777777" w:rsidR="003608E3" w:rsidRPr="0056467D" w:rsidRDefault="003608E3" w:rsidP="00D73ED4">
      <w:pPr>
        <w:numPr>
          <w:ilvl w:val="0"/>
          <w:numId w:val="20"/>
        </w:numPr>
        <w:tabs>
          <w:tab w:val="num" w:pos="960"/>
        </w:tabs>
        <w:spacing w:after="0"/>
        <w:ind w:left="720" w:hanging="720"/>
        <w:rPr>
          <w:rFonts w:eastAsia="Times New Roman" w:cs="Open Sans"/>
          <w:spacing w:val="-5"/>
        </w:rPr>
      </w:pPr>
      <w:r w:rsidRPr="0056467D">
        <w:rPr>
          <w:rFonts w:eastAsia="Times New Roman" w:cs="Open Sans"/>
          <w:spacing w:val="-5"/>
        </w:rPr>
        <w:t>This rule provides limits on the circumstances in which force may be used and limits the use of force in those circumstances to what is necessary.</w:t>
      </w:r>
    </w:p>
    <w:p w14:paraId="1F6DB954" w14:textId="77777777" w:rsidR="003608E3" w:rsidRPr="0056467D" w:rsidRDefault="003608E3" w:rsidP="00D73ED4">
      <w:pPr>
        <w:numPr>
          <w:ilvl w:val="0"/>
          <w:numId w:val="20"/>
        </w:numPr>
        <w:tabs>
          <w:tab w:val="num" w:pos="960"/>
        </w:tabs>
        <w:spacing w:after="0"/>
        <w:ind w:left="720" w:hanging="720"/>
        <w:rPr>
          <w:rFonts w:eastAsia="Times New Roman" w:cs="Open Sans"/>
          <w:spacing w:val="-5"/>
        </w:rPr>
      </w:pPr>
      <w:r w:rsidRPr="0056467D">
        <w:rPr>
          <w:rFonts w:eastAsia="Times New Roman" w:cs="Open Sans"/>
          <w:spacing w:val="-5"/>
        </w:rPr>
        <w:t xml:space="preserve">Rule 94 requires that civil prisoners ‘shall not be subjected to any greater restriction or severity than is necessary to ensure safe custody and good order’. </w:t>
      </w:r>
    </w:p>
    <w:p w14:paraId="4F6B9997" w14:textId="77777777" w:rsidR="003608E3" w:rsidRPr="0056467D" w:rsidRDefault="003608E3" w:rsidP="00D73ED4">
      <w:pPr>
        <w:numPr>
          <w:ilvl w:val="0"/>
          <w:numId w:val="20"/>
        </w:numPr>
        <w:tabs>
          <w:tab w:val="num" w:pos="960"/>
        </w:tabs>
        <w:spacing w:after="0"/>
        <w:ind w:left="720" w:hanging="720"/>
        <w:rPr>
          <w:rFonts w:eastAsia="Times New Roman" w:cs="Open Sans"/>
          <w:spacing w:val="-5"/>
        </w:rPr>
      </w:pPr>
      <w:r w:rsidRPr="0056467D">
        <w:rPr>
          <w:rFonts w:eastAsia="Times New Roman" w:cs="Open Sans"/>
          <w:spacing w:val="-5"/>
        </w:rPr>
        <w:t>From the above, the following conclusions may be drawn:</w:t>
      </w:r>
    </w:p>
    <w:p w14:paraId="6DF01A08" w14:textId="77777777" w:rsidR="003608E3" w:rsidRPr="0056467D" w:rsidRDefault="003608E3" w:rsidP="00D73ED4">
      <w:pPr>
        <w:pStyle w:val="NumberedParagraph"/>
        <w:numPr>
          <w:ilvl w:val="1"/>
          <w:numId w:val="22"/>
        </w:numPr>
        <w:tabs>
          <w:tab w:val="clear" w:pos="1440"/>
        </w:tabs>
        <w:spacing w:after="120"/>
        <w:ind w:left="1678" w:hanging="720"/>
      </w:pPr>
      <w:r w:rsidRPr="0056467D">
        <w:t>article 10(1) of the ICCPR imposes a positive</w:t>
      </w:r>
      <w:r w:rsidRPr="0056467D">
        <w:rPr>
          <w:i/>
          <w:iCs/>
        </w:rPr>
        <w:t xml:space="preserve"> </w:t>
      </w:r>
      <w:r w:rsidRPr="0056467D">
        <w:t>obligation on State parties to take action to ensure that detained persons are treated with humanity and dignity</w:t>
      </w:r>
    </w:p>
    <w:p w14:paraId="2F239F7E" w14:textId="77777777" w:rsidR="003608E3" w:rsidRPr="0056467D" w:rsidRDefault="003608E3" w:rsidP="00D73ED4">
      <w:pPr>
        <w:pStyle w:val="NumberedParagraph"/>
        <w:numPr>
          <w:ilvl w:val="1"/>
          <w:numId w:val="22"/>
        </w:numPr>
        <w:tabs>
          <w:tab w:val="clear" w:pos="1440"/>
        </w:tabs>
        <w:spacing w:after="120"/>
        <w:ind w:left="1678" w:hanging="720"/>
      </w:pPr>
      <w:r w:rsidRPr="0056467D">
        <w:t>the threshold for establishing a breach of article 10(1) of the ICCPR is lower than the threshold for establishing ‘cruel, inhuman or degrading treatment’ within the meaning of article 7 of the ICCPR, which is a negative obligation to refrain from such treatment</w:t>
      </w:r>
    </w:p>
    <w:p w14:paraId="04AA5E8C" w14:textId="77777777" w:rsidR="003608E3" w:rsidRPr="0056467D" w:rsidRDefault="003608E3" w:rsidP="00D73ED4">
      <w:pPr>
        <w:pStyle w:val="NumberedParagraph"/>
        <w:numPr>
          <w:ilvl w:val="1"/>
          <w:numId w:val="22"/>
        </w:numPr>
        <w:tabs>
          <w:tab w:val="clear" w:pos="1440"/>
        </w:tabs>
        <w:spacing w:after="120"/>
        <w:ind w:left="1678" w:hanging="720"/>
      </w:pPr>
      <w:r w:rsidRPr="0056467D">
        <w:t>article 10(1) of the ICCPR may be breached if a detainee’s rights, protected by one of the other articles of the ICCPR, are breached—unless that breach is necessitated by the deprivation of liberty</w:t>
      </w:r>
    </w:p>
    <w:p w14:paraId="16F9D610" w14:textId="77777777" w:rsidR="003608E3" w:rsidRPr="0056467D" w:rsidRDefault="003608E3" w:rsidP="00D73ED4">
      <w:pPr>
        <w:pStyle w:val="NumberedParagraph"/>
        <w:numPr>
          <w:ilvl w:val="1"/>
          <w:numId w:val="22"/>
        </w:numPr>
        <w:tabs>
          <w:tab w:val="clear" w:pos="1440"/>
        </w:tabs>
        <w:spacing w:after="120"/>
        <w:ind w:left="1678" w:hanging="720"/>
      </w:pPr>
      <w:r w:rsidRPr="0056467D">
        <w:t xml:space="preserve">minimum standards of humane treatment must be observed in detention conditions, including immigration detention </w:t>
      </w:r>
    </w:p>
    <w:p w14:paraId="0995D5F1" w14:textId="77777777" w:rsidR="003608E3" w:rsidRPr="0056467D" w:rsidRDefault="003608E3" w:rsidP="00D73ED4">
      <w:pPr>
        <w:pStyle w:val="NumberedParagraph"/>
        <w:numPr>
          <w:ilvl w:val="1"/>
          <w:numId w:val="22"/>
        </w:numPr>
        <w:tabs>
          <w:tab w:val="clear" w:pos="1440"/>
        </w:tabs>
        <w:spacing w:after="120"/>
        <w:ind w:left="1678" w:hanging="720"/>
      </w:pPr>
      <w:r w:rsidRPr="0056467D">
        <w:t>article 10(1) of the ICCPR requires that detainees and prisoners are provided with a minimum of services to satisfy their basic needs.</w:t>
      </w:r>
    </w:p>
    <w:p w14:paraId="543D45E2" w14:textId="39AF4791" w:rsidR="003608E3" w:rsidRPr="001F1059" w:rsidRDefault="003608E3" w:rsidP="003608E3">
      <w:pPr>
        <w:pStyle w:val="AHRCHeading2"/>
        <w:rPr>
          <w:i/>
        </w:rPr>
      </w:pPr>
      <w:bookmarkStart w:id="51" w:name="_Toc149564190"/>
      <w:bookmarkStart w:id="52" w:name="_Toc154064232"/>
      <w:r w:rsidRPr="001F1059">
        <w:t>Service provider contractual obligations</w:t>
      </w:r>
      <w:bookmarkEnd w:id="51"/>
      <w:bookmarkEnd w:id="52"/>
    </w:p>
    <w:p w14:paraId="4DAEC5F1" w14:textId="77777777" w:rsidR="003608E3" w:rsidRPr="0056467D" w:rsidRDefault="003608E3" w:rsidP="00D73ED4">
      <w:pPr>
        <w:numPr>
          <w:ilvl w:val="0"/>
          <w:numId w:val="20"/>
        </w:numPr>
        <w:tabs>
          <w:tab w:val="num" w:pos="960"/>
        </w:tabs>
        <w:spacing w:after="0"/>
        <w:ind w:left="720" w:hanging="720"/>
        <w:rPr>
          <w:rFonts w:eastAsia="Times New Roman" w:cs="Open Sans"/>
          <w:spacing w:val="-5"/>
        </w:rPr>
      </w:pPr>
      <w:r w:rsidRPr="0056467D">
        <w:rPr>
          <w:rFonts w:cs="Open Sans"/>
        </w:rPr>
        <w:t xml:space="preserve">Since November 1997, the provision of detention services has been outsourced by the </w:t>
      </w:r>
      <w:r>
        <w:rPr>
          <w:rFonts w:cs="Open Sans"/>
        </w:rPr>
        <w:t>D</w:t>
      </w:r>
      <w:r w:rsidRPr="0056467D">
        <w:rPr>
          <w:rFonts w:cs="Open Sans"/>
        </w:rPr>
        <w:t>epartment to private organisations.</w:t>
      </w:r>
      <w:r w:rsidRPr="00544952">
        <w:rPr>
          <w:rFonts w:cs="Open Sans"/>
          <w:sz w:val="20"/>
          <w:szCs w:val="20"/>
          <w:vertAlign w:val="superscript"/>
        </w:rPr>
        <w:endnoteReference w:id="29"/>
      </w:r>
      <w:r w:rsidRPr="0056467D">
        <w:rPr>
          <w:rFonts w:cs="Open Sans"/>
        </w:rPr>
        <w:t xml:space="preserve"> The Department’s Immigration Detention Facilities and Detainee Services Contract with Serco (Contract) in effect during Mr </w:t>
      </w:r>
      <w:r>
        <w:rPr>
          <w:rFonts w:cs="Open Sans"/>
        </w:rPr>
        <w:t>KX</w:t>
      </w:r>
      <w:r w:rsidRPr="0056467D">
        <w:rPr>
          <w:rFonts w:cs="Open Sans"/>
        </w:rPr>
        <w:t>’s detention recognises the duty of care owed to detainees and requires that Serco complies with a Code of Conduct.</w:t>
      </w:r>
      <w:r w:rsidRPr="5B174204">
        <w:rPr>
          <w:rStyle w:val="EndnoteReference"/>
          <w:rFonts w:cs="Open Sans"/>
        </w:rPr>
        <w:endnoteReference w:id="30"/>
      </w:r>
      <w:r w:rsidRPr="0056467D">
        <w:rPr>
          <w:rFonts w:cs="Open Sans"/>
        </w:rPr>
        <w:t xml:space="preserve"> The Code of Conduct requires Serco to carry out its duties with care and diligence, maintain a safe working environment and ‘be alert for Detainees who are or appear to be, </w:t>
      </w:r>
      <w:r w:rsidRPr="0056467D">
        <w:rPr>
          <w:rFonts w:cs="Open Sans"/>
        </w:rPr>
        <w:lastRenderedPageBreak/>
        <w:t>traumatised and/or vulnerable to self-harm and by the actions of others, and manage and report on these’</w:t>
      </w:r>
      <w:r w:rsidRPr="5B174204">
        <w:rPr>
          <w:rFonts w:cs="Open Sans"/>
          <w:i/>
          <w:iCs/>
        </w:rPr>
        <w:t>.</w:t>
      </w:r>
      <w:r w:rsidRPr="4C239322">
        <w:rPr>
          <w:rStyle w:val="EndnoteReference"/>
          <w:rFonts w:cs="Open Sans"/>
        </w:rPr>
        <w:endnoteReference w:id="31"/>
      </w:r>
      <w:r w:rsidRPr="0056467D">
        <w:rPr>
          <w:rFonts w:cs="Open Sans"/>
        </w:rPr>
        <w:t xml:space="preserve"> </w:t>
      </w:r>
    </w:p>
    <w:p w14:paraId="44EC9C65" w14:textId="77777777" w:rsidR="003608E3" w:rsidRPr="0056467D" w:rsidRDefault="003608E3" w:rsidP="00D73ED4">
      <w:pPr>
        <w:numPr>
          <w:ilvl w:val="0"/>
          <w:numId w:val="20"/>
        </w:numPr>
        <w:tabs>
          <w:tab w:val="num" w:pos="960"/>
        </w:tabs>
        <w:spacing w:after="0"/>
        <w:ind w:left="720" w:hanging="720"/>
        <w:rPr>
          <w:rFonts w:eastAsia="Times New Roman" w:cs="Open Sans"/>
          <w:spacing w:val="-5"/>
        </w:rPr>
      </w:pPr>
      <w:r w:rsidRPr="5B174204">
        <w:rPr>
          <w:rFonts w:cs="Open Sans"/>
        </w:rPr>
        <w:t xml:space="preserve">The Contract enumerates several obligations on Serco which are relevant to ensuring the safety of detainees. Under the Contract, Serco is required to: </w:t>
      </w:r>
    </w:p>
    <w:p w14:paraId="4438B378" w14:textId="77777777" w:rsidR="003608E3" w:rsidRPr="00CD471C" w:rsidRDefault="003608E3" w:rsidP="00D73ED4">
      <w:pPr>
        <w:pStyle w:val="SubmissionNormal"/>
        <w:numPr>
          <w:ilvl w:val="1"/>
          <w:numId w:val="21"/>
        </w:numPr>
        <w:spacing w:after="120"/>
        <w:ind w:left="1397" w:hanging="432"/>
        <w:rPr>
          <w:rFonts w:cs="Open Sans"/>
          <w:sz w:val="22"/>
          <w:szCs w:val="22"/>
        </w:rPr>
      </w:pPr>
      <w:r w:rsidRPr="00CD471C">
        <w:rPr>
          <w:rFonts w:cs="Open Sans"/>
          <w:sz w:val="22"/>
          <w:szCs w:val="22"/>
        </w:rPr>
        <w:t>provide and maintain a safe and secure environment for detainees,</w:t>
      </w:r>
      <w:r w:rsidRPr="00CD471C">
        <w:rPr>
          <w:rStyle w:val="EndnoteReference"/>
          <w:rFonts w:cs="Open Sans"/>
          <w:sz w:val="22"/>
          <w:szCs w:val="22"/>
        </w:rPr>
        <w:endnoteReference w:id="32"/>
      </w:r>
      <w:r w:rsidRPr="00CD471C">
        <w:rPr>
          <w:rFonts w:cs="Open Sans"/>
          <w:sz w:val="22"/>
          <w:szCs w:val="22"/>
        </w:rPr>
        <w:t xml:space="preserve"> which also supports their individual health and safety needs</w:t>
      </w:r>
      <w:r w:rsidRPr="00544952">
        <w:rPr>
          <w:rStyle w:val="EndnoteReference"/>
          <w:rFonts w:cs="Open Sans"/>
          <w:szCs w:val="20"/>
        </w:rPr>
        <w:endnoteReference w:id="33"/>
      </w:r>
    </w:p>
    <w:p w14:paraId="4E49E832" w14:textId="77777777" w:rsidR="003608E3" w:rsidRPr="00CD471C" w:rsidRDefault="003608E3" w:rsidP="00D73ED4">
      <w:pPr>
        <w:pStyle w:val="SubmissionNormal"/>
        <w:numPr>
          <w:ilvl w:val="1"/>
          <w:numId w:val="21"/>
        </w:numPr>
        <w:spacing w:after="120"/>
        <w:ind w:left="1678" w:hanging="720"/>
        <w:rPr>
          <w:rFonts w:cs="Open Sans"/>
          <w:sz w:val="22"/>
          <w:szCs w:val="22"/>
        </w:rPr>
      </w:pPr>
      <w:r w:rsidRPr="00CD471C">
        <w:rPr>
          <w:rFonts w:cs="Open Sans"/>
          <w:sz w:val="22"/>
          <w:szCs w:val="22"/>
        </w:rPr>
        <w:t>in exercising its responsibility to allocate accommodation:</w:t>
      </w:r>
    </w:p>
    <w:p w14:paraId="045DABB2" w14:textId="77777777" w:rsidR="003608E3" w:rsidRPr="00CD471C" w:rsidRDefault="003608E3" w:rsidP="00D73ED4">
      <w:pPr>
        <w:numPr>
          <w:ilvl w:val="3"/>
          <w:numId w:val="27"/>
        </w:numPr>
        <w:spacing w:after="120"/>
        <w:rPr>
          <w:rFonts w:cs="Open Sans"/>
        </w:rPr>
      </w:pPr>
      <w:r w:rsidRPr="00CD471C">
        <w:rPr>
          <w:rFonts w:cs="Open Sans"/>
        </w:rPr>
        <w:t>take into consideration the individual welfare, cultural, family and security related needs and circumstances of the detainee and requests of the detainee</w:t>
      </w:r>
      <w:r>
        <w:rPr>
          <w:rStyle w:val="EndnoteReference"/>
        </w:rPr>
        <w:endnoteReference w:id="34"/>
      </w:r>
    </w:p>
    <w:p w14:paraId="189083DD" w14:textId="77777777" w:rsidR="003608E3" w:rsidRPr="00CD471C" w:rsidRDefault="003608E3" w:rsidP="00D73ED4">
      <w:pPr>
        <w:numPr>
          <w:ilvl w:val="3"/>
          <w:numId w:val="27"/>
        </w:numPr>
        <w:spacing w:after="120"/>
        <w:rPr>
          <w:rFonts w:cs="Open Sans"/>
        </w:rPr>
      </w:pPr>
      <w:r w:rsidRPr="00CD471C">
        <w:rPr>
          <w:rFonts w:cs="Open Sans"/>
        </w:rPr>
        <w:t>participate in reviews and notify the Department where it believes that an existing placement is inappropriate for a detainee, including where it believes the Detainee should be moved within the existing Facility or should be transferred to another Facility</w:t>
      </w:r>
      <w:r w:rsidRPr="00544952">
        <w:rPr>
          <w:rFonts w:cs="Open Sans"/>
          <w:sz w:val="20"/>
          <w:szCs w:val="20"/>
          <w:vertAlign w:val="superscript"/>
        </w:rPr>
        <w:endnoteReference w:id="35"/>
      </w:r>
      <w:r w:rsidRPr="00AF7326">
        <w:rPr>
          <w:rFonts w:cs="Open Sans"/>
          <w:sz w:val="20"/>
          <w:szCs w:val="20"/>
          <w:vertAlign w:val="superscript"/>
        </w:rPr>
        <w:t xml:space="preserve"> </w:t>
      </w:r>
    </w:p>
    <w:p w14:paraId="7B1F7199" w14:textId="77777777" w:rsidR="003608E3" w:rsidRPr="00CD471C" w:rsidRDefault="003608E3" w:rsidP="00D73ED4">
      <w:pPr>
        <w:pStyle w:val="SubmissionNormal"/>
        <w:numPr>
          <w:ilvl w:val="1"/>
          <w:numId w:val="21"/>
        </w:numPr>
        <w:spacing w:after="120"/>
        <w:ind w:left="1397" w:hanging="432"/>
        <w:rPr>
          <w:rFonts w:cs="Open Sans"/>
          <w:sz w:val="22"/>
          <w:szCs w:val="22"/>
        </w:rPr>
      </w:pPr>
      <w:r w:rsidRPr="00CD471C">
        <w:rPr>
          <w:rFonts w:cs="Open Sans"/>
          <w:sz w:val="22"/>
          <w:szCs w:val="22"/>
        </w:rPr>
        <w:t>immediately report to the Department any concerns that it may have</w:t>
      </w:r>
      <w:r>
        <w:rPr>
          <w:rFonts w:cs="Open Sans"/>
          <w:sz w:val="22"/>
          <w:szCs w:val="22"/>
        </w:rPr>
        <w:t xml:space="preserve"> </w:t>
      </w:r>
      <w:r w:rsidRPr="00CD471C">
        <w:rPr>
          <w:rFonts w:cs="Open Sans"/>
          <w:sz w:val="22"/>
          <w:szCs w:val="22"/>
        </w:rPr>
        <w:t>regarding a Detainee’s safety and security</w:t>
      </w:r>
      <w:r w:rsidRPr="00AF7326">
        <w:rPr>
          <w:rStyle w:val="EndnoteReference"/>
          <w:rFonts w:cs="Open Sans"/>
          <w:szCs w:val="20"/>
        </w:rPr>
        <w:endnoteReference w:id="36"/>
      </w:r>
    </w:p>
    <w:p w14:paraId="00560341" w14:textId="77777777" w:rsidR="003608E3" w:rsidRPr="00CD471C" w:rsidRDefault="003608E3" w:rsidP="00D73ED4">
      <w:pPr>
        <w:pStyle w:val="SubmissionNormal"/>
        <w:numPr>
          <w:ilvl w:val="1"/>
          <w:numId w:val="21"/>
        </w:numPr>
        <w:spacing w:after="120"/>
        <w:ind w:left="1678" w:hanging="720"/>
        <w:rPr>
          <w:rFonts w:cs="Open Sans"/>
          <w:sz w:val="22"/>
          <w:szCs w:val="22"/>
        </w:rPr>
      </w:pPr>
      <w:r w:rsidRPr="00CD471C">
        <w:rPr>
          <w:rFonts w:cs="Open Sans"/>
          <w:sz w:val="22"/>
          <w:szCs w:val="22"/>
        </w:rPr>
        <w:t>establish processes to:</w:t>
      </w:r>
    </w:p>
    <w:p w14:paraId="7EC79413" w14:textId="77777777" w:rsidR="003608E3" w:rsidRPr="00CD471C" w:rsidRDefault="003608E3" w:rsidP="00D73ED4">
      <w:pPr>
        <w:numPr>
          <w:ilvl w:val="3"/>
          <w:numId w:val="28"/>
        </w:numPr>
        <w:spacing w:after="120"/>
        <w:rPr>
          <w:rFonts w:cs="Open Sans"/>
        </w:rPr>
      </w:pPr>
      <w:r w:rsidRPr="00CD471C">
        <w:rPr>
          <w:rFonts w:cs="Open Sans"/>
        </w:rPr>
        <w:t>promote the welfare of Detainees and create a safe and secure environment at each Facility</w:t>
      </w:r>
      <w:r w:rsidRPr="00AF7326">
        <w:rPr>
          <w:rFonts w:cs="Open Sans"/>
          <w:sz w:val="20"/>
          <w:szCs w:val="20"/>
          <w:vertAlign w:val="superscript"/>
        </w:rPr>
        <w:endnoteReference w:id="37"/>
      </w:r>
    </w:p>
    <w:p w14:paraId="49889756" w14:textId="77777777" w:rsidR="003608E3" w:rsidRPr="00CD471C" w:rsidRDefault="003608E3" w:rsidP="00D73ED4">
      <w:pPr>
        <w:numPr>
          <w:ilvl w:val="3"/>
          <w:numId w:val="28"/>
        </w:numPr>
        <w:spacing w:after="120"/>
        <w:rPr>
          <w:rFonts w:cs="Open Sans"/>
        </w:rPr>
      </w:pPr>
      <w:r w:rsidRPr="00CD471C">
        <w:rPr>
          <w:rFonts w:cs="Open Sans"/>
        </w:rPr>
        <w:t>prevent detainees being subjected to illegal, anti-social or disruptive behaviour by detecting and managing those behaviours in other detainees</w:t>
      </w:r>
      <w:r w:rsidRPr="00AF7326">
        <w:rPr>
          <w:rFonts w:cs="Open Sans"/>
          <w:sz w:val="20"/>
          <w:szCs w:val="20"/>
          <w:vertAlign w:val="superscript"/>
        </w:rPr>
        <w:endnoteReference w:id="38"/>
      </w:r>
    </w:p>
    <w:p w14:paraId="18229ED4" w14:textId="77777777" w:rsidR="003608E3" w:rsidRPr="00CD471C" w:rsidRDefault="003608E3" w:rsidP="00D73ED4">
      <w:pPr>
        <w:numPr>
          <w:ilvl w:val="3"/>
          <w:numId w:val="29"/>
        </w:numPr>
        <w:spacing w:after="120"/>
        <w:rPr>
          <w:rFonts w:cs="Open Sans"/>
        </w:rPr>
      </w:pPr>
      <w:r w:rsidRPr="00CD471C">
        <w:rPr>
          <w:rFonts w:cs="Open Sans"/>
        </w:rPr>
        <w:t>manage and defuse tensions and conflicts before they become serious or violent</w:t>
      </w:r>
      <w:r w:rsidRPr="00AF7326">
        <w:rPr>
          <w:rFonts w:cs="Open Sans"/>
          <w:sz w:val="20"/>
          <w:szCs w:val="20"/>
          <w:vertAlign w:val="superscript"/>
        </w:rPr>
        <w:endnoteReference w:id="39"/>
      </w:r>
    </w:p>
    <w:p w14:paraId="0333E3AA" w14:textId="77777777" w:rsidR="003608E3" w:rsidRPr="00CD471C" w:rsidRDefault="003608E3" w:rsidP="00D73ED4">
      <w:pPr>
        <w:numPr>
          <w:ilvl w:val="3"/>
          <w:numId w:val="29"/>
        </w:numPr>
        <w:spacing w:after="120"/>
        <w:rPr>
          <w:rFonts w:cs="Open Sans"/>
        </w:rPr>
      </w:pPr>
      <w:r w:rsidRPr="00CD471C">
        <w:rPr>
          <w:rFonts w:cs="Open Sans"/>
        </w:rPr>
        <w:t>identify if a detainee is emotionally distressed or at risk of self-harm or harm to others, ensuring the system accounts for advice from the Detention Health Services Provider and includes risk identification and mitigation strategies</w:t>
      </w:r>
      <w:r>
        <w:rPr>
          <w:rFonts w:cs="Open Sans"/>
        </w:rPr>
        <w:t>.</w:t>
      </w:r>
      <w:r w:rsidRPr="00AF7326">
        <w:rPr>
          <w:rFonts w:cs="Open Sans"/>
          <w:sz w:val="20"/>
          <w:szCs w:val="20"/>
          <w:vertAlign w:val="superscript"/>
        </w:rPr>
        <w:endnoteReference w:id="40"/>
      </w:r>
    </w:p>
    <w:p w14:paraId="78B1B085" w14:textId="77777777" w:rsidR="003608E3" w:rsidRPr="002A67B5" w:rsidRDefault="003608E3" w:rsidP="00133F66">
      <w:pPr>
        <w:keepNext/>
        <w:numPr>
          <w:ilvl w:val="0"/>
          <w:numId w:val="20"/>
        </w:numPr>
        <w:tabs>
          <w:tab w:val="num" w:pos="960"/>
        </w:tabs>
        <w:spacing w:after="0"/>
        <w:ind w:left="720" w:hanging="720"/>
        <w:rPr>
          <w:rFonts w:cs="Open Sans"/>
        </w:rPr>
      </w:pPr>
      <w:r w:rsidRPr="5B174204">
        <w:rPr>
          <w:rFonts w:cs="Open Sans"/>
        </w:rPr>
        <w:lastRenderedPageBreak/>
        <w:t xml:space="preserve">In relation to the use of force, the Contract provides that: </w:t>
      </w:r>
    </w:p>
    <w:p w14:paraId="53CDCE43" w14:textId="77777777" w:rsidR="003608E3" w:rsidRPr="0056467D" w:rsidRDefault="003608E3" w:rsidP="00133F66">
      <w:pPr>
        <w:pStyle w:val="SubmissionNormal"/>
        <w:keepNext/>
        <w:numPr>
          <w:ilvl w:val="0"/>
          <w:numId w:val="0"/>
        </w:numPr>
        <w:ind w:left="720" w:firstLine="720"/>
        <w:rPr>
          <w:rFonts w:cs="Open Sans"/>
          <w:sz w:val="22"/>
        </w:rPr>
      </w:pPr>
      <w:r w:rsidRPr="0056467D">
        <w:rPr>
          <w:rFonts w:cs="Open Sans"/>
          <w:sz w:val="22"/>
        </w:rPr>
        <w:t>(a)</w:t>
      </w:r>
      <w:r w:rsidRPr="0056467D">
        <w:rPr>
          <w:rFonts w:cs="Open Sans"/>
          <w:sz w:val="22"/>
        </w:rPr>
        <w:tab/>
        <w:t>The Service provider must:</w:t>
      </w:r>
    </w:p>
    <w:p w14:paraId="196EB922" w14:textId="77777777" w:rsidR="003608E3" w:rsidRPr="0056467D" w:rsidRDefault="003608E3" w:rsidP="003608E3">
      <w:pPr>
        <w:pStyle w:val="SubmissionNormal"/>
        <w:numPr>
          <w:ilvl w:val="0"/>
          <w:numId w:val="0"/>
        </w:numPr>
        <w:ind w:left="2880" w:hanging="720"/>
        <w:rPr>
          <w:rFonts w:cs="Open Sans"/>
          <w:sz w:val="22"/>
        </w:rPr>
      </w:pPr>
      <w:r w:rsidRPr="0056467D">
        <w:rPr>
          <w:rFonts w:cs="Open Sans"/>
          <w:sz w:val="22"/>
        </w:rPr>
        <w:t>(</w:t>
      </w:r>
      <w:proofErr w:type="spellStart"/>
      <w:r w:rsidRPr="0056467D">
        <w:rPr>
          <w:rFonts w:cs="Open Sans"/>
          <w:sz w:val="22"/>
        </w:rPr>
        <w:t>i</w:t>
      </w:r>
      <w:proofErr w:type="spellEnd"/>
      <w:r w:rsidRPr="0056467D">
        <w:rPr>
          <w:rFonts w:cs="Open Sans"/>
          <w:sz w:val="22"/>
        </w:rPr>
        <w:t>)</w:t>
      </w:r>
      <w:r w:rsidRPr="0056467D">
        <w:rPr>
          <w:rFonts w:cs="Open Sans"/>
          <w:sz w:val="22"/>
        </w:rPr>
        <w:tab/>
        <w:t>ensure that force is not used unless as a measure of last resort when all other methods have failed or have been assessed as inadequate, and then only with the reasonable level of force necessary to resolve the situation in accordance with directions given by the Department;</w:t>
      </w:r>
    </w:p>
    <w:p w14:paraId="47C10A31" w14:textId="77777777" w:rsidR="003608E3" w:rsidRPr="0056467D" w:rsidRDefault="003608E3" w:rsidP="003608E3">
      <w:pPr>
        <w:pStyle w:val="SubmissionNormal"/>
        <w:numPr>
          <w:ilvl w:val="0"/>
          <w:numId w:val="0"/>
        </w:numPr>
        <w:ind w:left="2880" w:hanging="720"/>
        <w:rPr>
          <w:rFonts w:cs="Open Sans"/>
          <w:sz w:val="22"/>
        </w:rPr>
      </w:pPr>
      <w:r w:rsidRPr="0056467D">
        <w:rPr>
          <w:rFonts w:cs="Open Sans"/>
          <w:sz w:val="22"/>
        </w:rPr>
        <w:t>(ii)</w:t>
      </w:r>
      <w:r w:rsidRPr="0056467D">
        <w:rPr>
          <w:rFonts w:cs="Open Sans"/>
          <w:sz w:val="22"/>
        </w:rPr>
        <w:tab/>
        <w:t>ensure that, whenever force is used on Detainees that are frail, elderly or Minors, Service Provider Personnel take all reasonable precautionary measures to ensure the safety of the Detainee that are appropriate to the circumstances of that Detainee;</w:t>
      </w:r>
    </w:p>
    <w:p w14:paraId="53B0E685" w14:textId="77777777" w:rsidR="003608E3" w:rsidRPr="0056467D" w:rsidRDefault="003608E3" w:rsidP="003608E3">
      <w:pPr>
        <w:pStyle w:val="SubmissionNormal"/>
        <w:numPr>
          <w:ilvl w:val="0"/>
          <w:numId w:val="0"/>
        </w:numPr>
        <w:ind w:left="2880" w:hanging="720"/>
        <w:rPr>
          <w:rFonts w:cs="Open Sans"/>
          <w:sz w:val="22"/>
        </w:rPr>
      </w:pPr>
      <w:r w:rsidRPr="0056467D">
        <w:rPr>
          <w:rFonts w:cs="Open Sans"/>
          <w:sz w:val="22"/>
        </w:rPr>
        <w:t>(iii)</w:t>
      </w:r>
      <w:r w:rsidRPr="0056467D">
        <w:rPr>
          <w:rFonts w:cs="Open Sans"/>
          <w:sz w:val="22"/>
        </w:rPr>
        <w:tab/>
        <w:t>ensure that Service Provider Personnel who use force are trained and accredited in the use of force in accordance with applicable law;</w:t>
      </w:r>
    </w:p>
    <w:p w14:paraId="44886BA9" w14:textId="77777777" w:rsidR="003608E3" w:rsidRPr="0056467D" w:rsidRDefault="003608E3" w:rsidP="003608E3">
      <w:pPr>
        <w:pStyle w:val="SubmissionNormal"/>
        <w:numPr>
          <w:ilvl w:val="0"/>
          <w:numId w:val="0"/>
        </w:numPr>
        <w:ind w:left="2880" w:hanging="720"/>
        <w:rPr>
          <w:rFonts w:cs="Open Sans"/>
          <w:sz w:val="22"/>
        </w:rPr>
      </w:pPr>
      <w:r w:rsidRPr="0056467D">
        <w:rPr>
          <w:rFonts w:cs="Open Sans"/>
          <w:sz w:val="22"/>
        </w:rPr>
        <w:t>(iv)</w:t>
      </w:r>
      <w:r w:rsidRPr="0056467D">
        <w:rPr>
          <w:rFonts w:cs="Open Sans"/>
          <w:sz w:val="22"/>
        </w:rPr>
        <w:tab/>
        <w:t>monitor and control the use of force in each Facility; and</w:t>
      </w:r>
    </w:p>
    <w:p w14:paraId="40970916" w14:textId="77777777" w:rsidR="003608E3" w:rsidRPr="0056467D" w:rsidRDefault="003608E3" w:rsidP="003608E3">
      <w:pPr>
        <w:pStyle w:val="SubmissionNormal"/>
        <w:numPr>
          <w:ilvl w:val="0"/>
          <w:numId w:val="0"/>
        </w:numPr>
        <w:ind w:left="2880" w:hanging="720"/>
        <w:rPr>
          <w:rFonts w:cs="Open Sans"/>
          <w:sz w:val="22"/>
        </w:rPr>
      </w:pPr>
      <w:r w:rsidRPr="0056467D">
        <w:rPr>
          <w:rFonts w:cs="Open Sans"/>
          <w:sz w:val="22"/>
        </w:rPr>
        <w:t>(v)</w:t>
      </w:r>
      <w:r w:rsidRPr="0056467D">
        <w:rPr>
          <w:rFonts w:cs="Open Sans"/>
          <w:sz w:val="22"/>
        </w:rPr>
        <w:tab/>
        <w:t>ensure that Service Provider Personnel apply the use of force in accordance with applicable law.</w:t>
      </w:r>
    </w:p>
    <w:p w14:paraId="7D4470E6" w14:textId="77777777" w:rsidR="003608E3" w:rsidRPr="0056467D" w:rsidRDefault="003608E3" w:rsidP="003608E3">
      <w:pPr>
        <w:pStyle w:val="SubmissionNormal"/>
        <w:numPr>
          <w:ilvl w:val="0"/>
          <w:numId w:val="0"/>
        </w:numPr>
        <w:ind w:left="2160" w:hanging="720"/>
        <w:rPr>
          <w:rFonts w:cs="Open Sans"/>
          <w:sz w:val="22"/>
        </w:rPr>
      </w:pPr>
      <w:r w:rsidRPr="0056467D">
        <w:rPr>
          <w:rFonts w:cs="Open Sans"/>
          <w:sz w:val="22"/>
        </w:rPr>
        <w:t>(b)</w:t>
      </w:r>
      <w:r w:rsidRPr="0056467D">
        <w:rPr>
          <w:rFonts w:cs="Open Sans"/>
          <w:sz w:val="22"/>
        </w:rPr>
        <w:tab/>
        <w:t>When the use of force is planned by the Service provider, the Service Provider must:</w:t>
      </w:r>
    </w:p>
    <w:p w14:paraId="45AC1493" w14:textId="77777777" w:rsidR="003608E3" w:rsidRPr="0056467D" w:rsidRDefault="003608E3" w:rsidP="003608E3">
      <w:pPr>
        <w:pStyle w:val="SubmissionNormal"/>
        <w:numPr>
          <w:ilvl w:val="0"/>
          <w:numId w:val="0"/>
        </w:numPr>
        <w:ind w:left="2880" w:hanging="720"/>
        <w:rPr>
          <w:rFonts w:cs="Open Sans"/>
          <w:sz w:val="22"/>
        </w:rPr>
      </w:pPr>
      <w:r w:rsidRPr="0056467D">
        <w:rPr>
          <w:rFonts w:cs="Open Sans"/>
          <w:sz w:val="22"/>
        </w:rPr>
        <w:t>(</w:t>
      </w:r>
      <w:proofErr w:type="spellStart"/>
      <w:r w:rsidRPr="0056467D">
        <w:rPr>
          <w:rFonts w:cs="Open Sans"/>
          <w:sz w:val="22"/>
        </w:rPr>
        <w:t>i</w:t>
      </w:r>
      <w:proofErr w:type="spellEnd"/>
      <w:r w:rsidRPr="0056467D">
        <w:rPr>
          <w:rFonts w:cs="Open Sans"/>
          <w:sz w:val="22"/>
        </w:rPr>
        <w:t>)</w:t>
      </w:r>
      <w:r w:rsidRPr="0056467D">
        <w:rPr>
          <w:rFonts w:cs="Open Sans"/>
          <w:sz w:val="22"/>
        </w:rPr>
        <w:tab/>
        <w:t>consult with the Detention Health Services Provider prior to using any planned use of force against a Detainee to ensure that no medical reasons preclude the use of force against the relevant Detainee; and</w:t>
      </w:r>
    </w:p>
    <w:p w14:paraId="759E3054" w14:textId="77777777" w:rsidR="003608E3" w:rsidRPr="0056467D" w:rsidRDefault="003608E3" w:rsidP="003608E3">
      <w:pPr>
        <w:pStyle w:val="SubmissionNormal"/>
        <w:numPr>
          <w:ilvl w:val="0"/>
          <w:numId w:val="0"/>
        </w:numPr>
        <w:ind w:left="2880" w:hanging="720"/>
        <w:rPr>
          <w:rFonts w:cs="Open Sans"/>
          <w:sz w:val="22"/>
        </w:rPr>
      </w:pPr>
      <w:r w:rsidRPr="4C239322">
        <w:rPr>
          <w:rFonts w:cs="Open Sans"/>
          <w:sz w:val="22"/>
          <w:szCs w:val="22"/>
        </w:rPr>
        <w:t>(ii)</w:t>
      </w:r>
      <w:r w:rsidRPr="0056467D">
        <w:rPr>
          <w:rFonts w:cs="Open Sans"/>
          <w:sz w:val="22"/>
        </w:rPr>
        <w:tab/>
      </w:r>
      <w:r w:rsidRPr="4C239322">
        <w:rPr>
          <w:rFonts w:cs="Open Sans"/>
          <w:sz w:val="22"/>
          <w:szCs w:val="22"/>
        </w:rPr>
        <w:t>seek the Department’s approval for that planned use of force, prior to such force being used against a Detainee.</w:t>
      </w:r>
      <w:r w:rsidRPr="0056467D">
        <w:rPr>
          <w:rStyle w:val="EndnoteReference"/>
          <w:rFonts w:cs="Open Sans"/>
        </w:rPr>
        <w:endnoteReference w:id="41"/>
      </w:r>
    </w:p>
    <w:p w14:paraId="50B0FA0E" w14:textId="77777777" w:rsidR="003608E3" w:rsidRDefault="003608E3" w:rsidP="00D73ED4">
      <w:pPr>
        <w:numPr>
          <w:ilvl w:val="0"/>
          <w:numId w:val="20"/>
        </w:numPr>
        <w:tabs>
          <w:tab w:val="num" w:pos="960"/>
        </w:tabs>
        <w:spacing w:after="0"/>
        <w:ind w:left="720" w:hanging="720"/>
        <w:rPr>
          <w:rFonts w:cs="Open Sans"/>
        </w:rPr>
      </w:pPr>
      <w:r w:rsidRPr="002A67B5">
        <w:rPr>
          <w:rFonts w:cs="Open Sans"/>
        </w:rPr>
        <w:t xml:space="preserve">When Serco has used force or instruments of restraint such as handcuffs on a detainee, it must prepare an incident report for the </w:t>
      </w:r>
      <w:r>
        <w:rPr>
          <w:rFonts w:cs="Open Sans"/>
        </w:rPr>
        <w:t>D</w:t>
      </w:r>
      <w:r w:rsidRPr="002A67B5">
        <w:rPr>
          <w:rFonts w:cs="Open Sans"/>
        </w:rPr>
        <w:t>epartment and refer the detainees to the Detention Health Services Provider for a medical examination immediately after the use of force or restraints.</w:t>
      </w:r>
      <w:r w:rsidRPr="00AF7326">
        <w:rPr>
          <w:rFonts w:cs="Open Sans"/>
          <w:sz w:val="20"/>
          <w:szCs w:val="20"/>
          <w:vertAlign w:val="superscript"/>
        </w:rPr>
        <w:endnoteReference w:id="42"/>
      </w:r>
    </w:p>
    <w:p w14:paraId="3075C886" w14:textId="77777777" w:rsidR="003608E3" w:rsidRPr="002A67B5" w:rsidRDefault="003608E3" w:rsidP="00D73ED4">
      <w:pPr>
        <w:numPr>
          <w:ilvl w:val="0"/>
          <w:numId w:val="20"/>
        </w:numPr>
        <w:tabs>
          <w:tab w:val="num" w:pos="960"/>
        </w:tabs>
        <w:spacing w:after="0"/>
        <w:ind w:left="720" w:hanging="720"/>
        <w:rPr>
          <w:rFonts w:cs="Open Sans"/>
          <w:sz w:val="28"/>
          <w:szCs w:val="28"/>
        </w:rPr>
      </w:pPr>
      <w:r w:rsidRPr="002A67B5">
        <w:rPr>
          <w:rFonts w:eastAsia="Times New Roman" w:cs="Open Sans"/>
          <w:spacing w:val="-5"/>
        </w:rPr>
        <w:t>The Department has also issued a Detention Services Manual dealing with the use of force.  The manual is a procedural instruction that gives policy and procedural guidance to Australian Border Force and Serco officers on the use of force in immigration detention facilities (IDFs). The following principles, taken from the manual, are consistent with the Commonwealth’s human rights obligations in relation to the use of force on detainees in their care:</w:t>
      </w:r>
    </w:p>
    <w:p w14:paraId="319A8390" w14:textId="77777777" w:rsidR="003608E3" w:rsidRPr="0056467D" w:rsidRDefault="003608E3" w:rsidP="00D73ED4">
      <w:pPr>
        <w:pStyle w:val="ListParagraph"/>
        <w:numPr>
          <w:ilvl w:val="1"/>
          <w:numId w:val="24"/>
        </w:numPr>
        <w:spacing w:after="120"/>
        <w:ind w:left="1434" w:hanging="357"/>
        <w:rPr>
          <w:rFonts w:eastAsia="Times New Roman" w:cs="Open Sans"/>
          <w:spacing w:val="-5"/>
        </w:rPr>
      </w:pPr>
      <w:r w:rsidRPr="0056467D">
        <w:rPr>
          <w:rFonts w:eastAsia="Times New Roman" w:cs="Open Sans"/>
          <w:b/>
          <w:bCs/>
          <w:spacing w:val="-5"/>
        </w:rPr>
        <w:lastRenderedPageBreak/>
        <w:t>there is a presumption against the use of force</w:t>
      </w:r>
      <w:r w:rsidRPr="0056467D">
        <w:rPr>
          <w:rFonts w:eastAsia="Times New Roman" w:cs="Open Sans"/>
          <w:spacing w:val="-5"/>
        </w:rPr>
        <w:t>, including restraints, during movements within an IDF, transfers between IDFs, and during transport and escort activities outside of IDFs</w:t>
      </w:r>
    </w:p>
    <w:p w14:paraId="0FB5FEB6" w14:textId="77777777" w:rsidR="003608E3" w:rsidRPr="0056467D" w:rsidRDefault="003608E3" w:rsidP="00D73ED4">
      <w:pPr>
        <w:pStyle w:val="ListParagraph"/>
        <w:numPr>
          <w:ilvl w:val="1"/>
          <w:numId w:val="24"/>
        </w:numPr>
        <w:spacing w:after="120"/>
        <w:ind w:left="1434" w:hanging="357"/>
        <w:rPr>
          <w:rFonts w:eastAsia="Times New Roman" w:cs="Open Sans"/>
          <w:spacing w:val="-5"/>
        </w:rPr>
      </w:pPr>
      <w:r w:rsidRPr="0056467D">
        <w:rPr>
          <w:rFonts w:eastAsia="Times New Roman" w:cs="Open Sans"/>
          <w:spacing w:val="-5"/>
        </w:rPr>
        <w:t xml:space="preserve">conflict resolution through </w:t>
      </w:r>
      <w:r w:rsidRPr="0056467D">
        <w:rPr>
          <w:rFonts w:eastAsia="Times New Roman" w:cs="Open Sans"/>
          <w:b/>
          <w:bCs/>
          <w:spacing w:val="-5"/>
        </w:rPr>
        <w:t>negotiation and de-escalation, where practicable, must be considered</w:t>
      </w:r>
      <w:r w:rsidRPr="0056467D">
        <w:rPr>
          <w:rFonts w:eastAsia="Times New Roman" w:cs="Open Sans"/>
          <w:spacing w:val="-5"/>
        </w:rPr>
        <w:t xml:space="preserve"> before the </w:t>
      </w:r>
      <w:proofErr w:type="spellStart"/>
      <w:r w:rsidRPr="0056467D">
        <w:rPr>
          <w:rFonts w:eastAsia="Times New Roman" w:cs="Open Sans"/>
          <w:spacing w:val="-5"/>
        </w:rPr>
        <w:t>UoF</w:t>
      </w:r>
      <w:proofErr w:type="spellEnd"/>
      <w:r w:rsidRPr="0056467D">
        <w:rPr>
          <w:rFonts w:eastAsia="Times New Roman" w:cs="Open Sans"/>
          <w:spacing w:val="-5"/>
        </w:rPr>
        <w:t xml:space="preserve"> and/or restraint is used</w:t>
      </w:r>
    </w:p>
    <w:p w14:paraId="53F945F6" w14:textId="77777777" w:rsidR="003608E3" w:rsidRPr="0056467D" w:rsidRDefault="003608E3" w:rsidP="00D73ED4">
      <w:pPr>
        <w:pStyle w:val="ListParagraph"/>
        <w:numPr>
          <w:ilvl w:val="1"/>
          <w:numId w:val="24"/>
        </w:numPr>
        <w:spacing w:after="120"/>
        <w:ind w:left="1434" w:hanging="357"/>
        <w:rPr>
          <w:rFonts w:eastAsia="Times New Roman" w:cs="Open Sans"/>
          <w:spacing w:val="-5"/>
        </w:rPr>
      </w:pPr>
      <w:proofErr w:type="spellStart"/>
      <w:r w:rsidRPr="0056467D">
        <w:rPr>
          <w:rFonts w:eastAsia="Times New Roman" w:cs="Open Sans"/>
          <w:spacing w:val="-5"/>
        </w:rPr>
        <w:t>UoF</w:t>
      </w:r>
      <w:proofErr w:type="spellEnd"/>
      <w:r w:rsidRPr="0056467D">
        <w:rPr>
          <w:rFonts w:eastAsia="Times New Roman" w:cs="Open Sans"/>
          <w:spacing w:val="-5"/>
        </w:rPr>
        <w:t xml:space="preserve"> and/or restraint should </w:t>
      </w:r>
      <w:r w:rsidRPr="0056467D">
        <w:rPr>
          <w:rFonts w:eastAsia="Times New Roman" w:cs="Open Sans"/>
          <w:b/>
          <w:bCs/>
          <w:spacing w:val="-5"/>
        </w:rPr>
        <w:t>only be used as a last resort</w:t>
      </w:r>
    </w:p>
    <w:p w14:paraId="1CFDD0E6" w14:textId="77777777" w:rsidR="003608E3" w:rsidRPr="0056467D" w:rsidRDefault="003608E3" w:rsidP="00D73ED4">
      <w:pPr>
        <w:pStyle w:val="ListParagraph"/>
        <w:numPr>
          <w:ilvl w:val="1"/>
          <w:numId w:val="24"/>
        </w:numPr>
        <w:spacing w:after="120"/>
        <w:ind w:left="1434" w:hanging="357"/>
        <w:rPr>
          <w:rFonts w:eastAsia="Times New Roman" w:cs="Open Sans"/>
          <w:spacing w:val="-5"/>
        </w:rPr>
      </w:pPr>
      <w:r w:rsidRPr="0056467D">
        <w:rPr>
          <w:rFonts w:eastAsia="Times New Roman" w:cs="Open Sans"/>
          <w:spacing w:val="-5"/>
        </w:rPr>
        <w:t xml:space="preserve">the amount of force used and the application of restraints </w:t>
      </w:r>
      <w:r w:rsidRPr="0056467D">
        <w:rPr>
          <w:rFonts w:eastAsia="Times New Roman" w:cs="Open Sans"/>
          <w:b/>
          <w:bCs/>
          <w:spacing w:val="-5"/>
        </w:rPr>
        <w:t>must be reasonable</w:t>
      </w:r>
      <w:r w:rsidRPr="0056467D">
        <w:rPr>
          <w:rFonts w:eastAsia="Times New Roman" w:cs="Open Sans"/>
          <w:spacing w:val="-5"/>
        </w:rPr>
        <w:t>.</w:t>
      </w:r>
      <w:r w:rsidRPr="0056467D">
        <w:rPr>
          <w:rStyle w:val="EndnoteReference"/>
          <w:rFonts w:eastAsia="Times New Roman" w:cs="Open Sans"/>
          <w:spacing w:val="-5"/>
        </w:rPr>
        <w:endnoteReference w:id="43"/>
      </w:r>
    </w:p>
    <w:p w14:paraId="5043DBEC" w14:textId="77777777" w:rsidR="003608E3" w:rsidRPr="006C6EB6" w:rsidRDefault="003608E3" w:rsidP="003608E3">
      <w:pPr>
        <w:ind w:left="1080"/>
        <w:rPr>
          <w:rFonts w:eastAsia="Times New Roman" w:cs="Open Sans"/>
          <w:spacing w:val="-5"/>
        </w:rPr>
      </w:pPr>
      <w:r w:rsidRPr="0056467D">
        <w:rPr>
          <w:rFonts w:eastAsia="Times New Roman" w:cs="Open Sans"/>
          <w:spacing w:val="-5"/>
        </w:rPr>
        <w:t>[emphasis in original]</w:t>
      </w:r>
    </w:p>
    <w:p w14:paraId="5658DACE" w14:textId="77777777" w:rsidR="003608E3" w:rsidRPr="0056467D" w:rsidRDefault="003608E3" w:rsidP="00D73ED4">
      <w:pPr>
        <w:pStyle w:val="ListLevel1"/>
        <w:numPr>
          <w:ilvl w:val="0"/>
          <w:numId w:val="20"/>
        </w:numPr>
        <w:ind w:left="720" w:hanging="720"/>
      </w:pPr>
      <w:r w:rsidRPr="0056467D">
        <w:t xml:space="preserve">As described in the </w:t>
      </w:r>
      <w:r>
        <w:t>D</w:t>
      </w:r>
      <w:r w:rsidRPr="0056467D">
        <w:t xml:space="preserve">epartment’s Detention Services Manual, both the </w:t>
      </w:r>
      <w:r>
        <w:t>D</w:t>
      </w:r>
      <w:r w:rsidRPr="0056467D">
        <w:t>epartment and ‘facilities detention service providers (FDSPs)’ such as Serco owe a duty of care to all persons in all types of held immigration detention. This means that they are legally obliged to exercise reasonable care to prevent detainees from suffering reasonably foreseeable harm.</w:t>
      </w:r>
      <w:r w:rsidRPr="0056467D">
        <w:rPr>
          <w:rStyle w:val="EndnoteReference"/>
        </w:rPr>
        <w:endnoteReference w:id="44"/>
      </w:r>
      <w:r w:rsidRPr="0056467D">
        <w:t xml:space="preserve">  The </w:t>
      </w:r>
      <w:r>
        <w:t>D</w:t>
      </w:r>
      <w:r w:rsidRPr="0056467D">
        <w:t>epartment’s duty of care is non-delegable, which means that it cannot be delegated or transferred to anyone else.</w:t>
      </w:r>
      <w:r w:rsidRPr="0056467D">
        <w:rPr>
          <w:rStyle w:val="EndnoteReference"/>
        </w:rPr>
        <w:endnoteReference w:id="45"/>
      </w:r>
      <w:r w:rsidRPr="0056467D">
        <w:t xml:space="preserve">  </w:t>
      </w:r>
    </w:p>
    <w:p w14:paraId="29CEE428" w14:textId="77777777" w:rsidR="003608E3" w:rsidRPr="0056467D" w:rsidRDefault="003608E3" w:rsidP="00D73ED4">
      <w:pPr>
        <w:pStyle w:val="SubmissionNormal"/>
        <w:numPr>
          <w:ilvl w:val="0"/>
          <w:numId w:val="20"/>
        </w:numPr>
        <w:spacing w:after="0"/>
        <w:ind w:left="720" w:hanging="720"/>
        <w:rPr>
          <w:rFonts w:cs="Open Sans"/>
        </w:rPr>
      </w:pPr>
      <w:r w:rsidRPr="0056467D">
        <w:rPr>
          <w:rFonts w:cs="Open Sans"/>
        </w:rPr>
        <w:t xml:space="preserve">When the </w:t>
      </w:r>
      <w:r>
        <w:rPr>
          <w:rFonts w:cs="Open Sans"/>
        </w:rPr>
        <w:t>D</w:t>
      </w:r>
      <w:r w:rsidRPr="0056467D">
        <w:rPr>
          <w:rFonts w:cs="Open Sans"/>
        </w:rPr>
        <w:t xml:space="preserve">epartment contracts out the provision of services to people in held detention to third parties, the </w:t>
      </w:r>
      <w:r>
        <w:rPr>
          <w:rFonts w:cs="Open Sans"/>
        </w:rPr>
        <w:t>D</w:t>
      </w:r>
      <w:r w:rsidRPr="0056467D">
        <w:rPr>
          <w:rFonts w:cs="Open Sans"/>
        </w:rPr>
        <w:t xml:space="preserve">epartment has a responsibility to ensure the contracted service providers are qualified and can meet the standards outlined in the contract. While these third parties must also discharge their own duty of care obligations to a detainee in held detention, this duty is additional to, and does not substitute, the </w:t>
      </w:r>
      <w:r>
        <w:rPr>
          <w:rFonts w:cs="Open Sans"/>
        </w:rPr>
        <w:t>D</w:t>
      </w:r>
      <w:r w:rsidRPr="0056467D">
        <w:rPr>
          <w:rFonts w:cs="Open Sans"/>
        </w:rPr>
        <w:t>epartment’s duty of care responsibilities.</w:t>
      </w:r>
      <w:r w:rsidRPr="0056467D">
        <w:rPr>
          <w:rStyle w:val="EndnoteReference"/>
          <w:rFonts w:cs="Open Sans"/>
        </w:rPr>
        <w:endnoteReference w:id="46"/>
      </w:r>
    </w:p>
    <w:p w14:paraId="0113ABC6" w14:textId="77777777" w:rsidR="003608E3" w:rsidRDefault="003608E3" w:rsidP="00D73ED4">
      <w:pPr>
        <w:pStyle w:val="SubmissionNormal"/>
        <w:numPr>
          <w:ilvl w:val="0"/>
          <w:numId w:val="20"/>
        </w:numPr>
        <w:ind w:left="720" w:hanging="720"/>
        <w:rPr>
          <w:rFonts w:cs="Open Sans"/>
        </w:rPr>
      </w:pPr>
      <w:r w:rsidRPr="0056467D">
        <w:rPr>
          <w:rFonts w:cs="Open Sans"/>
        </w:rPr>
        <w:t xml:space="preserve">In addition to the </w:t>
      </w:r>
      <w:r>
        <w:rPr>
          <w:rFonts w:cs="Open Sans"/>
        </w:rPr>
        <w:t>D</w:t>
      </w:r>
      <w:r w:rsidRPr="0056467D">
        <w:rPr>
          <w:rFonts w:cs="Open Sans"/>
        </w:rPr>
        <w:t xml:space="preserve">epartment’s duty of care, the </w:t>
      </w:r>
      <w:r>
        <w:rPr>
          <w:rFonts w:cs="Open Sans"/>
        </w:rPr>
        <w:t>D</w:t>
      </w:r>
      <w:r w:rsidRPr="0056467D">
        <w:rPr>
          <w:rFonts w:cs="Open Sans"/>
        </w:rPr>
        <w:t>epartment recognises that international human rights standards can inform the standard of care a detainee is to receive while detained in an immigration detention facility.</w:t>
      </w:r>
      <w:r w:rsidRPr="0056467D">
        <w:rPr>
          <w:rStyle w:val="EndnoteReference"/>
          <w:rFonts w:cs="Open Sans"/>
        </w:rPr>
        <w:endnoteReference w:id="47"/>
      </w:r>
      <w:r w:rsidRPr="0056467D">
        <w:rPr>
          <w:rFonts w:cs="Open Sans"/>
        </w:rPr>
        <w:t xml:space="preserve"> As noted above, these international standards require that detainees are treated fairly and reasonably within the law and that conditions of immigration detention ensure the inherent dignity of the human person.</w:t>
      </w:r>
    </w:p>
    <w:p w14:paraId="6AB18B37" w14:textId="77777777" w:rsidR="003608E3" w:rsidRDefault="003608E3" w:rsidP="00D73ED4">
      <w:pPr>
        <w:pStyle w:val="SubmissionNormal"/>
        <w:numPr>
          <w:ilvl w:val="0"/>
          <w:numId w:val="20"/>
        </w:numPr>
        <w:ind w:left="720" w:hanging="720"/>
        <w:rPr>
          <w:rFonts w:cs="Open Sans"/>
        </w:rPr>
      </w:pPr>
      <w:r>
        <w:rPr>
          <w:rFonts w:cs="Open Sans"/>
        </w:rPr>
        <w:t>The Department has also provided an</w:t>
      </w:r>
      <w:r w:rsidRPr="6A1BCD64">
        <w:rPr>
          <w:rFonts w:cs="Open Sans"/>
        </w:rPr>
        <w:t xml:space="preserve"> IHMS Practice Guideline in relation to Severe Behavioural Disturbances, which sets out the general principles regarding sedation. The guideline states that sedation is used as a clinical intervention of last resort after all other options have been considered and trialled. It further states that parenteral sedation (as opposed to oral </w:t>
      </w:r>
      <w:r w:rsidRPr="6A1BCD64">
        <w:rPr>
          <w:rFonts w:cs="Open Sans"/>
        </w:rPr>
        <w:lastRenderedPageBreak/>
        <w:t>sedation) is only to be used in extreme circumstances and is ‘likely to result in subsequent urgent transfer to hospital for assessment and treatment’.</w:t>
      </w:r>
      <w:r>
        <w:rPr>
          <w:rStyle w:val="EndnoteReference"/>
        </w:rPr>
        <w:endnoteReference w:id="48"/>
      </w:r>
    </w:p>
    <w:p w14:paraId="3836B757" w14:textId="6CFE71AD" w:rsidR="003608E3" w:rsidRPr="001F1059" w:rsidRDefault="003608E3" w:rsidP="003608E3">
      <w:pPr>
        <w:pStyle w:val="AHRCHeading2"/>
      </w:pPr>
      <w:bookmarkStart w:id="53" w:name="_Toc149564191"/>
      <w:bookmarkStart w:id="54" w:name="_Toc154064233"/>
      <w:bookmarkEnd w:id="49"/>
      <w:r w:rsidRPr="001F1059">
        <w:t>Arbitrary interference with family</w:t>
      </w:r>
      <w:bookmarkEnd w:id="53"/>
      <w:bookmarkEnd w:id="54"/>
    </w:p>
    <w:p w14:paraId="26245B4D" w14:textId="77777777" w:rsidR="003608E3" w:rsidRPr="0056467D" w:rsidRDefault="003608E3" w:rsidP="00D73ED4">
      <w:pPr>
        <w:pStyle w:val="ListLevel1"/>
        <w:numPr>
          <w:ilvl w:val="0"/>
          <w:numId w:val="20"/>
        </w:numPr>
        <w:ind w:left="720" w:hanging="720"/>
      </w:pPr>
      <w:r>
        <w:t>Article 17(1) of the ICCPR provides:</w:t>
      </w:r>
    </w:p>
    <w:p w14:paraId="5BCF5284" w14:textId="77777777" w:rsidR="003608E3" w:rsidRPr="00BD3CE0" w:rsidRDefault="003608E3" w:rsidP="00261556">
      <w:pPr>
        <w:pStyle w:val="Blockquote"/>
        <w:rPr>
          <w:i/>
          <w:iCs/>
        </w:rPr>
      </w:pPr>
      <w:r w:rsidRPr="00BD3CE0">
        <w:t>No one shall be subjected to arbitrary or unlawful interference with his privacy, family, home or correspondence, nor to unlawful attacks on his honour and reputation.</w:t>
      </w:r>
    </w:p>
    <w:p w14:paraId="3B9D7EF9" w14:textId="77777777" w:rsidR="003608E3" w:rsidRPr="0056467D" w:rsidRDefault="003608E3" w:rsidP="00D73ED4">
      <w:pPr>
        <w:pStyle w:val="ListLevel1"/>
        <w:numPr>
          <w:ilvl w:val="0"/>
          <w:numId w:val="20"/>
        </w:numPr>
        <w:ind w:left="720" w:hanging="720"/>
      </w:pPr>
      <w:r>
        <w:t>Article 23(1) of the ICCPR provides:</w:t>
      </w:r>
    </w:p>
    <w:p w14:paraId="241CFB50" w14:textId="77777777" w:rsidR="003608E3" w:rsidRPr="0056467D" w:rsidRDefault="003608E3" w:rsidP="00261556">
      <w:pPr>
        <w:pStyle w:val="Blockquote"/>
      </w:pPr>
      <w:r w:rsidRPr="00810811">
        <w:t>The family is the natural and fundamental group unit of society and is entitled to protection by society and the State</w:t>
      </w:r>
      <w:r w:rsidRPr="0056467D">
        <w:t>.</w:t>
      </w:r>
    </w:p>
    <w:p w14:paraId="06E1F246" w14:textId="77777777" w:rsidR="003608E3" w:rsidRPr="00FE578C" w:rsidRDefault="003608E3" w:rsidP="00D73ED4">
      <w:pPr>
        <w:pStyle w:val="ListLevel1"/>
        <w:keepNext/>
        <w:keepLines/>
        <w:numPr>
          <w:ilvl w:val="0"/>
          <w:numId w:val="20"/>
        </w:numPr>
        <w:spacing w:before="360"/>
        <w:ind w:left="720" w:hanging="720"/>
      </w:pPr>
      <w:r>
        <w:t xml:space="preserve">For the reasons set out in the Australian Human Rights Commission report, </w:t>
      </w:r>
      <w:r w:rsidRPr="5B174204">
        <w:rPr>
          <w:i/>
          <w:iCs/>
        </w:rPr>
        <w:t>Nguyen and Okoye v Commonwealth</w:t>
      </w:r>
      <w:r>
        <w:t xml:space="preserve"> [2007] </w:t>
      </w:r>
      <w:proofErr w:type="spellStart"/>
      <w:r>
        <w:t>AusHRC</w:t>
      </w:r>
      <w:proofErr w:type="spellEnd"/>
      <w:r>
        <w:t xml:space="preserve"> 39 at [80]–[88], the Commission is of the view that in cases alleging a State’s arbitrary interference with a person’s family, it is appropriate to assess the alleged breach under article 17(1). If an act is assessed as breaching the right not to be subjected to an arbitrary interference with a person’s family, it will usually follow that the breach is in addition to (or in conjunction with) a breach of article 23(1).</w:t>
      </w:r>
      <w:bookmarkStart w:id="55" w:name="_Toc130292421"/>
      <w:bookmarkStart w:id="56" w:name="_Toc130293153"/>
      <w:bookmarkStart w:id="57" w:name="_Toc130299513"/>
      <w:bookmarkStart w:id="58" w:name="_Toc130302702"/>
      <w:bookmarkStart w:id="59" w:name="_Toc130816813"/>
      <w:bookmarkStart w:id="60" w:name="_Toc130816840"/>
      <w:bookmarkStart w:id="61" w:name="_Toc130816873"/>
      <w:bookmarkStart w:id="62" w:name="_Toc130816906"/>
      <w:bookmarkStart w:id="63" w:name="_Toc130823653"/>
      <w:bookmarkStart w:id="64" w:name="_Toc131589906"/>
      <w:bookmarkEnd w:id="55"/>
      <w:bookmarkEnd w:id="56"/>
      <w:bookmarkEnd w:id="57"/>
      <w:bookmarkEnd w:id="58"/>
      <w:bookmarkEnd w:id="59"/>
      <w:bookmarkEnd w:id="60"/>
      <w:bookmarkEnd w:id="61"/>
      <w:bookmarkEnd w:id="62"/>
      <w:bookmarkEnd w:id="63"/>
      <w:bookmarkEnd w:id="64"/>
    </w:p>
    <w:p w14:paraId="29EF5AE5" w14:textId="53C352C4" w:rsidR="003608E3" w:rsidRPr="001F1059" w:rsidRDefault="003608E3" w:rsidP="003608E3">
      <w:pPr>
        <w:pStyle w:val="AHRCHeading1"/>
      </w:pPr>
      <w:bookmarkStart w:id="65" w:name="_Toc128652535"/>
      <w:bookmarkStart w:id="66" w:name="_Toc149564192"/>
      <w:bookmarkStart w:id="67" w:name="_Toc154064234"/>
      <w:bookmarkStart w:id="68" w:name="_Toc118105301"/>
      <w:bookmarkEnd w:id="65"/>
      <w:r>
        <w:t>Findings</w:t>
      </w:r>
      <w:bookmarkEnd w:id="66"/>
      <w:bookmarkEnd w:id="67"/>
    </w:p>
    <w:p w14:paraId="5E7EBBFC" w14:textId="356ABCE8" w:rsidR="003608E3" w:rsidRPr="00005226" w:rsidRDefault="003608E3" w:rsidP="003608E3">
      <w:pPr>
        <w:pStyle w:val="AHRCHeading2"/>
        <w:rPr>
          <w:i/>
        </w:rPr>
      </w:pPr>
      <w:bookmarkStart w:id="69" w:name="_Toc149564193"/>
      <w:bookmarkStart w:id="70" w:name="_Toc154064235"/>
      <w:bookmarkEnd w:id="68"/>
      <w:r w:rsidRPr="001F1059">
        <w:t>Use of force on 27 September 2020</w:t>
      </w:r>
      <w:bookmarkEnd w:id="69"/>
      <w:bookmarkEnd w:id="70"/>
    </w:p>
    <w:p w14:paraId="3EFEA69C" w14:textId="77777777" w:rsidR="003608E3" w:rsidRDefault="003608E3" w:rsidP="00D73ED4">
      <w:pPr>
        <w:pStyle w:val="SubmissionNormal"/>
        <w:numPr>
          <w:ilvl w:val="0"/>
          <w:numId w:val="20"/>
        </w:numPr>
        <w:ind w:left="720" w:hanging="720"/>
        <w:rPr>
          <w:rFonts w:cs="Open Sans"/>
          <w:spacing w:val="-5"/>
        </w:rPr>
      </w:pPr>
      <w:r w:rsidRPr="00AF7326">
        <w:rPr>
          <w:rFonts w:cs="Open Sans"/>
        </w:rPr>
        <w:t>Mr</w:t>
      </w:r>
      <w:r>
        <w:rPr>
          <w:rFonts w:cs="Open Sans"/>
          <w:spacing w:val="-5"/>
        </w:rPr>
        <w:t xml:space="preserve"> </w:t>
      </w:r>
      <w:r>
        <w:rPr>
          <w:rFonts w:cs="Open Sans"/>
        </w:rPr>
        <w:t>KX</w:t>
      </w:r>
      <w:r>
        <w:rPr>
          <w:rFonts w:cs="Open Sans"/>
          <w:spacing w:val="-5"/>
        </w:rPr>
        <w:t xml:space="preserve"> complains about the force used during the transfer from MITA to YHIDC on 27 September 2020.</w:t>
      </w:r>
    </w:p>
    <w:p w14:paraId="4A4A965F" w14:textId="77777777" w:rsidR="003608E3" w:rsidRDefault="003608E3" w:rsidP="00D73ED4">
      <w:pPr>
        <w:pStyle w:val="SubmissionNormal"/>
        <w:numPr>
          <w:ilvl w:val="0"/>
          <w:numId w:val="20"/>
        </w:numPr>
        <w:ind w:left="720" w:hanging="720"/>
        <w:rPr>
          <w:rFonts w:cs="Open Sans"/>
          <w:spacing w:val="-5"/>
        </w:rPr>
      </w:pPr>
      <w:r w:rsidRPr="00735175">
        <w:rPr>
          <w:rFonts w:cs="Open Sans"/>
          <w:spacing w:val="-5"/>
        </w:rPr>
        <w:t xml:space="preserve">As noted above, on 27 September 2020, considerable force was used on Mr </w:t>
      </w:r>
      <w:r>
        <w:rPr>
          <w:rFonts w:cs="Open Sans"/>
          <w:spacing w:val="-5"/>
        </w:rPr>
        <w:t xml:space="preserve">  </w:t>
      </w:r>
      <w:r>
        <w:rPr>
          <w:rFonts w:cs="Open Sans"/>
        </w:rPr>
        <w:t>KX</w:t>
      </w:r>
      <w:r w:rsidRPr="00735175">
        <w:rPr>
          <w:rFonts w:cs="Open Sans"/>
          <w:spacing w:val="-5"/>
        </w:rPr>
        <w:t xml:space="preserve"> during the transfer from MITA to YHIDC. </w:t>
      </w:r>
      <w:r>
        <w:rPr>
          <w:rFonts w:cs="Open Sans"/>
          <w:spacing w:val="-5"/>
        </w:rPr>
        <w:t xml:space="preserve">This included the planned use of force as approved by the </w:t>
      </w:r>
      <w:r w:rsidRPr="5EB1300D">
        <w:rPr>
          <w:rFonts w:cs="Open Sans"/>
        </w:rPr>
        <w:t xml:space="preserve">Australian Border Force </w:t>
      </w:r>
      <w:r>
        <w:rPr>
          <w:rFonts w:cs="Open Sans"/>
          <w:spacing w:val="-5"/>
        </w:rPr>
        <w:t xml:space="preserve">Superintendent, and the unplanned use of additional force following an escalation during transit. The force used included the prolonged use of body restraints, physical restraint and manoeuvring by multiple officers, and the administration of a chemical restraint without Mr </w:t>
      </w:r>
      <w:r>
        <w:rPr>
          <w:rFonts w:cs="Open Sans"/>
        </w:rPr>
        <w:t>KX</w:t>
      </w:r>
      <w:r>
        <w:rPr>
          <w:rFonts w:cs="Open Sans"/>
          <w:spacing w:val="-5"/>
        </w:rPr>
        <w:t xml:space="preserve">’s consent. </w:t>
      </w:r>
    </w:p>
    <w:p w14:paraId="2A77A357" w14:textId="77777777" w:rsidR="003608E3" w:rsidRDefault="003608E3" w:rsidP="00D73ED4">
      <w:pPr>
        <w:pStyle w:val="SubmissionNormal"/>
        <w:numPr>
          <w:ilvl w:val="0"/>
          <w:numId w:val="20"/>
        </w:numPr>
        <w:ind w:left="720" w:hanging="720"/>
        <w:rPr>
          <w:rFonts w:cs="Open Sans"/>
          <w:spacing w:val="-5"/>
        </w:rPr>
      </w:pPr>
      <w:r w:rsidRPr="5EB1300D">
        <w:rPr>
          <w:rFonts w:cs="Open Sans"/>
        </w:rPr>
        <w:t xml:space="preserve">The </w:t>
      </w:r>
      <w:proofErr w:type="spellStart"/>
      <w:r w:rsidRPr="5EB1300D">
        <w:rPr>
          <w:rFonts w:cs="Open Sans"/>
        </w:rPr>
        <w:t>SureLock</w:t>
      </w:r>
      <w:proofErr w:type="spellEnd"/>
      <w:r w:rsidRPr="5EB1300D">
        <w:rPr>
          <w:rFonts w:cs="Open Sans"/>
        </w:rPr>
        <w:t xml:space="preserve"> restraint system was applied at 6.20am. </w:t>
      </w:r>
      <w:r w:rsidRPr="00B129C2">
        <w:rPr>
          <w:rFonts w:cs="Open Sans"/>
          <w:spacing w:val="-5"/>
        </w:rPr>
        <w:t xml:space="preserve">The information provided by the Department does not specify when the </w:t>
      </w:r>
      <w:proofErr w:type="spellStart"/>
      <w:r w:rsidRPr="00B129C2">
        <w:rPr>
          <w:rFonts w:cs="Open Sans"/>
          <w:spacing w:val="-5"/>
        </w:rPr>
        <w:t>SureLock</w:t>
      </w:r>
      <w:proofErr w:type="spellEnd"/>
      <w:r w:rsidRPr="00B129C2">
        <w:rPr>
          <w:rFonts w:cs="Open Sans"/>
          <w:spacing w:val="-5"/>
        </w:rPr>
        <w:t xml:space="preserve"> system was removed. The Department stated in their correspondence dated 25 March 2021 that</w:t>
      </w:r>
      <w:r>
        <w:rPr>
          <w:rFonts w:cs="Open Sans"/>
          <w:spacing w:val="-5"/>
        </w:rPr>
        <w:t>,</w:t>
      </w:r>
      <w:r w:rsidRPr="00B129C2">
        <w:rPr>
          <w:rFonts w:cs="Open Sans"/>
          <w:spacing w:val="-5"/>
        </w:rPr>
        <w:t xml:space="preserve"> </w:t>
      </w:r>
      <w:r>
        <w:rPr>
          <w:rFonts w:cs="Open Sans"/>
          <w:spacing w:val="-5"/>
        </w:rPr>
        <w:t>‘</w:t>
      </w:r>
      <w:r w:rsidRPr="00B129C2">
        <w:rPr>
          <w:rFonts w:cs="Open Sans"/>
          <w:spacing w:val="-5"/>
        </w:rPr>
        <w:t xml:space="preserve">at 16:20, while within the perimeter of </w:t>
      </w:r>
      <w:proofErr w:type="spellStart"/>
      <w:r w:rsidRPr="00B129C2">
        <w:rPr>
          <w:rFonts w:cs="Open Sans"/>
          <w:spacing w:val="-5"/>
        </w:rPr>
        <w:t>Yongah</w:t>
      </w:r>
      <w:proofErr w:type="spellEnd"/>
      <w:r w:rsidRPr="00B129C2">
        <w:rPr>
          <w:rFonts w:cs="Open Sans"/>
          <w:spacing w:val="-5"/>
        </w:rPr>
        <w:t xml:space="preserve"> Hill IDC, restraints </w:t>
      </w:r>
      <w:r w:rsidRPr="00B129C2">
        <w:rPr>
          <w:rFonts w:cs="Open Sans"/>
          <w:spacing w:val="-5"/>
        </w:rPr>
        <w:lastRenderedPageBreak/>
        <w:t xml:space="preserve">were removed from </w:t>
      </w:r>
      <w:r>
        <w:rPr>
          <w:rFonts w:cs="Open Sans"/>
          <w:spacing w:val="-5"/>
        </w:rPr>
        <w:t>[Mr KX]’</w:t>
      </w:r>
      <w:r w:rsidRPr="00B129C2">
        <w:rPr>
          <w:rFonts w:cs="Open Sans"/>
          <w:spacing w:val="-5"/>
        </w:rPr>
        <w:t>. However, this seem</w:t>
      </w:r>
      <w:r>
        <w:rPr>
          <w:rFonts w:cs="Open Sans"/>
          <w:spacing w:val="-5"/>
        </w:rPr>
        <w:t xml:space="preserve">s unlikely given that the other material provided </w:t>
      </w:r>
      <w:r w:rsidRPr="5EB1300D">
        <w:rPr>
          <w:rFonts w:cs="Open Sans"/>
        </w:rPr>
        <w:t xml:space="preserve">by the Department </w:t>
      </w:r>
      <w:r>
        <w:rPr>
          <w:rFonts w:cs="Open Sans"/>
          <w:spacing w:val="-5"/>
        </w:rPr>
        <w:t xml:space="preserve">indicates that he was still on the aircraft at this point. </w:t>
      </w:r>
      <w:r w:rsidRPr="5EB1300D">
        <w:rPr>
          <w:rFonts w:cs="Open Sans"/>
        </w:rPr>
        <w:t xml:space="preserve">The body camera footage provided by the Department indicates that Mr </w:t>
      </w:r>
      <w:r>
        <w:rPr>
          <w:rFonts w:cs="Open Sans"/>
        </w:rPr>
        <w:t>KX</w:t>
      </w:r>
      <w:r w:rsidRPr="5EB1300D">
        <w:rPr>
          <w:rFonts w:cs="Open Sans"/>
        </w:rPr>
        <w:t xml:space="preserve"> was still in the restraint system when he was in the interview room at YHIDC. Accordingly, i</w:t>
      </w:r>
      <w:r>
        <w:rPr>
          <w:rFonts w:cs="Open Sans"/>
          <w:spacing w:val="-5"/>
        </w:rPr>
        <w:t>t</w:t>
      </w:r>
      <w:r w:rsidRPr="00B129C2">
        <w:rPr>
          <w:rFonts w:cs="Open Sans"/>
          <w:spacing w:val="-5"/>
        </w:rPr>
        <w:t xml:space="preserve"> appears</w:t>
      </w:r>
      <w:r>
        <w:rPr>
          <w:rFonts w:cs="Open Sans"/>
          <w:spacing w:val="-5"/>
        </w:rPr>
        <w:t xml:space="preserve"> likely</w:t>
      </w:r>
      <w:r w:rsidRPr="00B129C2">
        <w:rPr>
          <w:rFonts w:cs="Open Sans"/>
          <w:spacing w:val="-5"/>
        </w:rPr>
        <w:t xml:space="preserve"> that </w:t>
      </w:r>
      <w:r>
        <w:rPr>
          <w:rFonts w:cs="Open Sans"/>
          <w:spacing w:val="-5"/>
        </w:rPr>
        <w:t xml:space="preserve">the </w:t>
      </w:r>
      <w:proofErr w:type="spellStart"/>
      <w:r>
        <w:rPr>
          <w:rFonts w:cs="Open Sans"/>
          <w:spacing w:val="-5"/>
        </w:rPr>
        <w:t>Surelock</w:t>
      </w:r>
      <w:proofErr w:type="spellEnd"/>
      <w:r>
        <w:rPr>
          <w:rFonts w:cs="Open Sans"/>
          <w:spacing w:val="-5"/>
        </w:rPr>
        <w:t xml:space="preserve"> restraint</w:t>
      </w:r>
      <w:r w:rsidRPr="00B129C2">
        <w:rPr>
          <w:rFonts w:cs="Open Sans"/>
          <w:spacing w:val="-5"/>
        </w:rPr>
        <w:t xml:space="preserve"> was on from 6.</w:t>
      </w:r>
      <w:r w:rsidRPr="006E504B">
        <w:rPr>
          <w:rFonts w:cs="Open Sans"/>
          <w:spacing w:val="-5"/>
        </w:rPr>
        <w:t>2</w:t>
      </w:r>
      <w:r w:rsidRPr="00B129C2">
        <w:rPr>
          <w:rFonts w:cs="Open Sans"/>
          <w:spacing w:val="-5"/>
        </w:rPr>
        <w:t xml:space="preserve">0am until at least </w:t>
      </w:r>
      <w:r w:rsidRPr="006E504B">
        <w:rPr>
          <w:rFonts w:cs="Open Sans"/>
          <w:spacing w:val="-5"/>
        </w:rPr>
        <w:t>7</w:t>
      </w:r>
      <w:r w:rsidRPr="00B129C2">
        <w:rPr>
          <w:rFonts w:cs="Open Sans"/>
          <w:spacing w:val="-5"/>
        </w:rPr>
        <w:t>.</w:t>
      </w:r>
      <w:r w:rsidRPr="006E504B">
        <w:rPr>
          <w:rFonts w:cs="Open Sans"/>
          <w:spacing w:val="-5"/>
        </w:rPr>
        <w:t xml:space="preserve">30pm </w:t>
      </w:r>
      <w:r w:rsidRPr="00B129C2">
        <w:rPr>
          <w:rFonts w:cs="Open Sans"/>
          <w:spacing w:val="-5"/>
        </w:rPr>
        <w:t xml:space="preserve">that evening, being </w:t>
      </w:r>
      <w:r w:rsidRPr="006E504B">
        <w:rPr>
          <w:rFonts w:cs="Open Sans"/>
          <w:spacing w:val="-5"/>
        </w:rPr>
        <w:t>at least</w:t>
      </w:r>
      <w:r w:rsidRPr="00B129C2">
        <w:rPr>
          <w:rFonts w:cs="Open Sans"/>
          <w:spacing w:val="-5"/>
        </w:rPr>
        <w:t xml:space="preserve"> 1</w:t>
      </w:r>
      <w:r w:rsidRPr="006E504B">
        <w:rPr>
          <w:rFonts w:cs="Open Sans"/>
          <w:spacing w:val="-5"/>
        </w:rPr>
        <w:t>3</w:t>
      </w:r>
      <w:r w:rsidRPr="00B129C2">
        <w:rPr>
          <w:rFonts w:cs="Open Sans"/>
          <w:spacing w:val="-5"/>
        </w:rPr>
        <w:t xml:space="preserve"> hours.</w:t>
      </w:r>
    </w:p>
    <w:p w14:paraId="4AC1F880" w14:textId="77777777" w:rsidR="003608E3" w:rsidRDefault="003608E3" w:rsidP="00D73ED4">
      <w:pPr>
        <w:pStyle w:val="SubmissionNormal"/>
        <w:numPr>
          <w:ilvl w:val="0"/>
          <w:numId w:val="20"/>
        </w:numPr>
        <w:ind w:left="720" w:hanging="720"/>
        <w:rPr>
          <w:rFonts w:cs="Open Sans"/>
          <w:spacing w:val="-5"/>
        </w:rPr>
      </w:pPr>
      <w:r w:rsidRPr="009C2082">
        <w:rPr>
          <w:rFonts w:cs="Open Sans"/>
          <w:spacing w:val="-5"/>
        </w:rPr>
        <w:t xml:space="preserve">The decision to transfer Mr </w:t>
      </w:r>
      <w:r>
        <w:rPr>
          <w:rFonts w:cs="Open Sans"/>
        </w:rPr>
        <w:t>KX</w:t>
      </w:r>
      <w:r w:rsidRPr="009C2082">
        <w:rPr>
          <w:rFonts w:cs="Open Sans"/>
          <w:spacing w:val="-5"/>
        </w:rPr>
        <w:t xml:space="preserve"> was made by the Department in the knowledge that the transfer would entail the use of force. </w:t>
      </w:r>
      <w:r w:rsidRPr="006E504B">
        <w:rPr>
          <w:rFonts w:cs="Open Sans"/>
          <w:spacing w:val="-5"/>
        </w:rPr>
        <w:t xml:space="preserve">The Australian Border Force Superintendent approved the use of the </w:t>
      </w:r>
      <w:proofErr w:type="spellStart"/>
      <w:r w:rsidRPr="006E504B">
        <w:rPr>
          <w:rFonts w:cs="Open Sans"/>
          <w:spacing w:val="-5"/>
        </w:rPr>
        <w:t>SureLock</w:t>
      </w:r>
      <w:proofErr w:type="spellEnd"/>
      <w:r w:rsidRPr="006E504B">
        <w:rPr>
          <w:rFonts w:cs="Open Sans"/>
          <w:spacing w:val="-5"/>
        </w:rPr>
        <w:t xml:space="preserve"> restraint system for ‘the duration</w:t>
      </w:r>
      <w:r w:rsidRPr="5EB1300D">
        <w:rPr>
          <w:rFonts w:cs="Open Sans"/>
        </w:rPr>
        <w:t xml:space="preserve"> of the escort</w:t>
      </w:r>
      <w:r>
        <w:rPr>
          <w:rFonts w:cs="Open Sans"/>
        </w:rPr>
        <w:t>’</w:t>
      </w:r>
      <w:r w:rsidRPr="5EB1300D">
        <w:rPr>
          <w:rFonts w:cs="Open Sans"/>
        </w:rPr>
        <w:t xml:space="preserve">.  </w:t>
      </w:r>
      <w:r w:rsidRPr="009C2082">
        <w:rPr>
          <w:rFonts w:cs="Open Sans"/>
          <w:spacing w:val="-5"/>
        </w:rPr>
        <w:t xml:space="preserve">The </w:t>
      </w:r>
      <w:r w:rsidRPr="5EB1300D">
        <w:rPr>
          <w:rFonts w:cs="Open Sans"/>
        </w:rPr>
        <w:t xml:space="preserve">Department’s </w:t>
      </w:r>
      <w:r w:rsidRPr="009C2082">
        <w:rPr>
          <w:rFonts w:cs="Open Sans"/>
          <w:spacing w:val="-5"/>
        </w:rPr>
        <w:t>decision</w:t>
      </w:r>
      <w:r w:rsidRPr="5EB1300D">
        <w:rPr>
          <w:rFonts w:cs="Open Sans"/>
        </w:rPr>
        <w:t xml:space="preserve"> to proceed with the use of force</w:t>
      </w:r>
      <w:r w:rsidRPr="009C2082">
        <w:rPr>
          <w:rFonts w:cs="Open Sans"/>
          <w:spacing w:val="-5"/>
        </w:rPr>
        <w:t xml:space="preserve"> was made against </w:t>
      </w:r>
      <w:r w:rsidRPr="5EB1300D">
        <w:rPr>
          <w:rFonts w:cs="Open Sans"/>
        </w:rPr>
        <w:t xml:space="preserve">explicit advice from </w:t>
      </w:r>
      <w:r w:rsidRPr="009C2082">
        <w:rPr>
          <w:rFonts w:cs="Open Sans"/>
          <w:spacing w:val="-5"/>
        </w:rPr>
        <w:t xml:space="preserve">IHMS </w:t>
      </w:r>
      <w:r w:rsidRPr="5EB1300D">
        <w:rPr>
          <w:rFonts w:cs="Open Sans"/>
        </w:rPr>
        <w:t xml:space="preserve">that force should not be used on Mr </w:t>
      </w:r>
      <w:r>
        <w:rPr>
          <w:rFonts w:cs="Open Sans"/>
        </w:rPr>
        <w:t>KX</w:t>
      </w:r>
      <w:r w:rsidRPr="5EB1300D">
        <w:rPr>
          <w:rFonts w:cs="Open Sans"/>
        </w:rPr>
        <w:t xml:space="preserve"> because of his</w:t>
      </w:r>
      <w:r w:rsidRPr="009C2082">
        <w:rPr>
          <w:rFonts w:cs="Open Sans"/>
          <w:spacing w:val="-5"/>
        </w:rPr>
        <w:t xml:space="preserve"> physical and mental health conditions and background of torture and trauma. </w:t>
      </w:r>
      <w:r w:rsidRPr="5EB1300D">
        <w:rPr>
          <w:rFonts w:cs="Open Sans"/>
        </w:rPr>
        <w:t>T</w:t>
      </w:r>
      <w:r w:rsidRPr="009C2082">
        <w:rPr>
          <w:rFonts w:cs="Open Sans"/>
          <w:spacing w:val="-5"/>
        </w:rPr>
        <w:t xml:space="preserve">he Department decided to proceed with </w:t>
      </w:r>
      <w:r w:rsidRPr="5EB1300D">
        <w:rPr>
          <w:rFonts w:cs="Open Sans"/>
        </w:rPr>
        <w:t>the</w:t>
      </w:r>
      <w:r w:rsidRPr="009C2082">
        <w:rPr>
          <w:rFonts w:cs="Open Sans"/>
          <w:spacing w:val="-5"/>
        </w:rPr>
        <w:t xml:space="preserve"> transfer </w:t>
      </w:r>
      <w:r w:rsidRPr="5EB1300D">
        <w:rPr>
          <w:rFonts w:cs="Open Sans"/>
        </w:rPr>
        <w:t xml:space="preserve">in any event </w:t>
      </w:r>
      <w:r w:rsidRPr="009C2082">
        <w:rPr>
          <w:rFonts w:cs="Open Sans"/>
          <w:spacing w:val="-5"/>
        </w:rPr>
        <w:t xml:space="preserve">without providing Mr </w:t>
      </w:r>
      <w:r>
        <w:rPr>
          <w:rFonts w:cs="Open Sans"/>
        </w:rPr>
        <w:t>KX</w:t>
      </w:r>
      <w:r w:rsidRPr="009C2082">
        <w:rPr>
          <w:rFonts w:cs="Open Sans"/>
          <w:spacing w:val="-5"/>
        </w:rPr>
        <w:t xml:space="preserve"> with any notice. </w:t>
      </w:r>
    </w:p>
    <w:p w14:paraId="0E6733AD" w14:textId="77777777" w:rsidR="003608E3" w:rsidRPr="002551C2" w:rsidRDefault="003608E3" w:rsidP="00D73ED4">
      <w:pPr>
        <w:pStyle w:val="SubmissionNormal"/>
        <w:numPr>
          <w:ilvl w:val="0"/>
          <w:numId w:val="20"/>
        </w:numPr>
        <w:ind w:left="720" w:hanging="720"/>
        <w:rPr>
          <w:rFonts w:cs="Open Sans"/>
          <w:spacing w:val="-5"/>
        </w:rPr>
      </w:pPr>
      <w:r w:rsidRPr="002551C2">
        <w:rPr>
          <w:rFonts w:cs="Open Sans"/>
          <w:spacing w:val="-5"/>
        </w:rPr>
        <w:t>The Commission accepts the submission made by the Department in response to my preliminary view that a health provider cannot direct or make decisions with respect to the use of force or application of restraints on detainees. Any concerns a health provider may have in relation to the use of force should be referred to the ABF Detention Superintendent for consideration and decision. This is because there may be other matters to consider such as safety and the security of the community or the detainee.</w:t>
      </w:r>
    </w:p>
    <w:p w14:paraId="283619EA" w14:textId="77777777" w:rsidR="003608E3" w:rsidRPr="002551C2" w:rsidRDefault="003608E3" w:rsidP="00D73ED4">
      <w:pPr>
        <w:pStyle w:val="SubmissionNormal"/>
        <w:numPr>
          <w:ilvl w:val="0"/>
          <w:numId w:val="20"/>
        </w:numPr>
        <w:ind w:left="720" w:hanging="720"/>
        <w:rPr>
          <w:rFonts w:cs="Open Sans"/>
          <w:spacing w:val="-5"/>
        </w:rPr>
      </w:pPr>
      <w:r w:rsidRPr="002551C2">
        <w:rPr>
          <w:rFonts w:cs="Open Sans"/>
          <w:spacing w:val="-5"/>
        </w:rPr>
        <w:t xml:space="preserve">However, in my view, the Department has not provided sufficient information to show that the transfer, without notice, involving the planned use of force, can be objectively justified. </w:t>
      </w:r>
    </w:p>
    <w:p w14:paraId="3E8CE3F9" w14:textId="77777777" w:rsidR="003608E3" w:rsidRDefault="003608E3" w:rsidP="00D73ED4">
      <w:pPr>
        <w:pStyle w:val="SubmissionNormal"/>
        <w:numPr>
          <w:ilvl w:val="0"/>
          <w:numId w:val="20"/>
        </w:numPr>
        <w:ind w:left="720" w:hanging="720"/>
        <w:rPr>
          <w:rFonts w:cs="Open Sans"/>
          <w:spacing w:val="-5"/>
        </w:rPr>
      </w:pPr>
      <w:r w:rsidRPr="4C239322">
        <w:rPr>
          <w:rFonts w:cs="Open Sans"/>
        </w:rPr>
        <w:t xml:space="preserve">The Department says that due to ‘behavioural concerns and his significant destabilising influence within MITA’, Mr </w:t>
      </w:r>
      <w:r>
        <w:rPr>
          <w:rFonts w:cs="Open Sans"/>
        </w:rPr>
        <w:t>KX</w:t>
      </w:r>
      <w:r w:rsidRPr="4C239322">
        <w:rPr>
          <w:rFonts w:cs="Open Sans"/>
        </w:rPr>
        <w:t>’s ongoing placement there was no longer appropriate. The Department commenced seeking the necessary approvals at least 15 days before the transfer.</w:t>
      </w:r>
    </w:p>
    <w:p w14:paraId="3E12A99D" w14:textId="77777777" w:rsidR="003608E3" w:rsidRDefault="003608E3" w:rsidP="00D73ED4">
      <w:pPr>
        <w:pStyle w:val="SubmissionNormal"/>
        <w:numPr>
          <w:ilvl w:val="0"/>
          <w:numId w:val="20"/>
        </w:numPr>
        <w:ind w:left="720" w:hanging="720"/>
        <w:rPr>
          <w:rFonts w:cs="Open Sans"/>
          <w:spacing w:val="-5"/>
        </w:rPr>
      </w:pPr>
      <w:r>
        <w:rPr>
          <w:rFonts w:cs="Open Sans"/>
          <w:spacing w:val="-5"/>
        </w:rPr>
        <w:t xml:space="preserve">However, the Department has not identified that it explored less restrictive alternatives to a transfer, without notice, involving a planned high level of restraint on a detainee with mental and physical vulnerabilities. For example, the Department has not shown that it explored the option of transferring Mr </w:t>
      </w:r>
      <w:r>
        <w:rPr>
          <w:rFonts w:cs="Open Sans"/>
        </w:rPr>
        <w:t xml:space="preserve">KX </w:t>
      </w:r>
      <w:r>
        <w:rPr>
          <w:rFonts w:cs="Open Sans"/>
          <w:spacing w:val="-5"/>
        </w:rPr>
        <w:t xml:space="preserve">back to Villawood, a facility with high security areas. Mr </w:t>
      </w:r>
      <w:r>
        <w:rPr>
          <w:rFonts w:cs="Open Sans"/>
        </w:rPr>
        <w:t>KX</w:t>
      </w:r>
      <w:r>
        <w:rPr>
          <w:rFonts w:cs="Open Sans"/>
          <w:spacing w:val="-5"/>
        </w:rPr>
        <w:t xml:space="preserve">’s family were able to reside in NSW and maintain a relationship with him while he was in Villawood. The separation from his family that would result from his transfer to YHIDC was the basis of Mr </w:t>
      </w:r>
      <w:r>
        <w:rPr>
          <w:rFonts w:cs="Open Sans"/>
        </w:rPr>
        <w:t>KX</w:t>
      </w:r>
      <w:r>
        <w:rPr>
          <w:rFonts w:cs="Open Sans"/>
          <w:spacing w:val="-5"/>
        </w:rPr>
        <w:t xml:space="preserve">’s objection to the transfer. There is no </w:t>
      </w:r>
      <w:r>
        <w:rPr>
          <w:rFonts w:cs="Open Sans"/>
          <w:spacing w:val="-5"/>
        </w:rPr>
        <w:lastRenderedPageBreak/>
        <w:t xml:space="preserve">information before me that the Department considered the separation of family that would result from the transfer and its impact on Mr </w:t>
      </w:r>
      <w:r>
        <w:rPr>
          <w:rFonts w:cs="Open Sans"/>
        </w:rPr>
        <w:t xml:space="preserve">KX </w:t>
      </w:r>
      <w:r>
        <w:rPr>
          <w:rFonts w:cs="Open Sans"/>
          <w:spacing w:val="-5"/>
        </w:rPr>
        <w:t xml:space="preserve">at all. The Department submitted in response to my preliminary view that due consideration was given to Mr </w:t>
      </w:r>
      <w:r>
        <w:rPr>
          <w:rFonts w:cs="Open Sans"/>
        </w:rPr>
        <w:t>KX</w:t>
      </w:r>
      <w:r>
        <w:rPr>
          <w:rFonts w:cs="Open Sans"/>
          <w:spacing w:val="-5"/>
        </w:rPr>
        <w:t>’s family links in considering his transfer from MITA, but no evidence was provided in support of this.</w:t>
      </w:r>
    </w:p>
    <w:p w14:paraId="6D01C3EC" w14:textId="77777777" w:rsidR="003608E3" w:rsidRPr="00D75042" w:rsidRDefault="003608E3" w:rsidP="00D73ED4">
      <w:pPr>
        <w:pStyle w:val="SubmissionNormal"/>
        <w:numPr>
          <w:ilvl w:val="0"/>
          <w:numId w:val="20"/>
        </w:numPr>
        <w:ind w:left="720" w:hanging="720"/>
        <w:rPr>
          <w:rFonts w:cs="Open Sans"/>
          <w:spacing w:val="-5"/>
        </w:rPr>
      </w:pPr>
      <w:r w:rsidRPr="00D75042">
        <w:rPr>
          <w:rFonts w:cs="Open Sans"/>
        </w:rPr>
        <w:t xml:space="preserve">Further, the Department has not identified that it explored options with IHMS, </w:t>
      </w:r>
      <w:r w:rsidRPr="00D75042">
        <w:rPr>
          <w:rFonts w:cs="Open Sans"/>
          <w:spacing w:val="-5"/>
        </w:rPr>
        <w:t xml:space="preserve">considering his </w:t>
      </w:r>
      <w:r w:rsidRPr="00D75042">
        <w:rPr>
          <w:rFonts w:cs="Open Sans"/>
        </w:rPr>
        <w:t>physical and mental health conditions. For example, t</w:t>
      </w:r>
      <w:r w:rsidRPr="00D75042">
        <w:rPr>
          <w:rFonts w:cs="Open Sans"/>
          <w:spacing w:val="-5"/>
        </w:rPr>
        <w:t xml:space="preserve">he Department has not identified that it explored </w:t>
      </w:r>
      <w:r w:rsidRPr="00D75042">
        <w:rPr>
          <w:rFonts w:cs="Open Sans"/>
        </w:rPr>
        <w:t xml:space="preserve">with IHMS </w:t>
      </w:r>
      <w:r w:rsidRPr="00D75042">
        <w:rPr>
          <w:rFonts w:cs="Open Sans"/>
          <w:spacing w:val="-5"/>
        </w:rPr>
        <w:t xml:space="preserve">the option of providing notice to Mr </w:t>
      </w:r>
      <w:r w:rsidRPr="00D75042">
        <w:rPr>
          <w:rFonts w:cs="Open Sans"/>
        </w:rPr>
        <w:t>KX</w:t>
      </w:r>
      <w:r w:rsidRPr="00D75042">
        <w:rPr>
          <w:rFonts w:cs="Open Sans"/>
          <w:spacing w:val="-5"/>
        </w:rPr>
        <w:t xml:space="preserve"> in order to reduce the shock </w:t>
      </w:r>
      <w:r w:rsidRPr="00D75042">
        <w:rPr>
          <w:rFonts w:cs="Open Sans"/>
        </w:rPr>
        <w:t xml:space="preserve">of the transfer </w:t>
      </w:r>
      <w:r w:rsidRPr="00D75042">
        <w:rPr>
          <w:rFonts w:cs="Open Sans"/>
          <w:spacing w:val="-5"/>
        </w:rPr>
        <w:t xml:space="preserve">and see what accommodations could have been made for him. In response to my preliminary view, the Department stated that, where appropriate, detainees should be advised of a decision to move them no later than the day prior to the intended transfer. An operational decision was made to reduce this notification period in the case of Mr </w:t>
      </w:r>
      <w:r w:rsidRPr="00D75042">
        <w:rPr>
          <w:rFonts w:cs="Open Sans"/>
        </w:rPr>
        <w:t>KX</w:t>
      </w:r>
      <w:r w:rsidRPr="00D75042">
        <w:rPr>
          <w:rFonts w:cs="Open Sans"/>
          <w:spacing w:val="-5"/>
        </w:rPr>
        <w:t xml:space="preserve"> given the assessed risk he posed. The Department has not indicated that this decision took into consideration Mr </w:t>
      </w:r>
      <w:r w:rsidRPr="00D75042">
        <w:rPr>
          <w:rFonts w:cs="Open Sans"/>
        </w:rPr>
        <w:t>KX</w:t>
      </w:r>
      <w:r w:rsidRPr="00D75042">
        <w:rPr>
          <w:rFonts w:cs="Open Sans"/>
          <w:spacing w:val="-5"/>
        </w:rPr>
        <w:t>’s mental health conditions, any advice from IHMS, and/or his likely reaction to being transferred away from his family.</w:t>
      </w:r>
    </w:p>
    <w:p w14:paraId="77C63768" w14:textId="77777777" w:rsidR="003608E3" w:rsidRPr="00581ECF" w:rsidRDefault="003608E3" w:rsidP="00D73ED4">
      <w:pPr>
        <w:pStyle w:val="SubmissionNormal"/>
        <w:numPr>
          <w:ilvl w:val="0"/>
          <w:numId w:val="20"/>
        </w:numPr>
        <w:ind w:left="720" w:hanging="720"/>
        <w:rPr>
          <w:rFonts w:cs="Open Sans"/>
          <w:spacing w:val="-5"/>
        </w:rPr>
      </w:pPr>
      <w:r w:rsidRPr="00581ECF">
        <w:rPr>
          <w:rFonts w:cs="Open Sans"/>
          <w:spacing w:val="-5"/>
        </w:rPr>
        <w:t xml:space="preserve">I am not satisfied that the decision to transfer, involving the planned use of force, can be objectively justified. I do not consider that the planned use of force in these circumstances was a measure of last resort as required by both Serco’s contract with the Department, and by the Department’s DSM. I am also not satisfied that the decision considered the welfare of Mr </w:t>
      </w:r>
      <w:r w:rsidRPr="00581ECF">
        <w:rPr>
          <w:rFonts w:cs="Open Sans"/>
        </w:rPr>
        <w:t xml:space="preserve">KX </w:t>
      </w:r>
      <w:r w:rsidRPr="00581ECF">
        <w:rPr>
          <w:rFonts w:cs="Open Sans"/>
          <w:spacing w:val="-5"/>
        </w:rPr>
        <w:t xml:space="preserve">and his family needs as required by the Serco contract. The Department’s decision to proceed with the transfer involving a planned use of force, without notice, led to an escalation and the need for further force including the administration of a chemical restraint without consent. The Department likely anticipated that an escalation may occur during the transfer and further force may be required. In this regard I note the advice provided by IHMS 15 days before the transfer that a ‘doctor is required to mitigate the risks of the client acting out with self-harm and to provide medication as required.’ </w:t>
      </w:r>
    </w:p>
    <w:p w14:paraId="0A488898" w14:textId="77777777" w:rsidR="003608E3" w:rsidRPr="005342D7" w:rsidRDefault="003608E3" w:rsidP="00D73ED4">
      <w:pPr>
        <w:pStyle w:val="SubmissionNormal"/>
        <w:numPr>
          <w:ilvl w:val="0"/>
          <w:numId w:val="20"/>
        </w:numPr>
        <w:ind w:left="720" w:hanging="720"/>
        <w:rPr>
          <w:rFonts w:cs="Open Sans"/>
          <w:spacing w:val="-5"/>
        </w:rPr>
      </w:pPr>
      <w:r w:rsidRPr="005342D7">
        <w:rPr>
          <w:rFonts w:cs="Open Sans"/>
          <w:spacing w:val="-5"/>
        </w:rPr>
        <w:t xml:space="preserve">In response to my Preliminary View, the Department stated that a decision to transfer a detainee within the immigration detention network is not required to be a ‘measure of last resort.’ Whilst I accept this is true, I note that the ‘act’ the Commission is inquiring into is the Department’s decision to transfer Mr </w:t>
      </w:r>
      <w:r w:rsidRPr="005342D7">
        <w:rPr>
          <w:rFonts w:cs="Open Sans"/>
        </w:rPr>
        <w:t>KX</w:t>
      </w:r>
      <w:r w:rsidRPr="005342D7">
        <w:rPr>
          <w:rFonts w:cs="Open Sans"/>
          <w:spacing w:val="-5"/>
        </w:rPr>
        <w:t xml:space="preserve"> from MITA to YHIDC, without notice and in a manner involving the planned use of force. The planned use of force must be a measure of last resort and I’m not persuaded that it was in the circumstances outlined above.</w:t>
      </w:r>
    </w:p>
    <w:p w14:paraId="1BACF3C8" w14:textId="77777777" w:rsidR="003608E3" w:rsidRPr="005342D7" w:rsidRDefault="003608E3" w:rsidP="00D73ED4">
      <w:pPr>
        <w:pStyle w:val="SubmissionNormal"/>
        <w:numPr>
          <w:ilvl w:val="0"/>
          <w:numId w:val="20"/>
        </w:numPr>
        <w:ind w:left="720" w:hanging="720"/>
        <w:rPr>
          <w:rFonts w:cs="Open Sans"/>
          <w:spacing w:val="-5"/>
        </w:rPr>
      </w:pPr>
      <w:r w:rsidRPr="005342D7">
        <w:rPr>
          <w:rFonts w:cs="Open Sans"/>
        </w:rPr>
        <w:t>In my view, the decision to transfer Mr KX from MITA to YHIDC, without notice and involving the planned use of force cannot be objectively justified and was not</w:t>
      </w:r>
      <w:r w:rsidRPr="005342D7">
        <w:rPr>
          <w:rFonts w:cs="Open Sans"/>
          <w:spacing w:val="-5"/>
        </w:rPr>
        <w:t xml:space="preserve"> a measure of last resort,</w:t>
      </w:r>
      <w:r w:rsidRPr="005342D7">
        <w:rPr>
          <w:rFonts w:cs="Open Sans"/>
        </w:rPr>
        <w:t xml:space="preserve"> and </w:t>
      </w:r>
      <w:r w:rsidRPr="005342D7">
        <w:rPr>
          <w:rFonts w:cs="Open Sans"/>
          <w:spacing w:val="-5"/>
        </w:rPr>
        <w:t xml:space="preserve">was therefore inconsistent with, or contrary to, Mr </w:t>
      </w:r>
      <w:r w:rsidRPr="005342D7">
        <w:rPr>
          <w:rFonts w:cs="Open Sans"/>
        </w:rPr>
        <w:t>KX</w:t>
      </w:r>
      <w:r w:rsidRPr="005342D7">
        <w:rPr>
          <w:rFonts w:cs="Open Sans"/>
          <w:spacing w:val="-5"/>
        </w:rPr>
        <w:t xml:space="preserve">’s rights under Article 10 of the ICCPR </w:t>
      </w:r>
      <w:r w:rsidRPr="005342D7">
        <w:rPr>
          <w:rFonts w:cs="Open Sans"/>
          <w:spacing w:val="-5"/>
        </w:rPr>
        <w:lastRenderedPageBreak/>
        <w:t xml:space="preserve">to be treated with humanity and respect for inherent dignity. </w:t>
      </w:r>
      <w:r w:rsidRPr="005342D7">
        <w:rPr>
          <w:rFonts w:cs="Open Sans"/>
        </w:rPr>
        <w:t xml:space="preserve">Although I am concerned by the escalation in the level of force used that was likely anticipated by the Department and led to the involuntary administration of a chemical restraint, I am not persuaded that the level of force used rises to the threshold required to be inconsistent with article 7 of the ICCPR. </w:t>
      </w:r>
    </w:p>
    <w:p w14:paraId="5510FAD9" w14:textId="77777777" w:rsidR="003608E3" w:rsidRPr="007849A9" w:rsidRDefault="003608E3" w:rsidP="00D73ED4">
      <w:pPr>
        <w:pStyle w:val="SubmissionNormal"/>
        <w:numPr>
          <w:ilvl w:val="0"/>
          <w:numId w:val="20"/>
        </w:numPr>
        <w:ind w:left="720" w:hanging="720"/>
        <w:rPr>
          <w:rFonts w:cs="Open Sans"/>
          <w:spacing w:val="-5"/>
        </w:rPr>
      </w:pPr>
      <w:r w:rsidRPr="007849A9">
        <w:rPr>
          <w:rFonts w:cs="Open Sans"/>
        </w:rPr>
        <w:t xml:space="preserve">The Department stated that the decision to administer the chemical restraint, Haloperidol, while on board the flight was a clinical decision relating to the treatment of a severe disturbance, and that it was in line with widely utilised emergency sedation protocols. The Department stated that sedation is used as a medical intervention of last resort to protect the individual and others. Further, the Department stated that the dosage was appropriate ‘considering the clinical need’. The Department stated that, prior to the sedation, an attempt to de-escalate the situation was made by the escort doctor who offered Mr KX oral medication, but he refused. </w:t>
      </w:r>
    </w:p>
    <w:p w14:paraId="077443B5" w14:textId="77777777" w:rsidR="003608E3" w:rsidRPr="007849A9" w:rsidRDefault="003608E3" w:rsidP="00D73ED4">
      <w:pPr>
        <w:pStyle w:val="SubmissionNormal"/>
        <w:numPr>
          <w:ilvl w:val="0"/>
          <w:numId w:val="20"/>
        </w:numPr>
        <w:ind w:left="720" w:hanging="720"/>
        <w:rPr>
          <w:rFonts w:cs="Open Sans"/>
          <w:spacing w:val="-5"/>
        </w:rPr>
      </w:pPr>
      <w:r w:rsidRPr="007849A9">
        <w:rPr>
          <w:rFonts w:cs="Open Sans"/>
        </w:rPr>
        <w:t>I accept that medical intervention to protect Mr KX and others may have been necessary once he was on board the flight. However, had the Department considered options other than a transfer to YHIDC without notice and with planned force, the administration of a chemical restraint may not have been required.</w:t>
      </w:r>
    </w:p>
    <w:p w14:paraId="12562750" w14:textId="0CEDF8C6" w:rsidR="003608E3" w:rsidRPr="00005226" w:rsidRDefault="003608E3" w:rsidP="0037544A">
      <w:pPr>
        <w:pStyle w:val="AHRCHeading2"/>
        <w:rPr>
          <w:i/>
        </w:rPr>
      </w:pPr>
      <w:bookmarkStart w:id="71" w:name="_Toc149564194"/>
      <w:bookmarkStart w:id="72" w:name="_Toc154064236"/>
      <w:r w:rsidRPr="00005226">
        <w:t>Provision of medical care</w:t>
      </w:r>
      <w:bookmarkEnd w:id="71"/>
      <w:bookmarkEnd w:id="72"/>
    </w:p>
    <w:p w14:paraId="0E2ED027" w14:textId="77777777" w:rsidR="003608E3" w:rsidRDefault="003608E3" w:rsidP="00D73ED4">
      <w:pPr>
        <w:pStyle w:val="SubmissionNormal"/>
        <w:numPr>
          <w:ilvl w:val="0"/>
          <w:numId w:val="20"/>
        </w:numPr>
        <w:ind w:left="720" w:hanging="720"/>
        <w:rPr>
          <w:rFonts w:cs="Open Sans"/>
          <w:spacing w:val="-5"/>
        </w:rPr>
      </w:pPr>
      <w:r>
        <w:rPr>
          <w:rFonts w:cs="Open Sans"/>
          <w:spacing w:val="-5"/>
        </w:rPr>
        <w:t xml:space="preserve">Mr </w:t>
      </w:r>
      <w:r>
        <w:rPr>
          <w:rFonts w:cs="Open Sans"/>
        </w:rPr>
        <w:t>KX</w:t>
      </w:r>
      <w:r>
        <w:rPr>
          <w:rFonts w:cs="Open Sans"/>
          <w:spacing w:val="-5"/>
        </w:rPr>
        <w:t xml:space="preserve"> also complains about the lack of medical care following the use of force. The information provided by the Department shows that physical force was used during the transfer, including the administration of a chemical restraint at 1.40pm. Following this, he was seen by an IHMS nurse at 9.23pm that night, and then seen by an IHMS doctor and a nurse two days later. </w:t>
      </w:r>
    </w:p>
    <w:p w14:paraId="34F42277" w14:textId="77777777" w:rsidR="003608E3" w:rsidRDefault="003608E3" w:rsidP="00D73ED4">
      <w:pPr>
        <w:pStyle w:val="SubmissionNormal"/>
        <w:numPr>
          <w:ilvl w:val="0"/>
          <w:numId w:val="20"/>
        </w:numPr>
        <w:ind w:left="720" w:hanging="720"/>
        <w:rPr>
          <w:rFonts w:cs="Open Sans"/>
          <w:spacing w:val="-5"/>
        </w:rPr>
      </w:pPr>
      <w:r>
        <w:rPr>
          <w:rFonts w:cs="Open Sans"/>
          <w:spacing w:val="-5"/>
        </w:rPr>
        <w:t xml:space="preserve">I am concerned that Mr </w:t>
      </w:r>
      <w:r>
        <w:rPr>
          <w:rFonts w:cs="Open Sans"/>
        </w:rPr>
        <w:t xml:space="preserve">KX </w:t>
      </w:r>
      <w:r>
        <w:rPr>
          <w:rFonts w:cs="Open Sans"/>
          <w:spacing w:val="-5"/>
        </w:rPr>
        <w:t xml:space="preserve">did not see a doctor for </w:t>
      </w:r>
      <w:r w:rsidRPr="5EB1300D">
        <w:rPr>
          <w:rFonts w:cs="Open Sans"/>
        </w:rPr>
        <w:t xml:space="preserve">2 </w:t>
      </w:r>
      <w:r>
        <w:rPr>
          <w:rFonts w:cs="Open Sans"/>
          <w:spacing w:val="-5"/>
        </w:rPr>
        <w:t xml:space="preserve">days following the use of force, particularly when the force included the administration of a chemical sedative. This is particularly so in light of Mr </w:t>
      </w:r>
      <w:r>
        <w:rPr>
          <w:rFonts w:cs="Open Sans"/>
        </w:rPr>
        <w:t>KX</w:t>
      </w:r>
      <w:r>
        <w:rPr>
          <w:rFonts w:cs="Open Sans"/>
          <w:spacing w:val="-5"/>
        </w:rPr>
        <w:t xml:space="preserve">’s pre-existing physical and mental conditions, and his repeated insistence throughout the day that he was not feeling well. </w:t>
      </w:r>
    </w:p>
    <w:p w14:paraId="14DAEED9" w14:textId="77777777" w:rsidR="003608E3" w:rsidRPr="00777B74" w:rsidRDefault="003608E3" w:rsidP="00D73ED4">
      <w:pPr>
        <w:pStyle w:val="SubmissionNormal"/>
        <w:numPr>
          <w:ilvl w:val="0"/>
          <w:numId w:val="20"/>
        </w:numPr>
        <w:ind w:left="720" w:hanging="720"/>
        <w:rPr>
          <w:rFonts w:cs="Open Sans"/>
          <w:spacing w:val="-5"/>
        </w:rPr>
      </w:pPr>
      <w:r w:rsidRPr="00777B74">
        <w:rPr>
          <w:rFonts w:cs="Open Sans"/>
          <w:spacing w:val="-5"/>
        </w:rPr>
        <w:t xml:space="preserve">In my preliminary view, I noted that </w:t>
      </w:r>
      <w:r w:rsidRPr="00777B74">
        <w:rPr>
          <w:rFonts w:cs="Open Sans"/>
        </w:rPr>
        <w:t xml:space="preserve">the provision of medical care </w:t>
      </w:r>
      <w:r w:rsidRPr="00777B74">
        <w:rPr>
          <w:rFonts w:cs="Open Sans"/>
          <w:spacing w:val="-5"/>
        </w:rPr>
        <w:t>appears to</w:t>
      </w:r>
      <w:r w:rsidRPr="00777B74">
        <w:rPr>
          <w:rFonts w:cs="Open Sans"/>
        </w:rPr>
        <w:t xml:space="preserve"> be</w:t>
      </w:r>
      <w:r w:rsidRPr="00777B74">
        <w:rPr>
          <w:rFonts w:cs="Open Sans"/>
          <w:spacing w:val="-5"/>
        </w:rPr>
        <w:t xml:space="preserve"> inconsistent with the IHMS Guideline that states that </w:t>
      </w:r>
      <w:r w:rsidRPr="00777B74">
        <w:rPr>
          <w:rFonts w:cs="Open Sans"/>
        </w:rPr>
        <w:t xml:space="preserve">parenteral sedation (as opposed to oral sedation) is only to be used in extreme circumstances and is ‘likely to result in subsequent urgent transfer to hospital for assessment and treatment’. In response to my preliminary view, the </w:t>
      </w:r>
      <w:r w:rsidRPr="00777B74">
        <w:rPr>
          <w:rFonts w:cs="Open Sans"/>
        </w:rPr>
        <w:lastRenderedPageBreak/>
        <w:t>Department stated that the IHMS guideline was followed. The Department stated:</w:t>
      </w:r>
    </w:p>
    <w:p w14:paraId="2E09B67A" w14:textId="77777777" w:rsidR="003608E3" w:rsidRPr="00261556" w:rsidRDefault="003608E3" w:rsidP="00261556">
      <w:pPr>
        <w:pStyle w:val="Blockquote"/>
        <w:rPr>
          <w:sz w:val="22"/>
          <w:szCs w:val="22"/>
        </w:rPr>
      </w:pPr>
      <w:r w:rsidRPr="00261556">
        <w:rPr>
          <w:sz w:val="22"/>
          <w:szCs w:val="22"/>
        </w:rPr>
        <w:t>Whilst the guideline states the use of parenteral sedation is likely to result in subsequent urgent transfer to hospital for assessment, [Mr KX] was clinically stable throughout the rest of the transfer and urgent transfer to hospital for assessment was not clinically indicated in this instance. The need for transfer to hospital for a medical review was assessed by an appropriately qualified medical escort in line with observation of [Mr KX’s] vitals following the administration of the sedative.</w:t>
      </w:r>
    </w:p>
    <w:p w14:paraId="45AA3046" w14:textId="77777777" w:rsidR="003608E3" w:rsidRPr="00D76872" w:rsidRDefault="003608E3" w:rsidP="00D73ED4">
      <w:pPr>
        <w:pStyle w:val="SubmissionNormal"/>
        <w:numPr>
          <w:ilvl w:val="0"/>
          <w:numId w:val="20"/>
        </w:numPr>
        <w:ind w:left="720" w:hanging="720"/>
        <w:rPr>
          <w:rFonts w:cs="Open Sans"/>
          <w:spacing w:val="-5"/>
        </w:rPr>
      </w:pPr>
      <w:r w:rsidRPr="00D76872">
        <w:rPr>
          <w:rFonts w:cs="Open Sans"/>
        </w:rPr>
        <w:t xml:space="preserve">I accept that Mr KX was monitored by a qualified medical escort for the duration of the flight. I also accept that following his escort from the plane at about 5.30pm he was seen by an IHMS nurse some four hours later at about 9.30pm. </w:t>
      </w:r>
    </w:p>
    <w:p w14:paraId="2D0AD1FC" w14:textId="77777777" w:rsidR="003608E3" w:rsidRDefault="003608E3" w:rsidP="00D73ED4">
      <w:pPr>
        <w:pStyle w:val="SubmissionNormal"/>
        <w:numPr>
          <w:ilvl w:val="0"/>
          <w:numId w:val="20"/>
        </w:numPr>
        <w:ind w:left="720" w:hanging="720"/>
        <w:rPr>
          <w:rFonts w:cs="Open Sans"/>
          <w:spacing w:val="-5"/>
        </w:rPr>
      </w:pPr>
      <w:r>
        <w:rPr>
          <w:rFonts w:cs="Open Sans"/>
          <w:spacing w:val="-5"/>
        </w:rPr>
        <w:t xml:space="preserve">In all the circumstances, including that Mr </w:t>
      </w:r>
      <w:r>
        <w:rPr>
          <w:rFonts w:cs="Open Sans"/>
        </w:rPr>
        <w:t>KX</w:t>
      </w:r>
      <w:r>
        <w:rPr>
          <w:rFonts w:cs="Open Sans"/>
          <w:spacing w:val="-5"/>
        </w:rPr>
        <w:t xml:space="preserve"> was monitored during the flight </w:t>
      </w:r>
      <w:r w:rsidRPr="5EB1300D">
        <w:rPr>
          <w:rFonts w:cs="Open Sans"/>
        </w:rPr>
        <w:t xml:space="preserve">by a doctor and nurse </w:t>
      </w:r>
      <w:r>
        <w:rPr>
          <w:rFonts w:cs="Open Sans"/>
          <w:spacing w:val="-5"/>
        </w:rPr>
        <w:t xml:space="preserve">and saw a nurse </w:t>
      </w:r>
      <w:r w:rsidRPr="5EB1300D">
        <w:rPr>
          <w:rFonts w:cs="Open Sans"/>
        </w:rPr>
        <w:t xml:space="preserve">again </w:t>
      </w:r>
      <w:r>
        <w:rPr>
          <w:rFonts w:cs="Open Sans"/>
          <w:spacing w:val="-5"/>
        </w:rPr>
        <w:t xml:space="preserve">that evening, I am not satisfied that the </w:t>
      </w:r>
      <w:r w:rsidRPr="5EB1300D">
        <w:rPr>
          <w:rFonts w:cs="Open Sans"/>
        </w:rPr>
        <w:t>fact that he did</w:t>
      </w:r>
      <w:r>
        <w:rPr>
          <w:rFonts w:cs="Open Sans"/>
        </w:rPr>
        <w:t xml:space="preserve"> </w:t>
      </w:r>
      <w:r w:rsidRPr="5EB1300D">
        <w:rPr>
          <w:rFonts w:cs="Open Sans"/>
        </w:rPr>
        <w:t>n</w:t>
      </w:r>
      <w:r>
        <w:rPr>
          <w:rFonts w:cs="Open Sans"/>
        </w:rPr>
        <w:t>o</w:t>
      </w:r>
      <w:r w:rsidRPr="5EB1300D">
        <w:rPr>
          <w:rFonts w:cs="Open Sans"/>
        </w:rPr>
        <w:t>t see</w:t>
      </w:r>
      <w:r>
        <w:rPr>
          <w:rFonts w:cs="Open Sans"/>
          <w:spacing w:val="-5"/>
        </w:rPr>
        <w:t xml:space="preserve"> a doctor </w:t>
      </w:r>
      <w:r w:rsidRPr="5EB1300D">
        <w:rPr>
          <w:rFonts w:cs="Open Sans"/>
        </w:rPr>
        <w:t xml:space="preserve">again for 2 days </w:t>
      </w:r>
      <w:r>
        <w:rPr>
          <w:rFonts w:cs="Open Sans"/>
          <w:spacing w:val="-5"/>
        </w:rPr>
        <w:t>constitute</w:t>
      </w:r>
      <w:r w:rsidRPr="5EB1300D">
        <w:rPr>
          <w:rFonts w:cs="Open Sans"/>
        </w:rPr>
        <w:t>s</w:t>
      </w:r>
      <w:r>
        <w:rPr>
          <w:rFonts w:cs="Open Sans"/>
          <w:spacing w:val="-5"/>
        </w:rPr>
        <w:t xml:space="preserve"> a breach of his rights under article 10 of the ICCPR. </w:t>
      </w:r>
    </w:p>
    <w:p w14:paraId="1326813F" w14:textId="5A7BE027" w:rsidR="003608E3" w:rsidRPr="00005226" w:rsidRDefault="003608E3" w:rsidP="0037544A">
      <w:pPr>
        <w:pStyle w:val="AHRCHeading2"/>
        <w:rPr>
          <w:i/>
        </w:rPr>
      </w:pPr>
      <w:bookmarkStart w:id="73" w:name="_Toc149564195"/>
      <w:bookmarkStart w:id="74" w:name="_Toc154064237"/>
      <w:r w:rsidRPr="00005226">
        <w:t>Separation from family</w:t>
      </w:r>
      <w:bookmarkEnd w:id="73"/>
      <w:bookmarkEnd w:id="74"/>
    </w:p>
    <w:p w14:paraId="4739196A" w14:textId="77777777" w:rsidR="003608E3" w:rsidRDefault="003608E3" w:rsidP="00D73ED4">
      <w:pPr>
        <w:pStyle w:val="SubmissionNormal"/>
        <w:numPr>
          <w:ilvl w:val="0"/>
          <w:numId w:val="20"/>
        </w:numPr>
        <w:ind w:left="720" w:hanging="720"/>
        <w:rPr>
          <w:rFonts w:cs="Open Sans"/>
        </w:rPr>
      </w:pPr>
      <w:r w:rsidRPr="0056467D">
        <w:rPr>
          <w:rFonts w:cs="Open Sans"/>
        </w:rPr>
        <w:t xml:space="preserve">Mr </w:t>
      </w:r>
      <w:r>
        <w:rPr>
          <w:rFonts w:cs="Open Sans"/>
        </w:rPr>
        <w:t>KX</w:t>
      </w:r>
      <w:r w:rsidRPr="0056467D">
        <w:rPr>
          <w:rFonts w:cs="Open Sans"/>
        </w:rPr>
        <w:t xml:space="preserve"> c</w:t>
      </w:r>
      <w:r>
        <w:rPr>
          <w:rFonts w:cs="Open Sans"/>
        </w:rPr>
        <w:t>laims</w:t>
      </w:r>
      <w:r w:rsidRPr="0056467D">
        <w:rPr>
          <w:rFonts w:cs="Open Sans"/>
        </w:rPr>
        <w:t xml:space="preserve"> that the </w:t>
      </w:r>
      <w:r>
        <w:rPr>
          <w:rFonts w:cs="Open Sans"/>
          <w:spacing w:val="-5"/>
        </w:rPr>
        <w:t>Department’s decision to transfer him from MITA to YHIDC was</w:t>
      </w:r>
      <w:r w:rsidRPr="0056467D" w:rsidDel="00211C5F">
        <w:rPr>
          <w:rFonts w:cs="Open Sans"/>
        </w:rPr>
        <w:t xml:space="preserve"> </w:t>
      </w:r>
      <w:r w:rsidRPr="0056467D">
        <w:rPr>
          <w:rFonts w:cs="Open Sans"/>
        </w:rPr>
        <w:t>inconsistent with his rights under articles 17</w:t>
      </w:r>
      <w:r>
        <w:rPr>
          <w:rFonts w:cs="Open Sans"/>
        </w:rPr>
        <w:t>(1)</w:t>
      </w:r>
      <w:r w:rsidRPr="0056467D">
        <w:rPr>
          <w:rFonts w:cs="Open Sans"/>
        </w:rPr>
        <w:t xml:space="preserve"> and 23</w:t>
      </w:r>
      <w:r>
        <w:rPr>
          <w:rFonts w:cs="Open Sans"/>
        </w:rPr>
        <w:t>(1)</w:t>
      </w:r>
      <w:r w:rsidRPr="0056467D">
        <w:rPr>
          <w:rFonts w:cs="Open Sans"/>
        </w:rPr>
        <w:t xml:space="preserve"> of the ICCPR.</w:t>
      </w:r>
      <w:r>
        <w:rPr>
          <w:rFonts w:cs="Open Sans"/>
        </w:rPr>
        <w:t>’</w:t>
      </w:r>
    </w:p>
    <w:p w14:paraId="7490D4F1" w14:textId="67CCC89A" w:rsidR="003608E3" w:rsidRPr="0037544A" w:rsidRDefault="003608E3" w:rsidP="0037544A">
      <w:pPr>
        <w:pStyle w:val="AHRCHeading3"/>
        <w:rPr>
          <w:b/>
          <w:bCs w:val="0"/>
        </w:rPr>
      </w:pPr>
      <w:bookmarkStart w:id="75" w:name="_Toc149564196"/>
      <w:bookmarkStart w:id="76" w:name="_Toc154064238"/>
      <w:r w:rsidRPr="0037544A">
        <w:rPr>
          <w:b/>
          <w:bCs w:val="0"/>
        </w:rPr>
        <w:t>‘Family’</w:t>
      </w:r>
      <w:bookmarkEnd w:id="75"/>
      <w:bookmarkEnd w:id="76"/>
    </w:p>
    <w:p w14:paraId="73460ECB" w14:textId="77777777" w:rsidR="003608E3" w:rsidRDefault="003608E3" w:rsidP="00D73ED4">
      <w:pPr>
        <w:pStyle w:val="ListLevel1"/>
        <w:numPr>
          <w:ilvl w:val="0"/>
          <w:numId w:val="20"/>
        </w:numPr>
        <w:spacing w:line="240" w:lineRule="auto"/>
        <w:ind w:left="720" w:hanging="720"/>
      </w:pPr>
      <w:r w:rsidRPr="0056467D">
        <w:t>To make out a breach of article 17 of the ICCPR, complainants must be identifiable as a ‘family’.</w:t>
      </w:r>
      <w:r>
        <w:t xml:space="preserve"> </w:t>
      </w:r>
      <w:r w:rsidRPr="0056467D">
        <w:t xml:space="preserve">The </w:t>
      </w:r>
      <w:r>
        <w:t>United Nations Human Rights</w:t>
      </w:r>
      <w:r w:rsidRPr="0056467D">
        <w:t xml:space="preserve"> Committee has confirmed that, while the term ‘family’ is to be interpreted broadly,</w:t>
      </w:r>
      <w:r w:rsidRPr="0056467D">
        <w:rPr>
          <w:rStyle w:val="EndnoteReference"/>
        </w:rPr>
        <w:endnoteReference w:id="49"/>
      </w:r>
      <w:r w:rsidRPr="0056467D">
        <w:t xml:space="preserve"> an effective family life or family connection must still be shown to exist.</w:t>
      </w:r>
      <w:r w:rsidRPr="0056467D">
        <w:rPr>
          <w:rStyle w:val="EndnoteReference"/>
        </w:rPr>
        <w:endnoteReference w:id="50"/>
      </w:r>
      <w:r w:rsidRPr="0056467D">
        <w:t xml:space="preserve"> </w:t>
      </w:r>
    </w:p>
    <w:p w14:paraId="61B27BA7" w14:textId="77777777" w:rsidR="003608E3" w:rsidRPr="00D84493" w:rsidRDefault="003608E3" w:rsidP="00D73ED4">
      <w:pPr>
        <w:pStyle w:val="SubmissionNormal"/>
        <w:widowControl w:val="0"/>
        <w:numPr>
          <w:ilvl w:val="0"/>
          <w:numId w:val="20"/>
        </w:numPr>
        <w:autoSpaceDE w:val="0"/>
        <w:autoSpaceDN w:val="0"/>
        <w:ind w:left="720" w:hanging="720"/>
      </w:pPr>
      <w:r w:rsidRPr="007B1888">
        <w:rPr>
          <w:rFonts w:cs="Open Sans"/>
        </w:rPr>
        <w:t xml:space="preserve">For example, in </w:t>
      </w:r>
      <w:r w:rsidRPr="5B174204">
        <w:rPr>
          <w:rFonts w:cs="Open Sans"/>
          <w:i/>
          <w:iCs/>
        </w:rPr>
        <w:t xml:space="preserve">Balaguer </w:t>
      </w:r>
      <w:proofErr w:type="spellStart"/>
      <w:r w:rsidRPr="5B174204">
        <w:rPr>
          <w:rFonts w:cs="Open Sans"/>
          <w:i/>
          <w:iCs/>
        </w:rPr>
        <w:t>Santacana</w:t>
      </w:r>
      <w:proofErr w:type="spellEnd"/>
      <w:r w:rsidRPr="5B174204">
        <w:rPr>
          <w:rFonts w:cs="Open Sans"/>
          <w:i/>
          <w:iCs/>
        </w:rPr>
        <w:t xml:space="preserve"> v Spain,</w:t>
      </w:r>
      <w:r w:rsidRPr="5B174204">
        <w:rPr>
          <w:rStyle w:val="EndnoteReference"/>
          <w:rFonts w:cs="Open Sans"/>
        </w:rPr>
        <w:endnoteReference w:id="51"/>
      </w:r>
      <w:r w:rsidRPr="5B174204">
        <w:rPr>
          <w:rFonts w:cs="Open Sans"/>
          <w:i/>
          <w:iCs/>
        </w:rPr>
        <w:t xml:space="preserve"> </w:t>
      </w:r>
      <w:r w:rsidRPr="007B1888">
        <w:rPr>
          <w:rFonts w:cs="Open Sans"/>
        </w:rPr>
        <w:t>after acknowledging that the term ‘family’ must be interpreted broadly, the United Nations Human Rights Committee went on to say:</w:t>
      </w:r>
    </w:p>
    <w:p w14:paraId="173EA3E4" w14:textId="77777777" w:rsidR="003608E3" w:rsidRPr="00261556" w:rsidRDefault="003608E3" w:rsidP="00261556">
      <w:pPr>
        <w:pStyle w:val="Blockquote"/>
        <w:rPr>
          <w:sz w:val="22"/>
          <w:szCs w:val="22"/>
        </w:rPr>
      </w:pPr>
      <w:r w:rsidRPr="00261556">
        <w:rPr>
          <w:sz w:val="22"/>
          <w:szCs w:val="22"/>
        </w:rPr>
        <w:t>Some minimal requirements for the existence of a family are, however, necessary, such as life together, economic ties, a regular and intense relationships, etc.</w:t>
      </w:r>
      <w:r w:rsidRPr="00261556">
        <w:rPr>
          <w:rStyle w:val="EndnoteReference"/>
          <w:rFonts w:cs="Open Sans"/>
          <w:sz w:val="22"/>
          <w:szCs w:val="22"/>
        </w:rPr>
        <w:endnoteReference w:id="52"/>
      </w:r>
    </w:p>
    <w:p w14:paraId="59221CB8" w14:textId="77777777" w:rsidR="003608E3" w:rsidRPr="00D84493" w:rsidRDefault="003608E3" w:rsidP="00D73ED4">
      <w:pPr>
        <w:pStyle w:val="ListParagraph"/>
        <w:widowControl w:val="0"/>
        <w:numPr>
          <w:ilvl w:val="0"/>
          <w:numId w:val="20"/>
        </w:numPr>
        <w:autoSpaceDE w:val="0"/>
        <w:autoSpaceDN w:val="0"/>
        <w:ind w:left="720" w:hanging="720"/>
      </w:pPr>
      <w:r w:rsidRPr="5B174204">
        <w:rPr>
          <w:rFonts w:cs="Open Sans"/>
        </w:rPr>
        <w:t xml:space="preserve">Mr </w:t>
      </w:r>
      <w:r>
        <w:rPr>
          <w:rFonts w:cs="Open Sans"/>
        </w:rPr>
        <w:t>KX</w:t>
      </w:r>
      <w:r w:rsidRPr="5B174204">
        <w:rPr>
          <w:rFonts w:cs="Open Sans"/>
        </w:rPr>
        <w:t xml:space="preserve"> and his partner met and began their relationship in 2003. They had periods of separation due to family differences, but were united in an </w:t>
      </w:r>
      <w:proofErr w:type="spellStart"/>
      <w:r w:rsidRPr="5B174204">
        <w:rPr>
          <w:rFonts w:cs="Open Sans"/>
        </w:rPr>
        <w:t>islamic</w:t>
      </w:r>
      <w:proofErr w:type="spellEnd"/>
      <w:r w:rsidRPr="5B174204">
        <w:rPr>
          <w:rFonts w:cs="Open Sans"/>
        </w:rPr>
        <w:t xml:space="preserve"> marriage ceremony on 8 June 2019. Mr </w:t>
      </w:r>
      <w:r>
        <w:rPr>
          <w:rFonts w:cs="Open Sans"/>
        </w:rPr>
        <w:t>KX</w:t>
      </w:r>
      <w:r w:rsidRPr="5B174204">
        <w:rPr>
          <w:rFonts w:cs="Open Sans"/>
        </w:rPr>
        <w:t xml:space="preserve"> has three stepchildren who he has loved and raised as if they were his own. They all lived together as a family prior to Mr </w:t>
      </w:r>
      <w:r>
        <w:rPr>
          <w:rFonts w:cs="Open Sans"/>
        </w:rPr>
        <w:t xml:space="preserve">KX </w:t>
      </w:r>
      <w:r w:rsidRPr="5B174204">
        <w:rPr>
          <w:rFonts w:cs="Open Sans"/>
        </w:rPr>
        <w:t xml:space="preserve">’s detention. </w:t>
      </w:r>
    </w:p>
    <w:p w14:paraId="0CB4B635" w14:textId="77777777" w:rsidR="003608E3" w:rsidRDefault="003608E3" w:rsidP="00D73ED4">
      <w:pPr>
        <w:pStyle w:val="ListLevel1"/>
        <w:numPr>
          <w:ilvl w:val="0"/>
          <w:numId w:val="20"/>
        </w:numPr>
        <w:spacing w:line="240" w:lineRule="auto"/>
        <w:ind w:left="720" w:hanging="720"/>
      </w:pPr>
      <w:r>
        <w:lastRenderedPageBreak/>
        <w:t xml:space="preserve">Mr </w:t>
      </w:r>
      <w:r>
        <w:rPr>
          <w:szCs w:val="24"/>
        </w:rPr>
        <w:t>KX</w:t>
      </w:r>
      <w:r>
        <w:t xml:space="preserve">’s partner and stepchildren moved from NSW to Melbourne to be close to him when he was transferred to MITA. When he was transferred to YHIDC, Mr </w:t>
      </w:r>
      <w:r>
        <w:rPr>
          <w:szCs w:val="24"/>
        </w:rPr>
        <w:t>KX</w:t>
      </w:r>
      <w:r>
        <w:t xml:space="preserve">’s partner moved temporarily, but struggled with the economic and logistical obstacles of finding permanent housing and being separated from her children. </w:t>
      </w:r>
    </w:p>
    <w:p w14:paraId="0BBED04C" w14:textId="77777777" w:rsidR="003608E3" w:rsidRDefault="003608E3" w:rsidP="00D73ED4">
      <w:pPr>
        <w:pStyle w:val="ListLevel1"/>
        <w:numPr>
          <w:ilvl w:val="0"/>
          <w:numId w:val="20"/>
        </w:numPr>
        <w:spacing w:line="240" w:lineRule="auto"/>
        <w:ind w:left="720" w:hanging="720"/>
      </w:pPr>
      <w:r>
        <w:t xml:space="preserve">In his complaint before the Commission, Mr </w:t>
      </w:r>
      <w:r>
        <w:rPr>
          <w:szCs w:val="24"/>
        </w:rPr>
        <w:t>KX</w:t>
      </w:r>
      <w:r>
        <w:t xml:space="preserve"> has on multiple occasions raised concerns about the impact that the ongoing separation from his partner has had on his wellbeing and mental health. He has expressed his grief about being separated from his partner and stepchildren. </w:t>
      </w:r>
    </w:p>
    <w:p w14:paraId="32499A33" w14:textId="0B4181D9" w:rsidR="003608E3" w:rsidRDefault="003608E3" w:rsidP="00D73ED4">
      <w:pPr>
        <w:pStyle w:val="ListLevel1"/>
        <w:numPr>
          <w:ilvl w:val="0"/>
          <w:numId w:val="20"/>
        </w:numPr>
        <w:spacing w:line="240" w:lineRule="auto"/>
        <w:ind w:left="720" w:hanging="720"/>
      </w:pPr>
      <w:r>
        <w:t xml:space="preserve">I am satisfied, on the basis of all of the above, that Mr </w:t>
      </w:r>
      <w:r>
        <w:rPr>
          <w:szCs w:val="24"/>
        </w:rPr>
        <w:t xml:space="preserve">KX </w:t>
      </w:r>
      <w:r>
        <w:t xml:space="preserve">and his partner and stepchildren have a relationship that is sufficient to constitute a ‘family’ for the purpose of article 17(1) of the ICCPR. </w:t>
      </w:r>
    </w:p>
    <w:p w14:paraId="4CAD5EE8" w14:textId="26B2A193" w:rsidR="003608E3" w:rsidRPr="0037544A" w:rsidRDefault="003608E3" w:rsidP="0037544A">
      <w:pPr>
        <w:pStyle w:val="AHRCHeading3"/>
        <w:rPr>
          <w:b/>
          <w:bCs w:val="0"/>
        </w:rPr>
      </w:pPr>
      <w:bookmarkStart w:id="77" w:name="_Toc149564197"/>
      <w:bookmarkStart w:id="78" w:name="_Toc154064239"/>
      <w:r w:rsidRPr="0037544A">
        <w:rPr>
          <w:b/>
          <w:bCs w:val="0"/>
        </w:rPr>
        <w:t>‘Interference’</w:t>
      </w:r>
      <w:bookmarkEnd w:id="77"/>
      <w:bookmarkEnd w:id="78"/>
    </w:p>
    <w:p w14:paraId="321ED5F4" w14:textId="77777777" w:rsidR="003608E3" w:rsidRDefault="003608E3" w:rsidP="00D73ED4">
      <w:pPr>
        <w:pStyle w:val="ListLevel1"/>
        <w:numPr>
          <w:ilvl w:val="0"/>
          <w:numId w:val="20"/>
        </w:numPr>
        <w:spacing w:line="240" w:lineRule="auto"/>
        <w:ind w:left="720" w:hanging="720"/>
      </w:pPr>
      <w:r w:rsidRPr="00D87D6D">
        <w:t xml:space="preserve">There is no clear guidance in the jurisprudence of the </w:t>
      </w:r>
      <w:r>
        <w:t>United Nations</w:t>
      </w:r>
      <w:r w:rsidRPr="00D87D6D">
        <w:t xml:space="preserve"> H</w:t>
      </w:r>
      <w:r>
        <w:t xml:space="preserve">uman </w:t>
      </w:r>
      <w:r w:rsidRPr="00D87D6D">
        <w:t>R</w:t>
      </w:r>
      <w:r>
        <w:t xml:space="preserve">ights Committee </w:t>
      </w:r>
      <w:r w:rsidRPr="00D87D6D">
        <w:t>as to whether a particular threshold is required in establishing that an act or practice constitutes an ‘interference’ with a person’s family. However, in relation to one communication, th</w:t>
      </w:r>
      <w:r>
        <w:t xml:space="preserve">ey </w:t>
      </w:r>
      <w:r w:rsidRPr="00D87D6D">
        <w:t>appeared to accept that a ‘considerable inconvenience’ could suffice.</w:t>
      </w:r>
      <w:r w:rsidRPr="005D7FBE">
        <w:rPr>
          <w:rStyle w:val="EndnoteReference"/>
        </w:rPr>
        <w:endnoteReference w:id="53"/>
      </w:r>
    </w:p>
    <w:p w14:paraId="6402CC27" w14:textId="637805B9" w:rsidR="003608E3" w:rsidRDefault="003608E3" w:rsidP="00D73ED4">
      <w:pPr>
        <w:pStyle w:val="ListLevel1"/>
        <w:numPr>
          <w:ilvl w:val="0"/>
          <w:numId w:val="20"/>
        </w:numPr>
        <w:spacing w:line="240" w:lineRule="auto"/>
        <w:ind w:left="720" w:hanging="720"/>
      </w:pPr>
      <w:r w:rsidRPr="00D87D6D">
        <w:t xml:space="preserve">Interpreting the word ‘interference’ using its ordinary meaning, as explained in the Commission report [2008] </w:t>
      </w:r>
      <w:proofErr w:type="spellStart"/>
      <w:r w:rsidRPr="00D87D6D">
        <w:t>AusHRC</w:t>
      </w:r>
      <w:proofErr w:type="spellEnd"/>
      <w:r w:rsidRPr="00D87D6D">
        <w:t xml:space="preserve"> 39,</w:t>
      </w:r>
      <w:r w:rsidRPr="005D7FBE">
        <w:rPr>
          <w:rStyle w:val="EndnoteReference"/>
        </w:rPr>
        <w:endnoteReference w:id="54"/>
      </w:r>
      <w:r w:rsidRPr="00D87D6D">
        <w:t xml:space="preserve"> I am satisfied that interference with the family is demonstrated by </w:t>
      </w:r>
      <w:r>
        <w:t xml:space="preserve">the Department’s transfer of Mr </w:t>
      </w:r>
      <w:r>
        <w:rPr>
          <w:szCs w:val="24"/>
        </w:rPr>
        <w:t>KX</w:t>
      </w:r>
      <w:r>
        <w:t xml:space="preserve"> from MITA to YHIDC. When Mr </w:t>
      </w:r>
      <w:r>
        <w:rPr>
          <w:szCs w:val="24"/>
        </w:rPr>
        <w:t xml:space="preserve">KX </w:t>
      </w:r>
      <w:r>
        <w:t xml:space="preserve">was in MITA his partner and stepchildren were located in the same State and were able to visit him and maintain a relationship with him. This ended when Mr </w:t>
      </w:r>
      <w:r>
        <w:rPr>
          <w:szCs w:val="24"/>
        </w:rPr>
        <w:t>KX</w:t>
      </w:r>
      <w:r>
        <w:t xml:space="preserve"> was transferred to YHIDC.</w:t>
      </w:r>
    </w:p>
    <w:p w14:paraId="5A5EDE31" w14:textId="1AF6C061" w:rsidR="003608E3" w:rsidRPr="0037544A" w:rsidRDefault="003608E3" w:rsidP="0037544A">
      <w:pPr>
        <w:pStyle w:val="AHRCHeading3"/>
        <w:rPr>
          <w:b/>
          <w:bCs w:val="0"/>
        </w:rPr>
      </w:pPr>
      <w:bookmarkStart w:id="79" w:name="_Toc149564198"/>
      <w:bookmarkStart w:id="80" w:name="_Toc154064240"/>
      <w:r w:rsidRPr="0037544A">
        <w:rPr>
          <w:b/>
          <w:bCs w:val="0"/>
        </w:rPr>
        <w:t>‘Arbitrary’</w:t>
      </w:r>
      <w:bookmarkEnd w:id="79"/>
      <w:bookmarkEnd w:id="80"/>
    </w:p>
    <w:p w14:paraId="047ED878" w14:textId="77777777" w:rsidR="003608E3" w:rsidRDefault="003608E3" w:rsidP="00D73ED4">
      <w:pPr>
        <w:pStyle w:val="ListLevel1"/>
        <w:numPr>
          <w:ilvl w:val="0"/>
          <w:numId w:val="20"/>
        </w:numPr>
        <w:spacing w:line="240" w:lineRule="auto"/>
        <w:ind w:left="720" w:hanging="720"/>
      </w:pPr>
      <w:r>
        <w:t xml:space="preserve">In its </w:t>
      </w:r>
      <w:r w:rsidRPr="00E330FE">
        <w:t xml:space="preserve">General Comment on article 17, the </w:t>
      </w:r>
      <w:r>
        <w:t>United Nations</w:t>
      </w:r>
      <w:r w:rsidRPr="00D87D6D">
        <w:t xml:space="preserve"> H</w:t>
      </w:r>
      <w:r>
        <w:t xml:space="preserve">uman </w:t>
      </w:r>
      <w:r w:rsidRPr="00D87D6D">
        <w:t>R</w:t>
      </w:r>
      <w:r>
        <w:t xml:space="preserve">ights Committee </w:t>
      </w:r>
      <w:r w:rsidRPr="00E330FE">
        <w:t>confirmed that a lawful interference with a person’s family may nevertheless be arbitrary, unless it is in accordance with the provisions, aims and objectives of the Covenant and is reasonable in the particular circumstances.</w:t>
      </w:r>
      <w:r w:rsidRPr="005D7FBE">
        <w:rPr>
          <w:rStyle w:val="EndnoteReference"/>
        </w:rPr>
        <w:endnoteReference w:id="55"/>
      </w:r>
    </w:p>
    <w:p w14:paraId="11431ED5" w14:textId="77777777" w:rsidR="003608E3" w:rsidRDefault="003608E3" w:rsidP="00D73ED4">
      <w:pPr>
        <w:pStyle w:val="ListLevel1"/>
        <w:numPr>
          <w:ilvl w:val="0"/>
          <w:numId w:val="20"/>
        </w:numPr>
        <w:spacing w:line="240" w:lineRule="auto"/>
        <w:ind w:left="720" w:hanging="720"/>
      </w:pPr>
      <w:r w:rsidRPr="00E330FE">
        <w:t>It follows that the prohibition against arbitrary interference with family incorporates notions of reasonableness.</w:t>
      </w:r>
      <w:r w:rsidRPr="005D7FBE">
        <w:rPr>
          <w:rStyle w:val="EndnoteReference"/>
        </w:rPr>
        <w:endnoteReference w:id="56"/>
      </w:r>
      <w:r w:rsidRPr="00E330FE">
        <w:t xml:space="preserve"> In relation to the meaning of reasonableness, the </w:t>
      </w:r>
      <w:r>
        <w:t>United Nations</w:t>
      </w:r>
      <w:r w:rsidRPr="00D87D6D">
        <w:t xml:space="preserve"> H</w:t>
      </w:r>
      <w:r>
        <w:t xml:space="preserve">uman </w:t>
      </w:r>
      <w:r w:rsidRPr="00D87D6D">
        <w:t>R</w:t>
      </w:r>
      <w:r>
        <w:t xml:space="preserve">ights Committee </w:t>
      </w:r>
      <w:r w:rsidRPr="00E330FE">
        <w:t xml:space="preserve">stated in </w:t>
      </w:r>
      <w:r w:rsidRPr="5B174204">
        <w:rPr>
          <w:i/>
          <w:iCs/>
        </w:rPr>
        <w:t>Toonen v Australia</w:t>
      </w:r>
      <w:r w:rsidRPr="00E330FE">
        <w:t>:</w:t>
      </w:r>
      <w:r w:rsidRPr="005D7FBE">
        <w:rPr>
          <w:rStyle w:val="EndnoteReference"/>
        </w:rPr>
        <w:endnoteReference w:id="57"/>
      </w:r>
    </w:p>
    <w:p w14:paraId="57027D70" w14:textId="77777777" w:rsidR="003608E3" w:rsidRPr="00261556" w:rsidRDefault="003608E3" w:rsidP="00261556">
      <w:pPr>
        <w:pStyle w:val="Blockquote"/>
        <w:rPr>
          <w:sz w:val="22"/>
          <w:szCs w:val="22"/>
        </w:rPr>
      </w:pPr>
      <w:r w:rsidRPr="00261556">
        <w:rPr>
          <w:sz w:val="22"/>
          <w:szCs w:val="22"/>
        </w:rPr>
        <w:lastRenderedPageBreak/>
        <w:t xml:space="preserve">The Committee interprets the requirement of reasonableness to imply that any interference with privacy must be proportional to the end sought and be necessary in the circumstances of any given case. </w:t>
      </w:r>
    </w:p>
    <w:p w14:paraId="15930409" w14:textId="77777777" w:rsidR="003608E3" w:rsidRPr="004B157D" w:rsidRDefault="003608E3" w:rsidP="00D73ED4">
      <w:pPr>
        <w:pStyle w:val="ListLevel1"/>
        <w:numPr>
          <w:ilvl w:val="0"/>
          <w:numId w:val="20"/>
        </w:numPr>
        <w:spacing w:line="240" w:lineRule="auto"/>
        <w:ind w:left="720" w:hanging="720"/>
      </w:pPr>
      <w:r>
        <w:t xml:space="preserve">Whilst the </w:t>
      </w:r>
      <w:r w:rsidRPr="5B174204">
        <w:rPr>
          <w:i/>
          <w:iCs/>
        </w:rPr>
        <w:t xml:space="preserve">Toonen </w:t>
      </w:r>
      <w:r>
        <w:t>case concerned a breach of article 17(1) in relation to the right of privacy, these comments would apply equally to an arbitrary interference with the family.</w:t>
      </w:r>
    </w:p>
    <w:p w14:paraId="440E98A6" w14:textId="77777777" w:rsidR="003608E3" w:rsidRDefault="003608E3" w:rsidP="00D73ED4">
      <w:pPr>
        <w:pStyle w:val="ListLevel1"/>
        <w:numPr>
          <w:ilvl w:val="0"/>
          <w:numId w:val="20"/>
        </w:numPr>
        <w:spacing w:line="240" w:lineRule="auto"/>
        <w:ind w:left="720" w:hanging="720"/>
        <w:rPr>
          <w:rStyle w:val="normaltextrun"/>
        </w:rPr>
      </w:pPr>
      <w:r w:rsidRPr="4C239322">
        <w:rPr>
          <w:rStyle w:val="normaltextrun"/>
        </w:rPr>
        <w:t xml:space="preserve">In </w:t>
      </w:r>
      <w:r w:rsidRPr="5B174204">
        <w:rPr>
          <w:rStyle w:val="normaltextrun"/>
          <w:i/>
          <w:iCs/>
        </w:rPr>
        <w:t>Deepan Budlakoti v Canada</w:t>
      </w:r>
      <w:r>
        <w:rPr>
          <w:rStyle w:val="normaltextrun"/>
        </w:rPr>
        <w:t>,</w:t>
      </w:r>
      <w:r w:rsidRPr="007B1888">
        <w:rPr>
          <w:rStyle w:val="EndnoteReference"/>
        </w:rPr>
        <w:endnoteReference w:id="58"/>
      </w:r>
      <w:r w:rsidRPr="5B174204">
        <w:rPr>
          <w:rStyle w:val="normaltextrun"/>
          <w:i/>
          <w:iCs/>
        </w:rPr>
        <w:t xml:space="preserve"> </w:t>
      </w:r>
      <w:r w:rsidRPr="4C239322">
        <w:rPr>
          <w:rStyle w:val="normaltextrun"/>
        </w:rPr>
        <w:t>the United Nations Human Rights Committee considered the interference caused by removing one family member from a country, stating that:</w:t>
      </w:r>
    </w:p>
    <w:p w14:paraId="7F02E7CD" w14:textId="13093662" w:rsidR="003608E3" w:rsidRPr="007D6D2A" w:rsidRDefault="003608E3" w:rsidP="007D6D2A">
      <w:pPr>
        <w:pStyle w:val="Blockquote"/>
        <w:rPr>
          <w:rStyle w:val="normaltextrun"/>
          <w:sz w:val="22"/>
          <w:szCs w:val="22"/>
        </w:rPr>
      </w:pPr>
      <w:r w:rsidRPr="007D6D2A">
        <w:rPr>
          <w:rStyle w:val="normaltextrun"/>
          <w:sz w:val="22"/>
          <w:szCs w:val="22"/>
        </w:rPr>
        <w:t>The relevant criteria for assessing whether or not the specific interference with family life can be objectively justified must be considered in the light, on the one hand, of the significance of the State party’s reasons for the removal of the person concerned, and on the other hand, the degree of hardship the family and its members would encounter as a consequence of such removal.</w:t>
      </w:r>
      <w:r w:rsidRPr="007D6D2A">
        <w:rPr>
          <w:rStyle w:val="eop"/>
          <w:sz w:val="22"/>
          <w:szCs w:val="22"/>
        </w:rPr>
        <w:t> </w:t>
      </w:r>
    </w:p>
    <w:p w14:paraId="2D8398F6" w14:textId="77777777" w:rsidR="003608E3" w:rsidRDefault="003608E3" w:rsidP="00D73ED4">
      <w:pPr>
        <w:pStyle w:val="ListLevel1"/>
        <w:numPr>
          <w:ilvl w:val="0"/>
          <w:numId w:val="20"/>
        </w:numPr>
        <w:spacing w:line="240" w:lineRule="auto"/>
        <w:ind w:left="720" w:hanging="720"/>
      </w:pPr>
      <w:r>
        <w:t xml:space="preserve">The interference with Mr </w:t>
      </w:r>
      <w:r>
        <w:rPr>
          <w:szCs w:val="24"/>
        </w:rPr>
        <w:t>KX</w:t>
      </w:r>
      <w:r>
        <w:t xml:space="preserve">’s family was a direct consequence of the decision to transfer him from MITA to YHIDC. The transfer caused a substantial obstacle to maintaining any sense of normal family life and connection, and denied Mr </w:t>
      </w:r>
      <w:r>
        <w:rPr>
          <w:szCs w:val="24"/>
        </w:rPr>
        <w:t>KX</w:t>
      </w:r>
      <w:r>
        <w:t xml:space="preserve"> the family support network that was important to his wellbeing. In particular, the transfer created logistical and emotional barriers for his relationship and stopped him from being able to see his three stepchildren. Mr </w:t>
      </w:r>
      <w:r>
        <w:rPr>
          <w:szCs w:val="24"/>
        </w:rPr>
        <w:t>KX</w:t>
      </w:r>
      <w:r>
        <w:t xml:space="preserve"> has consistently expressed his grief about being separated from his partner and stepchildren. </w:t>
      </w:r>
    </w:p>
    <w:p w14:paraId="2C8FE804" w14:textId="77777777" w:rsidR="003608E3" w:rsidRPr="00B3095B" w:rsidRDefault="003608E3" w:rsidP="00D73ED4">
      <w:pPr>
        <w:pStyle w:val="ListLevel1"/>
        <w:numPr>
          <w:ilvl w:val="0"/>
          <w:numId w:val="20"/>
        </w:numPr>
        <w:spacing w:line="240" w:lineRule="auto"/>
        <w:ind w:left="720" w:hanging="720"/>
      </w:pPr>
      <w:r w:rsidRPr="00B3095B">
        <w:t xml:space="preserve">In response to my Preliminary View, the Department stated that Mr </w:t>
      </w:r>
      <w:r w:rsidRPr="00B3095B">
        <w:rPr>
          <w:szCs w:val="24"/>
        </w:rPr>
        <w:t>KX</w:t>
      </w:r>
      <w:r w:rsidRPr="00B3095B">
        <w:t xml:space="preserve">’s family links were given due consideration when deciding to transfer him to YHIDC. The Department reiterated that ‘where a transfer is required to address a matter of security or good order, or other operational reasons, family links, whilst considered, are not a barrier to transfer’. The Department, however, provided no documents or other evidence to indicate the consideration it gave to Mr </w:t>
      </w:r>
      <w:r w:rsidRPr="00B3095B">
        <w:rPr>
          <w:szCs w:val="24"/>
        </w:rPr>
        <w:t>KX</w:t>
      </w:r>
      <w:r w:rsidRPr="00B3095B">
        <w:t xml:space="preserve">’s family relationships when deciding to transfer him to YHIDC. The Department has also provided no information to suggest that it considered the alternatives to transfer to YHIDC which could have addressed the security concerns whilst maintaining Mr </w:t>
      </w:r>
      <w:r w:rsidRPr="00B3095B">
        <w:rPr>
          <w:szCs w:val="24"/>
        </w:rPr>
        <w:t>KX</w:t>
      </w:r>
      <w:r w:rsidRPr="00B3095B">
        <w:t xml:space="preserve">’s family links. </w:t>
      </w:r>
    </w:p>
    <w:p w14:paraId="27C4A258" w14:textId="77777777" w:rsidR="003608E3" w:rsidRPr="0039639F" w:rsidRDefault="003608E3" w:rsidP="00D73ED4">
      <w:pPr>
        <w:pStyle w:val="ListLevel1"/>
        <w:numPr>
          <w:ilvl w:val="0"/>
          <w:numId w:val="20"/>
        </w:numPr>
        <w:spacing w:line="240" w:lineRule="auto"/>
        <w:ind w:left="720" w:hanging="720"/>
      </w:pPr>
      <w:r>
        <w:t xml:space="preserve">For the reasons set out above, I do not consider that the decision to transfer Mr </w:t>
      </w:r>
      <w:r>
        <w:rPr>
          <w:szCs w:val="24"/>
        </w:rPr>
        <w:t>KX</w:t>
      </w:r>
      <w:r>
        <w:t xml:space="preserve">, involuntarily and without notice, has been justified by the department as reasonable and proportionate in all the circumstances. Accordingly, I find that the family separation was also arbitrary and was contrary to Mr </w:t>
      </w:r>
      <w:r>
        <w:rPr>
          <w:szCs w:val="24"/>
        </w:rPr>
        <w:t>KX</w:t>
      </w:r>
      <w:r>
        <w:t xml:space="preserve">’s rights under Article 17 of the ICCPR. </w:t>
      </w:r>
    </w:p>
    <w:p w14:paraId="3D94C8FC" w14:textId="77777777" w:rsidR="003608E3" w:rsidRPr="00DA2416" w:rsidRDefault="003608E3" w:rsidP="00D73ED4">
      <w:pPr>
        <w:pStyle w:val="ListLevel1"/>
        <w:numPr>
          <w:ilvl w:val="0"/>
          <w:numId w:val="20"/>
        </w:numPr>
        <w:spacing w:line="240" w:lineRule="auto"/>
        <w:ind w:left="720" w:hanging="720"/>
      </w:pPr>
      <w:r>
        <w:t xml:space="preserve">Given my finding that the interference with Mr </w:t>
      </w:r>
      <w:r>
        <w:rPr>
          <w:szCs w:val="24"/>
        </w:rPr>
        <w:t>KX</w:t>
      </w:r>
      <w:r>
        <w:t xml:space="preserve">’s family life is arbitrary in breach of article 17(1), I find that there has also been a breach of article </w:t>
      </w:r>
      <w:r>
        <w:lastRenderedPageBreak/>
        <w:t>23 of the ICCPR in this matter.</w:t>
      </w:r>
    </w:p>
    <w:p w14:paraId="0FEF3C2C" w14:textId="4194F936" w:rsidR="003608E3" w:rsidRPr="0037544A" w:rsidRDefault="003608E3" w:rsidP="0037544A">
      <w:pPr>
        <w:pStyle w:val="AHRCHeading1"/>
        <w:rPr>
          <w:rStyle w:val="normaltextrun"/>
        </w:rPr>
      </w:pPr>
      <w:bookmarkStart w:id="81" w:name="_Toc149564199"/>
      <w:bookmarkStart w:id="82" w:name="_Toc154064241"/>
      <w:r w:rsidRPr="0037544A">
        <w:t>Recommendations</w:t>
      </w:r>
      <w:bookmarkEnd w:id="81"/>
      <w:bookmarkEnd w:id="82"/>
    </w:p>
    <w:p w14:paraId="67E4288B" w14:textId="77777777" w:rsidR="003608E3" w:rsidRPr="006C6AD5" w:rsidRDefault="003608E3" w:rsidP="00D73ED4">
      <w:pPr>
        <w:pStyle w:val="ListLevel1"/>
        <w:numPr>
          <w:ilvl w:val="0"/>
          <w:numId w:val="20"/>
        </w:numPr>
        <w:spacing w:line="240" w:lineRule="auto"/>
        <w:ind w:left="720" w:hanging="720"/>
      </w:pPr>
      <w:r w:rsidRPr="006C6AD5">
        <w:t>Where, after conducting an inquiry, the Commission finds that an act or practice engaged in by a respondent is inconsistent with or contrary to any human right, the Commission is required to serve notice on the respondent setting out its findings and reasons for those findings.</w:t>
      </w:r>
      <w:r w:rsidRPr="006C6AD5">
        <w:rPr>
          <w:rStyle w:val="EndnoteReference"/>
        </w:rPr>
        <w:endnoteReference w:id="59"/>
      </w:r>
      <w:r w:rsidRPr="006C6AD5">
        <w:t xml:space="preserve"> The Commission may include in the notice any recommendations for preventing a repetition of the act or a continuation of the practice.</w:t>
      </w:r>
      <w:r w:rsidRPr="006C6AD5">
        <w:rPr>
          <w:rStyle w:val="EndnoteReference"/>
        </w:rPr>
        <w:endnoteReference w:id="60"/>
      </w:r>
      <w:r w:rsidRPr="006C6AD5">
        <w:t xml:space="preserve"> The Commission may also recommend other action to remedy or reduce the loss or damage suffered by a person.</w:t>
      </w:r>
      <w:r w:rsidRPr="006C6AD5">
        <w:rPr>
          <w:rStyle w:val="EndnoteReference"/>
        </w:rPr>
        <w:endnoteReference w:id="61"/>
      </w:r>
    </w:p>
    <w:p w14:paraId="36F43E0E" w14:textId="77777777" w:rsidR="003608E3" w:rsidRPr="006C6AD5" w:rsidRDefault="003608E3" w:rsidP="00D73ED4">
      <w:pPr>
        <w:pStyle w:val="ListLevel1"/>
        <w:numPr>
          <w:ilvl w:val="0"/>
          <w:numId w:val="20"/>
        </w:numPr>
        <w:spacing w:line="240" w:lineRule="auto"/>
        <w:ind w:left="720" w:hanging="720"/>
      </w:pPr>
      <w:r w:rsidRPr="006C6AD5">
        <w:t>Recommendations for compensation are expressly contemplated in the AHRC Act.</w:t>
      </w:r>
      <w:r w:rsidRPr="006C6AD5">
        <w:rPr>
          <w:rStyle w:val="EndnoteReference"/>
        </w:rPr>
        <w:endnoteReference w:id="62"/>
      </w:r>
      <w:r w:rsidRPr="006C6AD5">
        <w:t xml:space="preserve"> In considering the assessment of a recommendation for compensation under section 35 of the AHRC Act (relating to discrimination matters under Part II, Division 4 of the AHRC Act), the Federal Court has indicated that tort principles for the assessment of damages should be applied.</w:t>
      </w:r>
      <w:r w:rsidRPr="006C6AD5">
        <w:rPr>
          <w:rStyle w:val="EndnoteReference"/>
        </w:rPr>
        <w:endnoteReference w:id="63"/>
      </w:r>
    </w:p>
    <w:p w14:paraId="4482B6A6" w14:textId="77777777" w:rsidR="0037544A" w:rsidRPr="0037544A" w:rsidRDefault="003608E3" w:rsidP="00D73ED4">
      <w:pPr>
        <w:pStyle w:val="ListLevel1"/>
        <w:numPr>
          <w:ilvl w:val="0"/>
          <w:numId w:val="20"/>
        </w:numPr>
        <w:spacing w:line="240" w:lineRule="auto"/>
        <w:ind w:left="720" w:hanging="720"/>
        <w:rPr>
          <w:szCs w:val="24"/>
          <w:lang w:eastAsia="en-AU"/>
        </w:rPr>
      </w:pPr>
      <w:r w:rsidRPr="006C6AD5">
        <w:rPr>
          <w:lang w:eastAsia="en-AU"/>
        </w:rPr>
        <w:t xml:space="preserve">I am of the view that this is the appropriate approach to take to the present matter. For this reason, so far as is possible in the case of a recommendation </w:t>
      </w:r>
      <w:r w:rsidRPr="006C6AD5">
        <w:t>for</w:t>
      </w:r>
      <w:r w:rsidRPr="006C6AD5">
        <w:rPr>
          <w:lang w:eastAsia="en-AU"/>
        </w:rPr>
        <w:t xml:space="preserve"> compensation, the object should be to place the injured party in the same position as if the wrong had not occurred. </w:t>
      </w:r>
    </w:p>
    <w:p w14:paraId="7007EBEA" w14:textId="65A5D166" w:rsidR="003608E3" w:rsidRPr="0037544A" w:rsidRDefault="003608E3" w:rsidP="0037544A">
      <w:pPr>
        <w:pStyle w:val="ListLevel1"/>
        <w:numPr>
          <w:ilvl w:val="0"/>
          <w:numId w:val="0"/>
        </w:numPr>
        <w:spacing w:line="240" w:lineRule="auto"/>
        <w:ind w:left="720"/>
        <w:rPr>
          <w:szCs w:val="24"/>
          <w:lang w:eastAsia="en-AU"/>
        </w:rPr>
      </w:pPr>
      <w:r w:rsidRPr="0037544A">
        <w:rPr>
          <w:b/>
          <w:bCs/>
        </w:rPr>
        <w:t>Recommendation 1</w:t>
      </w:r>
    </w:p>
    <w:p w14:paraId="3DD986A1" w14:textId="255F20C1" w:rsidR="003608E3" w:rsidRPr="0037544A" w:rsidRDefault="003608E3" w:rsidP="0037544A">
      <w:pPr>
        <w:ind w:left="720"/>
        <w:rPr>
          <w:rFonts w:eastAsia="Times New Roman" w:cs="Open Sans"/>
        </w:rPr>
      </w:pPr>
      <w:r w:rsidRPr="006C6AD5">
        <w:rPr>
          <w:rFonts w:eastAsia="Times New Roman" w:cs="Open Sans"/>
        </w:rPr>
        <w:t xml:space="preserve">The Commission recommends that the Commonwealth pay to Mr </w:t>
      </w:r>
      <w:r w:rsidRPr="006C6AD5">
        <w:rPr>
          <w:rFonts w:cs="Open Sans"/>
        </w:rPr>
        <w:t>KX</w:t>
      </w:r>
      <w:r w:rsidRPr="006C6AD5">
        <w:rPr>
          <w:rFonts w:eastAsia="Times New Roman" w:cs="Open Sans"/>
        </w:rPr>
        <w:t xml:space="preserve"> an appropriate amount of compensation to reflect the loss and damage he suffered as a result of the breach of his human rights identified by this inquiry,</w:t>
      </w:r>
      <w:r w:rsidRPr="006C6AD5">
        <w:t xml:space="preserve"> </w:t>
      </w:r>
      <w:r w:rsidRPr="006C6AD5">
        <w:rPr>
          <w:rFonts w:eastAsia="Times New Roman" w:cs="Open Sans"/>
        </w:rPr>
        <w:t xml:space="preserve">being the pain and suffering he experienced as a result of the force used against him.  </w:t>
      </w:r>
    </w:p>
    <w:p w14:paraId="15093F73" w14:textId="4D7858C4" w:rsidR="003608E3" w:rsidRPr="006C6AD5" w:rsidRDefault="003608E3" w:rsidP="0037544A">
      <w:pPr>
        <w:ind w:left="720"/>
        <w:rPr>
          <w:rFonts w:cs="Open Sans"/>
          <w:b/>
          <w:bCs/>
        </w:rPr>
      </w:pPr>
      <w:r w:rsidRPr="006C6AD5">
        <w:rPr>
          <w:rFonts w:cs="Open Sans"/>
          <w:b/>
          <w:bCs/>
        </w:rPr>
        <w:t>Recommendation 2</w:t>
      </w:r>
    </w:p>
    <w:p w14:paraId="43072D51" w14:textId="1CF22A14" w:rsidR="003608E3" w:rsidRPr="0037544A" w:rsidRDefault="003608E3" w:rsidP="0037544A">
      <w:pPr>
        <w:ind w:left="720"/>
        <w:rPr>
          <w:rFonts w:cs="Open Sans"/>
        </w:rPr>
      </w:pPr>
      <w:r w:rsidRPr="006C6AD5">
        <w:rPr>
          <w:rFonts w:cs="Open Sans"/>
        </w:rPr>
        <w:t xml:space="preserve">The Commission recommends that the Department explore placement options within the immigration detention network that would allow Mr KX to be detained in a facility where his partner and children could reasonably be able to visit him.  </w:t>
      </w:r>
    </w:p>
    <w:p w14:paraId="2580A3D0" w14:textId="1144F0B3" w:rsidR="003608E3" w:rsidRPr="006C6AD5" w:rsidRDefault="003608E3" w:rsidP="0037544A">
      <w:pPr>
        <w:ind w:left="720"/>
        <w:rPr>
          <w:rFonts w:cs="Open Sans"/>
          <w:b/>
          <w:bCs/>
        </w:rPr>
      </w:pPr>
      <w:r w:rsidRPr="006C6AD5">
        <w:rPr>
          <w:rFonts w:cs="Open Sans"/>
          <w:b/>
          <w:bCs/>
        </w:rPr>
        <w:t>Recommendation 3</w:t>
      </w:r>
    </w:p>
    <w:p w14:paraId="53192639" w14:textId="77777777" w:rsidR="003608E3" w:rsidRPr="00CA39A3" w:rsidRDefault="003608E3" w:rsidP="0037544A">
      <w:pPr>
        <w:ind w:left="720"/>
        <w:rPr>
          <w:rFonts w:cs="Open Sans"/>
        </w:rPr>
      </w:pPr>
      <w:r w:rsidRPr="006C6AD5">
        <w:rPr>
          <w:rFonts w:cs="Open Sans"/>
        </w:rPr>
        <w:t xml:space="preserve">The Commission recommends that a Departmental policy is created to require Departmental officers to document their consideration of a </w:t>
      </w:r>
      <w:r w:rsidRPr="006C6AD5">
        <w:rPr>
          <w:rFonts w:cs="Open Sans"/>
        </w:rPr>
        <w:lastRenderedPageBreak/>
        <w:t>detainee’s welfare and family connections when making decisions in relation to the placement of detainees that may interfere with their family relationships. This Policy should require Departmental officers to document their consideration of a child’s best interests with respect to all decisions which may affect a child including the placement of their parent within the immigration detention network.</w:t>
      </w:r>
    </w:p>
    <w:p w14:paraId="700C0B6D" w14:textId="6880D6D8" w:rsidR="003608E3" w:rsidRDefault="00DF0AC9" w:rsidP="0037544A">
      <w:pPr>
        <w:pStyle w:val="AHRCHeading1"/>
      </w:pPr>
      <w:bookmarkStart w:id="83" w:name="_Toc154064242"/>
      <w:r>
        <w:t xml:space="preserve">The </w:t>
      </w:r>
      <w:r w:rsidR="00C316A9">
        <w:t>Department’s response to my findings and recommendations</w:t>
      </w:r>
      <w:bookmarkEnd w:id="83"/>
    </w:p>
    <w:p w14:paraId="3ECF1F05" w14:textId="40EEFF25" w:rsidR="00C316A9" w:rsidRPr="00230A08" w:rsidRDefault="00C316A9" w:rsidP="00D73ED4">
      <w:pPr>
        <w:pStyle w:val="ListLevel1"/>
        <w:numPr>
          <w:ilvl w:val="0"/>
          <w:numId w:val="20"/>
        </w:numPr>
        <w:spacing w:line="240" w:lineRule="auto"/>
        <w:ind w:left="720" w:hanging="720"/>
        <w:rPr>
          <w:szCs w:val="24"/>
          <w:lang w:eastAsia="en-AU"/>
        </w:rPr>
      </w:pPr>
      <w:r>
        <w:rPr>
          <w:lang w:eastAsia="en-AU"/>
        </w:rPr>
        <w:t xml:space="preserve">On </w:t>
      </w:r>
      <w:r w:rsidR="007D2FEE">
        <w:rPr>
          <w:lang w:eastAsia="en-AU"/>
        </w:rPr>
        <w:t xml:space="preserve">10 </w:t>
      </w:r>
      <w:r w:rsidR="00230A08">
        <w:rPr>
          <w:lang w:eastAsia="en-AU"/>
        </w:rPr>
        <w:t xml:space="preserve">November 2023, I provided the Department with a notice of my findings and recommendations. </w:t>
      </w:r>
    </w:p>
    <w:p w14:paraId="6C67C954" w14:textId="2EFB5D57" w:rsidR="00230A08" w:rsidRPr="00503FC7" w:rsidRDefault="00230A08" w:rsidP="00D73ED4">
      <w:pPr>
        <w:pStyle w:val="ListLevel1"/>
        <w:numPr>
          <w:ilvl w:val="0"/>
          <w:numId w:val="20"/>
        </w:numPr>
        <w:spacing w:line="240" w:lineRule="auto"/>
        <w:ind w:left="720" w:hanging="720"/>
        <w:rPr>
          <w:szCs w:val="24"/>
          <w:lang w:eastAsia="en-AU"/>
        </w:rPr>
      </w:pPr>
      <w:r>
        <w:rPr>
          <w:lang w:eastAsia="en-AU"/>
        </w:rPr>
        <w:t xml:space="preserve">On </w:t>
      </w:r>
      <w:r w:rsidR="00520D84">
        <w:rPr>
          <w:lang w:eastAsia="en-AU"/>
        </w:rPr>
        <w:t xml:space="preserve">19 December 2023, the Department provided the following response to my findings and recommendations: </w:t>
      </w:r>
    </w:p>
    <w:p w14:paraId="0A6561A3" w14:textId="77777777" w:rsidR="00EC1B6E" w:rsidRPr="00EC1B6E" w:rsidRDefault="00EC1B6E" w:rsidP="00EC1B6E">
      <w:pPr>
        <w:pStyle w:val="Blockquote"/>
        <w:rPr>
          <w:sz w:val="22"/>
          <w:szCs w:val="22"/>
        </w:rPr>
      </w:pPr>
      <w:r w:rsidRPr="00EC1B6E">
        <w:rPr>
          <w:sz w:val="22"/>
          <w:szCs w:val="22"/>
        </w:rPr>
        <w:t xml:space="preserve">The Department of Home Affairs (the department) values the role of the Australian Human Rights Commission (the Commission) to inquire into human rights complaints and acknowledges the findings identified in this report and the recommendations made by the President of the Commission. </w:t>
      </w:r>
    </w:p>
    <w:p w14:paraId="6E5F6B53" w14:textId="77777777" w:rsidR="00EC1B6E" w:rsidRPr="00EC1B6E" w:rsidRDefault="00EC1B6E" w:rsidP="00EC1B6E">
      <w:pPr>
        <w:pStyle w:val="Blockquote"/>
        <w:rPr>
          <w:sz w:val="22"/>
          <w:szCs w:val="22"/>
        </w:rPr>
      </w:pPr>
      <w:r w:rsidRPr="00EC1B6E">
        <w:rPr>
          <w:sz w:val="22"/>
          <w:szCs w:val="22"/>
        </w:rPr>
        <w:t xml:space="preserve">The department does not agree that the Commonwealth engaged in acts that were inconsistent with, or contrary to, articles 10(1), 17(1) and 23(1) of the International Covenant on Civil and Political Rights (ICCPR). </w:t>
      </w:r>
    </w:p>
    <w:p w14:paraId="5DA5496F" w14:textId="77777777" w:rsidR="00EC1B6E" w:rsidRPr="00EC1B6E" w:rsidRDefault="00EC1B6E" w:rsidP="00EC1B6E">
      <w:pPr>
        <w:pStyle w:val="Blockquote"/>
        <w:rPr>
          <w:sz w:val="22"/>
          <w:szCs w:val="22"/>
        </w:rPr>
      </w:pPr>
      <w:r w:rsidRPr="00EC1B6E">
        <w:rPr>
          <w:b/>
          <w:bCs/>
          <w:i/>
          <w:iCs/>
          <w:sz w:val="22"/>
          <w:szCs w:val="22"/>
        </w:rPr>
        <w:t xml:space="preserve">Recommendation 1 –Disagree </w:t>
      </w:r>
    </w:p>
    <w:p w14:paraId="28FF11F3" w14:textId="77777777" w:rsidR="00EC1B6E" w:rsidRPr="00EC1B6E" w:rsidRDefault="00EC1B6E" w:rsidP="00EC1B6E">
      <w:pPr>
        <w:pStyle w:val="Blockquote"/>
        <w:rPr>
          <w:sz w:val="22"/>
          <w:szCs w:val="22"/>
        </w:rPr>
      </w:pPr>
      <w:r w:rsidRPr="00EC1B6E">
        <w:rPr>
          <w:b/>
          <w:bCs/>
          <w:i/>
          <w:iCs/>
          <w:sz w:val="22"/>
          <w:szCs w:val="22"/>
        </w:rPr>
        <w:t xml:space="preserve">The Commission recommends that the Commonwealth pay to Mr KX an appropriate amount of compensation to reflect the loss and damage he suffered as a result of the breach of his human rights identified by this inquiry, being the pain and suffering he experienced as a result of the use of force against him. </w:t>
      </w:r>
    </w:p>
    <w:p w14:paraId="5C605CF6" w14:textId="77777777" w:rsidR="00EC1B6E" w:rsidRPr="00EC1B6E" w:rsidRDefault="00EC1B6E" w:rsidP="00EC1B6E">
      <w:pPr>
        <w:pStyle w:val="Blockquote"/>
        <w:rPr>
          <w:sz w:val="22"/>
          <w:szCs w:val="22"/>
        </w:rPr>
      </w:pPr>
      <w:r w:rsidRPr="00EC1B6E">
        <w:rPr>
          <w:sz w:val="22"/>
          <w:szCs w:val="22"/>
        </w:rPr>
        <w:t xml:space="preserve">The Commonwealth can only pay compensation to settle a monetary claim against the Department if there is a meaningful prospect of legal liability within the meaning of the Legal Services Directions 2017 and it would be within legal principle and practice to resolve this matter on those terms. Based on the current evidence, the Department’s position is that it is not appropriate to pay compensation in this instance. </w:t>
      </w:r>
    </w:p>
    <w:p w14:paraId="77DB205B" w14:textId="77777777" w:rsidR="00EC1B6E" w:rsidRPr="00EC1B6E" w:rsidRDefault="00EC1B6E" w:rsidP="00EC1B6E">
      <w:pPr>
        <w:pStyle w:val="Blockquote"/>
        <w:rPr>
          <w:sz w:val="22"/>
          <w:szCs w:val="22"/>
        </w:rPr>
      </w:pPr>
      <w:r w:rsidRPr="00EC1B6E">
        <w:rPr>
          <w:b/>
          <w:bCs/>
          <w:sz w:val="22"/>
          <w:szCs w:val="22"/>
        </w:rPr>
        <w:t xml:space="preserve">Recommendation 2 – </w:t>
      </w:r>
      <w:r w:rsidRPr="00EC1B6E">
        <w:rPr>
          <w:b/>
          <w:bCs/>
          <w:i/>
          <w:iCs/>
          <w:sz w:val="22"/>
          <w:szCs w:val="22"/>
        </w:rPr>
        <w:t xml:space="preserve">Agree (already implemented) </w:t>
      </w:r>
    </w:p>
    <w:p w14:paraId="2C753ED7" w14:textId="77777777" w:rsidR="00EC1B6E" w:rsidRPr="00EC1B6E" w:rsidRDefault="00EC1B6E" w:rsidP="00EC1B6E">
      <w:pPr>
        <w:pStyle w:val="Blockquote"/>
        <w:rPr>
          <w:sz w:val="22"/>
          <w:szCs w:val="22"/>
        </w:rPr>
      </w:pPr>
      <w:r w:rsidRPr="00EC1B6E">
        <w:rPr>
          <w:b/>
          <w:bCs/>
          <w:sz w:val="22"/>
          <w:szCs w:val="22"/>
        </w:rPr>
        <w:t xml:space="preserve">The Commission recommends that the Department explore placement options within the immigration detention network that would allow Mr KX to be detained in a facility where his partner and children could reasonably be able to visit him. </w:t>
      </w:r>
    </w:p>
    <w:p w14:paraId="28F89AA5" w14:textId="77777777" w:rsidR="00EC1B6E" w:rsidRPr="00EC1B6E" w:rsidRDefault="00EC1B6E" w:rsidP="00EC1B6E">
      <w:pPr>
        <w:pStyle w:val="Blockquote"/>
        <w:rPr>
          <w:sz w:val="22"/>
          <w:szCs w:val="22"/>
        </w:rPr>
      </w:pPr>
      <w:r w:rsidRPr="00EC1B6E">
        <w:rPr>
          <w:sz w:val="22"/>
          <w:szCs w:val="22"/>
        </w:rPr>
        <w:t xml:space="preserve">Mr KX was released from immigration detention on 11 November 2023. </w:t>
      </w:r>
    </w:p>
    <w:p w14:paraId="64516BEE" w14:textId="77777777" w:rsidR="00EC1B6E" w:rsidRPr="00EC1B6E" w:rsidRDefault="00EC1B6E" w:rsidP="00EC1B6E">
      <w:pPr>
        <w:pStyle w:val="Blockquote"/>
        <w:rPr>
          <w:sz w:val="22"/>
          <w:szCs w:val="22"/>
        </w:rPr>
      </w:pPr>
      <w:r w:rsidRPr="00EC1B6E">
        <w:rPr>
          <w:b/>
          <w:bCs/>
          <w:sz w:val="22"/>
          <w:szCs w:val="22"/>
        </w:rPr>
        <w:lastRenderedPageBreak/>
        <w:t xml:space="preserve">Recommendation 3 - </w:t>
      </w:r>
      <w:r w:rsidRPr="00EC1B6E">
        <w:rPr>
          <w:b/>
          <w:bCs/>
          <w:i/>
          <w:iCs/>
          <w:sz w:val="22"/>
          <w:szCs w:val="22"/>
        </w:rPr>
        <w:t xml:space="preserve">Partially Agree </w:t>
      </w:r>
    </w:p>
    <w:p w14:paraId="22A667F3" w14:textId="77777777" w:rsidR="00EC1B6E" w:rsidRPr="00EC1B6E" w:rsidRDefault="00EC1B6E" w:rsidP="00EC1B6E">
      <w:pPr>
        <w:pStyle w:val="Blockquote"/>
        <w:rPr>
          <w:sz w:val="22"/>
          <w:szCs w:val="22"/>
        </w:rPr>
      </w:pPr>
      <w:r w:rsidRPr="00EC1B6E">
        <w:rPr>
          <w:b/>
          <w:bCs/>
          <w:sz w:val="22"/>
          <w:szCs w:val="22"/>
        </w:rPr>
        <w:t xml:space="preserve">The Commission recommends that a Departmental policy is created to require Departmental officers to document their consideration of a detainee’s welfare and family connections when making decisions in relation to the placement of detainees that may interfere with their family relationships. This Policy should require Departmental officers to document their consideration of a child’s best interests with respect to all decisions which may affect a child including the placement of their parent within the immigration detention network. </w:t>
      </w:r>
    </w:p>
    <w:p w14:paraId="64EE8AA0" w14:textId="77777777" w:rsidR="00EC1B6E" w:rsidRPr="00EC1B6E" w:rsidRDefault="00EC1B6E" w:rsidP="00EC1B6E">
      <w:pPr>
        <w:pStyle w:val="Blockquote"/>
        <w:rPr>
          <w:sz w:val="22"/>
          <w:szCs w:val="22"/>
        </w:rPr>
      </w:pPr>
      <w:r w:rsidRPr="00EC1B6E">
        <w:rPr>
          <w:sz w:val="22"/>
          <w:szCs w:val="22"/>
        </w:rPr>
        <w:t xml:space="preserve">The Department partially agrees with this recommendation. </w:t>
      </w:r>
    </w:p>
    <w:p w14:paraId="2E49028E" w14:textId="77777777" w:rsidR="00EC1B6E" w:rsidRPr="00EC1B6E" w:rsidRDefault="00EC1B6E" w:rsidP="00EC1B6E">
      <w:pPr>
        <w:pStyle w:val="Blockquote"/>
        <w:rPr>
          <w:sz w:val="22"/>
          <w:szCs w:val="22"/>
        </w:rPr>
      </w:pPr>
      <w:r w:rsidRPr="00EC1B6E">
        <w:rPr>
          <w:sz w:val="22"/>
          <w:szCs w:val="22"/>
        </w:rPr>
        <w:t xml:space="preserve">The Department maintains that endorsed operational policy is already in place which describes the procedure for determining the most appropriate placement option for detainees within the Immigration Detention Network, including record keeping requirements. </w:t>
      </w:r>
    </w:p>
    <w:p w14:paraId="41F3C0AD" w14:textId="77777777" w:rsidR="00EC1B6E" w:rsidRPr="00EC1B6E" w:rsidRDefault="00EC1B6E" w:rsidP="00EC1B6E">
      <w:pPr>
        <w:pStyle w:val="Blockquote"/>
        <w:rPr>
          <w:sz w:val="22"/>
          <w:szCs w:val="22"/>
        </w:rPr>
      </w:pPr>
      <w:r w:rsidRPr="00EC1B6E">
        <w:rPr>
          <w:sz w:val="22"/>
          <w:szCs w:val="22"/>
        </w:rPr>
        <w:t xml:space="preserve">All detainee placement decisions are made in consultation with key stakeholders, including the Australian Border Force, Status Resolution, the Facilities and Detainee Services Provider and Detention Health Services Provider to consider all aspects of a detainee’s personal circumstances including, but not limited to the detainee’s health and welfare needs, as well as operational safety and security requirements. </w:t>
      </w:r>
    </w:p>
    <w:p w14:paraId="5851D002" w14:textId="3F338470" w:rsidR="00EC1B6E" w:rsidRDefault="00EC1B6E" w:rsidP="003940CF">
      <w:pPr>
        <w:pStyle w:val="Blockquote"/>
        <w:rPr>
          <w:sz w:val="22"/>
          <w:szCs w:val="22"/>
        </w:rPr>
      </w:pPr>
      <w:r w:rsidRPr="003940CF">
        <w:rPr>
          <w:sz w:val="22"/>
          <w:szCs w:val="22"/>
        </w:rPr>
        <w:t>Placement decisions are supported through use of the Detention Placement Assessment. This tool provides transparency and accountability of individual detainee placement decisions, with delegate authorisation required on the decision record.</w:t>
      </w:r>
    </w:p>
    <w:p w14:paraId="6101A2E9" w14:textId="77777777" w:rsidR="00FB1EC7" w:rsidRPr="00FB1EC7" w:rsidRDefault="00FB1EC7" w:rsidP="00FB1EC7">
      <w:pPr>
        <w:pStyle w:val="Blockquote"/>
        <w:rPr>
          <w:sz w:val="22"/>
          <w:szCs w:val="22"/>
        </w:rPr>
      </w:pPr>
      <w:r w:rsidRPr="00FB1EC7">
        <w:rPr>
          <w:i/>
          <w:iCs/>
          <w:sz w:val="22"/>
          <w:szCs w:val="22"/>
        </w:rPr>
        <w:t xml:space="preserve">Detention Services Manual – Procedural Instruction – Detainee placement - Assessment and placement of detainees in an IDF </w:t>
      </w:r>
      <w:r w:rsidRPr="00FB1EC7">
        <w:rPr>
          <w:sz w:val="22"/>
          <w:szCs w:val="22"/>
        </w:rPr>
        <w:t xml:space="preserve">(DM-5126) is currently under review by the ABF; the ABF agrees to consider the Commission’s recommendation as part of this review. </w:t>
      </w:r>
    </w:p>
    <w:p w14:paraId="3CD6AC55" w14:textId="5A7E438F" w:rsidR="004826A8" w:rsidRPr="004826A8" w:rsidRDefault="00FB1EC7" w:rsidP="004826A8">
      <w:pPr>
        <w:pStyle w:val="Blockquote"/>
        <w:spacing w:after="240"/>
        <w:rPr>
          <w:b/>
          <w:bCs/>
          <w:sz w:val="22"/>
          <w:szCs w:val="22"/>
        </w:rPr>
      </w:pPr>
      <w:r w:rsidRPr="00FB1EC7">
        <w:rPr>
          <w:b/>
          <w:bCs/>
          <w:sz w:val="22"/>
          <w:szCs w:val="22"/>
        </w:rPr>
        <w:t>Table 1 - Summary of Department’s response to recommendations</w:t>
      </w:r>
    </w:p>
    <w:tbl>
      <w:tblPr>
        <w:tblStyle w:val="TableGrid"/>
        <w:tblW w:w="0" w:type="auto"/>
        <w:tblInd w:w="1075" w:type="dxa"/>
        <w:tblLook w:val="04A0" w:firstRow="1" w:lastRow="0" w:firstColumn="1" w:lastColumn="0" w:noHBand="0" w:noVBand="1"/>
      </w:tblPr>
      <w:tblGrid>
        <w:gridCol w:w="3992"/>
        <w:gridCol w:w="3993"/>
      </w:tblGrid>
      <w:tr w:rsidR="00C51B85" w14:paraId="5CCAB0EE" w14:textId="77777777" w:rsidTr="004826A8">
        <w:trPr>
          <w:trHeight w:hRule="exact" w:val="576"/>
        </w:trPr>
        <w:tc>
          <w:tcPr>
            <w:tcW w:w="3992" w:type="dxa"/>
            <w:shd w:val="clear" w:color="auto" w:fill="D9D9D9" w:themeFill="background1" w:themeFillShade="D9"/>
            <w:vAlign w:val="center"/>
          </w:tcPr>
          <w:p w14:paraId="3D1AD167" w14:textId="50C13FF1" w:rsidR="00C51B85" w:rsidRPr="004826A8" w:rsidRDefault="004826A8" w:rsidP="004826A8">
            <w:pPr>
              <w:pStyle w:val="ListLevel1"/>
              <w:numPr>
                <w:ilvl w:val="0"/>
                <w:numId w:val="0"/>
              </w:numPr>
              <w:spacing w:line="240" w:lineRule="auto"/>
              <w:rPr>
                <w:sz w:val="22"/>
                <w:szCs w:val="22"/>
                <w:lang w:eastAsia="en-AU"/>
              </w:rPr>
            </w:pPr>
            <w:r w:rsidRPr="004826A8">
              <w:rPr>
                <w:sz w:val="22"/>
                <w:szCs w:val="22"/>
                <w:lang w:eastAsia="en-AU"/>
              </w:rPr>
              <w:t>Recommendation number</w:t>
            </w:r>
          </w:p>
        </w:tc>
        <w:tc>
          <w:tcPr>
            <w:tcW w:w="3993" w:type="dxa"/>
            <w:shd w:val="clear" w:color="auto" w:fill="D9D9D9" w:themeFill="background1" w:themeFillShade="D9"/>
            <w:vAlign w:val="center"/>
          </w:tcPr>
          <w:p w14:paraId="48E037D5" w14:textId="5D3AEC43" w:rsidR="00C51B85" w:rsidRPr="004826A8" w:rsidRDefault="004826A8" w:rsidP="004826A8">
            <w:pPr>
              <w:pStyle w:val="ListLevel1"/>
              <w:numPr>
                <w:ilvl w:val="0"/>
                <w:numId w:val="0"/>
              </w:numPr>
              <w:spacing w:line="240" w:lineRule="auto"/>
              <w:rPr>
                <w:sz w:val="22"/>
                <w:szCs w:val="22"/>
                <w:lang w:eastAsia="en-AU"/>
              </w:rPr>
            </w:pPr>
            <w:r w:rsidRPr="004826A8">
              <w:rPr>
                <w:sz w:val="22"/>
                <w:szCs w:val="22"/>
                <w:lang w:eastAsia="en-AU"/>
              </w:rPr>
              <w:t>Department’s response</w:t>
            </w:r>
          </w:p>
        </w:tc>
      </w:tr>
      <w:tr w:rsidR="00C51B85" w14:paraId="79A6D354" w14:textId="77777777" w:rsidTr="004826A8">
        <w:trPr>
          <w:trHeight w:hRule="exact" w:val="576"/>
        </w:trPr>
        <w:tc>
          <w:tcPr>
            <w:tcW w:w="3992" w:type="dxa"/>
            <w:vAlign w:val="center"/>
          </w:tcPr>
          <w:p w14:paraId="66F29065" w14:textId="3886B23D" w:rsidR="00C51B85" w:rsidRPr="004826A8" w:rsidRDefault="004826A8" w:rsidP="00EC1B6E">
            <w:pPr>
              <w:pStyle w:val="ListLevel1"/>
              <w:numPr>
                <w:ilvl w:val="0"/>
                <w:numId w:val="0"/>
              </w:numPr>
              <w:spacing w:line="240" w:lineRule="auto"/>
              <w:rPr>
                <w:sz w:val="22"/>
                <w:szCs w:val="22"/>
                <w:lang w:eastAsia="en-AU"/>
              </w:rPr>
            </w:pPr>
            <w:r w:rsidRPr="004826A8">
              <w:rPr>
                <w:sz w:val="22"/>
                <w:szCs w:val="22"/>
                <w:lang w:eastAsia="en-AU"/>
              </w:rPr>
              <w:t>1</w:t>
            </w:r>
          </w:p>
        </w:tc>
        <w:tc>
          <w:tcPr>
            <w:tcW w:w="3993" w:type="dxa"/>
            <w:vAlign w:val="center"/>
          </w:tcPr>
          <w:p w14:paraId="029A6F27" w14:textId="30F37C49" w:rsidR="00C51B85" w:rsidRPr="004826A8" w:rsidRDefault="004826A8" w:rsidP="00EC1B6E">
            <w:pPr>
              <w:pStyle w:val="ListLevel1"/>
              <w:numPr>
                <w:ilvl w:val="0"/>
                <w:numId w:val="0"/>
              </w:numPr>
              <w:spacing w:line="240" w:lineRule="auto"/>
              <w:rPr>
                <w:sz w:val="22"/>
                <w:szCs w:val="22"/>
                <w:lang w:eastAsia="en-AU"/>
              </w:rPr>
            </w:pPr>
            <w:r w:rsidRPr="004826A8">
              <w:rPr>
                <w:sz w:val="22"/>
                <w:szCs w:val="22"/>
                <w:lang w:eastAsia="en-AU"/>
              </w:rPr>
              <w:t>Disagree</w:t>
            </w:r>
          </w:p>
        </w:tc>
      </w:tr>
      <w:tr w:rsidR="004826A8" w14:paraId="151816FF" w14:textId="77777777" w:rsidTr="004826A8">
        <w:trPr>
          <w:trHeight w:hRule="exact" w:val="576"/>
        </w:trPr>
        <w:tc>
          <w:tcPr>
            <w:tcW w:w="3992" w:type="dxa"/>
            <w:vAlign w:val="center"/>
          </w:tcPr>
          <w:p w14:paraId="16F6168C" w14:textId="22709738" w:rsidR="004826A8" w:rsidRPr="004826A8" w:rsidRDefault="004826A8" w:rsidP="00EC1B6E">
            <w:pPr>
              <w:pStyle w:val="ListLevel1"/>
              <w:numPr>
                <w:ilvl w:val="0"/>
                <w:numId w:val="0"/>
              </w:numPr>
              <w:spacing w:line="240" w:lineRule="auto"/>
              <w:rPr>
                <w:sz w:val="22"/>
                <w:szCs w:val="22"/>
                <w:lang w:eastAsia="en-AU"/>
              </w:rPr>
            </w:pPr>
            <w:r w:rsidRPr="004826A8">
              <w:rPr>
                <w:sz w:val="22"/>
                <w:szCs w:val="22"/>
                <w:lang w:eastAsia="en-AU"/>
              </w:rPr>
              <w:t>2</w:t>
            </w:r>
          </w:p>
        </w:tc>
        <w:tc>
          <w:tcPr>
            <w:tcW w:w="3993" w:type="dxa"/>
            <w:vAlign w:val="center"/>
          </w:tcPr>
          <w:p w14:paraId="79CBA8CF" w14:textId="77C823BC" w:rsidR="004826A8" w:rsidRPr="004826A8" w:rsidRDefault="004826A8" w:rsidP="00EC1B6E">
            <w:pPr>
              <w:pStyle w:val="ListLevel1"/>
              <w:numPr>
                <w:ilvl w:val="0"/>
                <w:numId w:val="0"/>
              </w:numPr>
              <w:spacing w:line="240" w:lineRule="auto"/>
              <w:rPr>
                <w:sz w:val="22"/>
                <w:szCs w:val="22"/>
                <w:lang w:eastAsia="en-AU"/>
              </w:rPr>
            </w:pPr>
            <w:r w:rsidRPr="004826A8">
              <w:rPr>
                <w:sz w:val="22"/>
                <w:szCs w:val="22"/>
                <w:lang w:eastAsia="en-AU"/>
              </w:rPr>
              <w:t>Agree and already implemented</w:t>
            </w:r>
          </w:p>
        </w:tc>
      </w:tr>
      <w:tr w:rsidR="004826A8" w14:paraId="518CF1F6" w14:textId="77777777" w:rsidTr="004826A8">
        <w:trPr>
          <w:trHeight w:hRule="exact" w:val="576"/>
        </w:trPr>
        <w:tc>
          <w:tcPr>
            <w:tcW w:w="3992" w:type="dxa"/>
            <w:vAlign w:val="center"/>
          </w:tcPr>
          <w:p w14:paraId="1ADA562F" w14:textId="272B4DA6" w:rsidR="004826A8" w:rsidRPr="004826A8" w:rsidRDefault="004826A8" w:rsidP="00EC1B6E">
            <w:pPr>
              <w:pStyle w:val="ListLevel1"/>
              <w:numPr>
                <w:ilvl w:val="0"/>
                <w:numId w:val="0"/>
              </w:numPr>
              <w:spacing w:line="240" w:lineRule="auto"/>
              <w:rPr>
                <w:sz w:val="22"/>
                <w:szCs w:val="22"/>
                <w:lang w:eastAsia="en-AU"/>
              </w:rPr>
            </w:pPr>
            <w:r w:rsidRPr="004826A8">
              <w:rPr>
                <w:sz w:val="22"/>
                <w:szCs w:val="22"/>
                <w:lang w:eastAsia="en-AU"/>
              </w:rPr>
              <w:t>3</w:t>
            </w:r>
          </w:p>
        </w:tc>
        <w:tc>
          <w:tcPr>
            <w:tcW w:w="3993" w:type="dxa"/>
            <w:vAlign w:val="center"/>
          </w:tcPr>
          <w:p w14:paraId="4529040B" w14:textId="39173296" w:rsidR="004826A8" w:rsidRPr="004826A8" w:rsidRDefault="004826A8" w:rsidP="00EC1B6E">
            <w:pPr>
              <w:pStyle w:val="ListLevel1"/>
              <w:numPr>
                <w:ilvl w:val="0"/>
                <w:numId w:val="0"/>
              </w:numPr>
              <w:spacing w:line="240" w:lineRule="auto"/>
              <w:rPr>
                <w:sz w:val="22"/>
                <w:szCs w:val="22"/>
                <w:lang w:eastAsia="en-AU"/>
              </w:rPr>
            </w:pPr>
            <w:r w:rsidRPr="004826A8">
              <w:rPr>
                <w:sz w:val="22"/>
                <w:szCs w:val="22"/>
                <w:lang w:eastAsia="en-AU"/>
              </w:rPr>
              <w:t>Partially agree</w:t>
            </w:r>
          </w:p>
        </w:tc>
      </w:tr>
    </w:tbl>
    <w:p w14:paraId="654C3800" w14:textId="77777777" w:rsidR="00EC1B6E" w:rsidRDefault="00EC1B6E" w:rsidP="00EC1B6E">
      <w:pPr>
        <w:pStyle w:val="ListLevel1"/>
        <w:numPr>
          <w:ilvl w:val="0"/>
          <w:numId w:val="0"/>
        </w:numPr>
        <w:spacing w:line="240" w:lineRule="auto"/>
        <w:rPr>
          <w:szCs w:val="24"/>
          <w:lang w:eastAsia="en-AU"/>
        </w:rPr>
      </w:pPr>
    </w:p>
    <w:p w14:paraId="44FEB881" w14:textId="77777777" w:rsidR="004826A8" w:rsidRPr="00520D84" w:rsidRDefault="004826A8" w:rsidP="00EC1B6E">
      <w:pPr>
        <w:pStyle w:val="ListLevel1"/>
        <w:numPr>
          <w:ilvl w:val="0"/>
          <w:numId w:val="0"/>
        </w:numPr>
        <w:spacing w:line="240" w:lineRule="auto"/>
        <w:rPr>
          <w:szCs w:val="24"/>
          <w:lang w:eastAsia="en-AU"/>
        </w:rPr>
      </w:pPr>
    </w:p>
    <w:p w14:paraId="75C780B5" w14:textId="3671E575" w:rsidR="00520D84" w:rsidRDefault="00472456" w:rsidP="00D73ED4">
      <w:pPr>
        <w:pStyle w:val="ListLevel1"/>
        <w:numPr>
          <w:ilvl w:val="0"/>
          <w:numId w:val="20"/>
        </w:numPr>
        <w:spacing w:line="240" w:lineRule="auto"/>
        <w:ind w:left="720" w:hanging="720"/>
        <w:rPr>
          <w:szCs w:val="24"/>
          <w:lang w:eastAsia="en-AU"/>
        </w:rPr>
      </w:pPr>
      <w:r w:rsidRPr="4DB38CDE">
        <w:rPr>
          <w:lang w:eastAsia="en-AU"/>
        </w:rPr>
        <w:t>I report accordingly to the Attorney-General.</w:t>
      </w:r>
    </w:p>
    <w:p w14:paraId="40FEDD26" w14:textId="27672F8E" w:rsidR="00472456" w:rsidRDefault="00472456" w:rsidP="4DB38CDE"/>
    <w:p w14:paraId="19CA34B6" w14:textId="1EC20FC7" w:rsidR="00AE7E03" w:rsidRDefault="770E6EA6" w:rsidP="4DB38CDE">
      <w:r>
        <w:rPr>
          <w:noProof/>
        </w:rPr>
        <w:drawing>
          <wp:inline distT="0" distB="0" distL="0" distR="0" wp14:anchorId="7705BA19" wp14:editId="06197842">
            <wp:extent cx="2705100" cy="666750"/>
            <wp:effectExtent l="0" t="0" r="0" b="0"/>
            <wp:docPr id="776159064" name="Picture 776159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2705100" cy="666750"/>
                    </a:xfrm>
                    <a:prstGeom prst="rect">
                      <a:avLst/>
                    </a:prstGeom>
                  </pic:spPr>
                </pic:pic>
              </a:graphicData>
            </a:graphic>
          </wp:inline>
        </w:drawing>
      </w:r>
    </w:p>
    <w:p w14:paraId="1E5F0E6A" w14:textId="77777777" w:rsidR="00AE7E03" w:rsidRPr="005A4156" w:rsidRDefault="00AE7E03" w:rsidP="00AE7E03">
      <w:pPr>
        <w:contextualSpacing/>
        <w:rPr>
          <w:rFonts w:cs="Open Sans"/>
          <w:bCs/>
          <w:lang w:val="en-US"/>
        </w:rPr>
      </w:pPr>
      <w:r w:rsidRPr="005A4156">
        <w:rPr>
          <w:rFonts w:cs="Open Sans"/>
          <w:bCs/>
          <w:lang w:val="en-US"/>
        </w:rPr>
        <w:t>Emeritus Professor Rosalind Croucher AM FAAL</w:t>
      </w:r>
    </w:p>
    <w:p w14:paraId="3FB8C443" w14:textId="77777777" w:rsidR="00AE7E03" w:rsidRPr="005A4156" w:rsidRDefault="00AE7E03" w:rsidP="00AE7E03">
      <w:pPr>
        <w:contextualSpacing/>
        <w:rPr>
          <w:rFonts w:cs="Open Sans"/>
          <w:b/>
          <w:bCs/>
          <w:lang w:val="en-US"/>
        </w:rPr>
      </w:pPr>
      <w:r w:rsidRPr="005A4156">
        <w:rPr>
          <w:rFonts w:cs="Open Sans"/>
          <w:b/>
          <w:bCs/>
          <w:lang w:val="en-US"/>
        </w:rPr>
        <w:t xml:space="preserve">President </w:t>
      </w:r>
    </w:p>
    <w:p w14:paraId="2E4E0A52" w14:textId="77777777" w:rsidR="00AE7E03" w:rsidRPr="005A4156" w:rsidRDefault="00AE7E03" w:rsidP="00AE7E03">
      <w:pPr>
        <w:contextualSpacing/>
        <w:rPr>
          <w:rFonts w:cs="Open Sans"/>
          <w:bCs/>
          <w:lang w:val="en-US"/>
        </w:rPr>
      </w:pPr>
      <w:r w:rsidRPr="005A4156">
        <w:rPr>
          <w:rFonts w:cs="Open Sans"/>
          <w:bCs/>
          <w:lang w:val="en-US"/>
        </w:rPr>
        <w:t>Australian Human Rights Commission</w:t>
      </w:r>
    </w:p>
    <w:p w14:paraId="01B57C3F" w14:textId="32046732" w:rsidR="00472456" w:rsidRPr="00AE7E03" w:rsidRDefault="00AE7E03" w:rsidP="00AE7E03">
      <w:pPr>
        <w:spacing w:after="120"/>
        <w:contextualSpacing/>
        <w:rPr>
          <w:rFonts w:cs="Open Sans"/>
        </w:rPr>
      </w:pPr>
      <w:r>
        <w:rPr>
          <w:rFonts w:cs="Open Sans"/>
        </w:rPr>
        <w:t>January 2024</w:t>
      </w:r>
    </w:p>
    <w:p w14:paraId="437C0DF6" w14:textId="4CBF09CC" w:rsidR="00EC0CCA" w:rsidRDefault="00EC0CCA">
      <w:pPr>
        <w:spacing w:before="0" w:after="0"/>
      </w:pPr>
      <w:r>
        <w:br w:type="page"/>
      </w:r>
    </w:p>
    <w:p w14:paraId="57E7C421" w14:textId="5175FBC4" w:rsidR="003423F4" w:rsidRPr="00E23DB3" w:rsidRDefault="00EC0CCA" w:rsidP="00EC0CCA">
      <w:pPr>
        <w:pStyle w:val="TOC1"/>
      </w:pPr>
      <w:r>
        <w:lastRenderedPageBreak/>
        <w:t>Endnotes</w:t>
      </w:r>
    </w:p>
    <w:sectPr w:rsidR="003423F4" w:rsidRPr="00E23DB3" w:rsidSect="00E16DDD">
      <w:headerReference w:type="even" r:id="rId19"/>
      <w:headerReference w:type="default" r:id="rId20"/>
      <w:footerReference w:type="even" r:id="rId21"/>
      <w:footerReference w:type="default" r:id="rId22"/>
      <w:headerReference w:type="first" r:id="rId23"/>
      <w:footerReference w:type="first" r:id="rId24"/>
      <w:endnotePr>
        <w:numFmt w:val="decimal"/>
      </w:endnotePr>
      <w:pgSz w:w="11906" w:h="16838" w:code="9"/>
      <w:pgMar w:top="1134" w:right="1418" w:bottom="1134" w:left="1418" w:header="907" w:footer="283"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70FE8" w14:textId="77777777" w:rsidR="000B0048" w:rsidRDefault="000B0048" w:rsidP="00F14C6D">
      <w:r>
        <w:separator/>
      </w:r>
    </w:p>
  </w:endnote>
  <w:endnote w:type="continuationSeparator" w:id="0">
    <w:p w14:paraId="172BC70E" w14:textId="77777777" w:rsidR="000B0048" w:rsidRDefault="000B0048" w:rsidP="00F14C6D">
      <w:r>
        <w:continuationSeparator/>
      </w:r>
    </w:p>
  </w:endnote>
  <w:endnote w:type="continuationNotice" w:id="1">
    <w:p w14:paraId="225646FA" w14:textId="77777777" w:rsidR="000B0048" w:rsidRDefault="000B0048">
      <w:pPr>
        <w:spacing w:before="0" w:after="0"/>
      </w:pPr>
    </w:p>
  </w:endnote>
  <w:endnote w:id="2">
    <w:p w14:paraId="4C924552" w14:textId="649C0515" w:rsidR="003608E3" w:rsidRPr="00C13407" w:rsidRDefault="003608E3" w:rsidP="003608E3">
      <w:pPr>
        <w:pStyle w:val="EndnoteText"/>
        <w:ind w:left="0" w:firstLine="0"/>
        <w:rPr>
          <w:rFonts w:cs="Open Sans"/>
          <w:lang w:val="en-US"/>
        </w:rPr>
      </w:pPr>
      <w:r w:rsidRPr="4C239322">
        <w:rPr>
          <w:rStyle w:val="EndnoteReference"/>
          <w:rFonts w:eastAsia="Arial" w:cs="Arial"/>
        </w:rPr>
        <w:endnoteRef/>
      </w:r>
      <w:r w:rsidRPr="4C239322">
        <w:rPr>
          <w:rFonts w:eastAsia="Arial" w:cs="Arial"/>
        </w:rPr>
        <w:t xml:space="preserve"> Department of Home Affairs correspondence dated 25 March 2021 OHR-20-00321</w:t>
      </w:r>
      <w:r w:rsidR="001A52CE">
        <w:rPr>
          <w:rFonts w:eastAsia="Arial" w:cs="Arial"/>
        </w:rPr>
        <w:t>.</w:t>
      </w:r>
    </w:p>
  </w:endnote>
  <w:endnote w:id="3">
    <w:p w14:paraId="227A457D" w14:textId="77777777" w:rsidR="003608E3" w:rsidRPr="00C13407" w:rsidRDefault="003608E3" w:rsidP="003608E3">
      <w:pPr>
        <w:pStyle w:val="EndnoteText"/>
        <w:ind w:left="0" w:firstLine="0"/>
        <w:rPr>
          <w:rFonts w:cs="Open Sans"/>
        </w:rPr>
      </w:pPr>
      <w:r w:rsidRPr="4C239322">
        <w:rPr>
          <w:rStyle w:val="EndnoteReference"/>
          <w:rFonts w:eastAsia="Arial" w:cs="Arial"/>
        </w:rPr>
        <w:endnoteRef/>
      </w:r>
      <w:r w:rsidRPr="4C239322">
        <w:rPr>
          <w:rFonts w:eastAsia="Arial" w:cs="Arial"/>
        </w:rPr>
        <w:t xml:space="preserve"> Department of Home Affairs correspondence dated 25 March 2021 OHR-20-00321 at [12]</w:t>
      </w:r>
    </w:p>
  </w:endnote>
  <w:endnote w:id="4">
    <w:p w14:paraId="47C89910" w14:textId="507BF5DB" w:rsidR="003608E3" w:rsidRPr="00C13407" w:rsidRDefault="003608E3" w:rsidP="003608E3">
      <w:pPr>
        <w:pStyle w:val="EndnoteText"/>
        <w:ind w:left="136" w:hanging="136"/>
        <w:mirrorIndents/>
        <w:rPr>
          <w:rFonts w:cs="Open Sans"/>
        </w:rPr>
      </w:pPr>
      <w:r w:rsidRPr="4C239322">
        <w:rPr>
          <w:rStyle w:val="EndnoteReference"/>
          <w:rFonts w:eastAsia="Arial" w:cs="Arial"/>
        </w:rPr>
        <w:endnoteRef/>
      </w:r>
      <w:r w:rsidRPr="4C239322">
        <w:rPr>
          <w:rFonts w:eastAsia="Arial" w:cs="Arial"/>
        </w:rPr>
        <w:t xml:space="preserve"> Assessment and Placement of Detainees in Immigration Detention Facilities in Australia, Detention   Standard Operating Procedure DM-01-O/3248</w:t>
      </w:r>
      <w:r w:rsidR="001A52CE">
        <w:rPr>
          <w:rFonts w:eastAsia="Arial" w:cs="Arial"/>
        </w:rPr>
        <w:t>.</w:t>
      </w:r>
    </w:p>
  </w:endnote>
  <w:endnote w:id="5">
    <w:p w14:paraId="75A4CDAE" w14:textId="3E93BCBB" w:rsidR="003608E3" w:rsidRPr="00C13407" w:rsidRDefault="003608E3" w:rsidP="003608E3">
      <w:pPr>
        <w:pStyle w:val="EndnoteText"/>
        <w:ind w:left="136" w:hanging="136"/>
        <w:mirrorIndents/>
        <w:rPr>
          <w:rFonts w:cs="Open Sans"/>
        </w:rPr>
      </w:pPr>
      <w:r w:rsidRPr="4C239322">
        <w:rPr>
          <w:rStyle w:val="EndnoteReference"/>
          <w:rFonts w:eastAsia="Arial" w:cs="Arial"/>
        </w:rPr>
        <w:endnoteRef/>
      </w:r>
      <w:r w:rsidRPr="4C239322">
        <w:rPr>
          <w:rFonts w:eastAsia="Arial" w:cs="Arial"/>
        </w:rPr>
        <w:t xml:space="preserve"> Assessment and Placement of Detainees in Immigration Detention Facilities in Australia, Detention   Standard Operating Procedure DM-01-O/3248</w:t>
      </w:r>
      <w:r w:rsidR="001A52CE">
        <w:rPr>
          <w:rFonts w:eastAsia="Arial" w:cs="Arial"/>
        </w:rPr>
        <w:t>.</w:t>
      </w:r>
    </w:p>
  </w:endnote>
  <w:endnote w:id="6">
    <w:p w14:paraId="4E73885E" w14:textId="77777777" w:rsidR="003608E3" w:rsidRPr="00C13407" w:rsidRDefault="003608E3" w:rsidP="003608E3">
      <w:pPr>
        <w:pStyle w:val="EndnoteText"/>
        <w:ind w:left="0" w:firstLine="0"/>
        <w:rPr>
          <w:rFonts w:cs="Open Sans"/>
        </w:rPr>
      </w:pPr>
      <w:r w:rsidRPr="4C239322">
        <w:rPr>
          <w:rStyle w:val="EndnoteReference"/>
          <w:rFonts w:eastAsia="Arial" w:cs="Arial"/>
        </w:rPr>
        <w:endnoteRef/>
      </w:r>
      <w:r w:rsidRPr="4C239322">
        <w:rPr>
          <w:rFonts w:eastAsia="Arial" w:cs="Arial"/>
        </w:rPr>
        <w:t xml:space="preserve"> Department of Home Affairs correspondence dated 25 March 2021 OHR-20-00321</w:t>
      </w:r>
    </w:p>
  </w:endnote>
  <w:endnote w:id="7">
    <w:p w14:paraId="4143573D" w14:textId="77777777" w:rsidR="003608E3" w:rsidRPr="00C13407" w:rsidRDefault="003608E3" w:rsidP="003608E3">
      <w:pPr>
        <w:pStyle w:val="EndnoteText"/>
        <w:ind w:left="0" w:firstLine="0"/>
        <w:rPr>
          <w:rFonts w:cs="Open Sans"/>
        </w:rPr>
      </w:pPr>
      <w:r w:rsidRPr="4C239322">
        <w:rPr>
          <w:rStyle w:val="EndnoteReference"/>
          <w:rFonts w:eastAsia="Arial" w:cs="Arial"/>
        </w:rPr>
        <w:endnoteRef/>
      </w:r>
      <w:r w:rsidRPr="4C239322">
        <w:rPr>
          <w:rFonts w:eastAsia="Arial" w:cs="Arial"/>
        </w:rPr>
        <w:t xml:space="preserve"> IHMS Request- Risk Assessment for Planned Use of Force, dated 24/09/2020</w:t>
      </w:r>
    </w:p>
  </w:endnote>
  <w:endnote w:id="8">
    <w:p w14:paraId="4F7697E0" w14:textId="44BC3A89" w:rsidR="003608E3" w:rsidRPr="00C13407" w:rsidRDefault="003608E3" w:rsidP="003608E3">
      <w:pPr>
        <w:pStyle w:val="EndnoteText"/>
        <w:ind w:left="0" w:firstLine="0"/>
        <w:rPr>
          <w:rFonts w:cs="Open Sans"/>
        </w:rPr>
      </w:pPr>
      <w:r w:rsidRPr="4C239322">
        <w:rPr>
          <w:rStyle w:val="EndnoteReference"/>
          <w:rFonts w:eastAsia="Arial" w:cs="Arial"/>
        </w:rPr>
        <w:endnoteRef/>
      </w:r>
      <w:r w:rsidRPr="4C239322">
        <w:rPr>
          <w:rFonts w:eastAsia="Arial" w:cs="Arial"/>
        </w:rPr>
        <w:t xml:space="preserve"> IHMS, ‘Section B:Fitness to Travel’, dated 12/09/2020</w:t>
      </w:r>
      <w:r w:rsidR="001A52CE">
        <w:rPr>
          <w:rFonts w:eastAsia="Arial" w:cs="Arial"/>
        </w:rPr>
        <w:t>.</w:t>
      </w:r>
    </w:p>
  </w:endnote>
  <w:endnote w:id="9">
    <w:p w14:paraId="13AD489D" w14:textId="041E6321" w:rsidR="003608E3" w:rsidRPr="00C13407" w:rsidRDefault="003608E3" w:rsidP="003608E3">
      <w:pPr>
        <w:pStyle w:val="EndnoteText"/>
        <w:ind w:left="136" w:hanging="136"/>
        <w:rPr>
          <w:rFonts w:cs="Open Sans"/>
        </w:rPr>
      </w:pPr>
      <w:r w:rsidRPr="4C239322">
        <w:rPr>
          <w:rStyle w:val="EndnoteReference"/>
          <w:rFonts w:eastAsia="Arial" w:cs="Arial"/>
        </w:rPr>
        <w:endnoteRef/>
      </w:r>
      <w:r w:rsidRPr="4C239322">
        <w:rPr>
          <w:rFonts w:eastAsia="Arial" w:cs="Arial"/>
        </w:rPr>
        <w:t xml:space="preserve"> Email dated 25/09/2020, subject “FW:SENSITIVE-CHARTER REMOVAL – MR OR ALTERNATIVE RISK    MITIGATION/ESCORT APPROVAL – 27 SEP 20 [SB]</w:t>
      </w:r>
      <w:r w:rsidR="001A52CE">
        <w:rPr>
          <w:rFonts w:eastAsia="Arial" w:cs="Arial"/>
        </w:rPr>
        <w:t>.</w:t>
      </w:r>
    </w:p>
  </w:endnote>
  <w:endnote w:id="10">
    <w:p w14:paraId="79C77983" w14:textId="77777777" w:rsidR="003608E3" w:rsidRPr="0037659E" w:rsidRDefault="003608E3" w:rsidP="003608E3">
      <w:pPr>
        <w:pStyle w:val="EndnoteText"/>
        <w:ind w:left="0" w:firstLine="0"/>
        <w:rPr>
          <w:rFonts w:cs="Open Sans"/>
        </w:rPr>
      </w:pPr>
      <w:r w:rsidRPr="4C239322">
        <w:rPr>
          <w:rStyle w:val="EndnoteReference"/>
          <w:rFonts w:eastAsia="Arial" w:cs="Arial"/>
        </w:rPr>
        <w:endnoteRef/>
      </w:r>
      <w:r w:rsidRPr="4C239322">
        <w:rPr>
          <w:rFonts w:eastAsia="Arial" w:cs="Arial"/>
        </w:rPr>
        <w:t xml:space="preserve"> Department of Home Affairs correspondence dated 25 March 2021 OHR-20-00321</w:t>
      </w:r>
    </w:p>
  </w:endnote>
  <w:endnote w:id="11">
    <w:p w14:paraId="748D858E" w14:textId="15F87E6A" w:rsidR="003608E3" w:rsidRDefault="003608E3" w:rsidP="003608E3">
      <w:pPr>
        <w:pStyle w:val="EndnoteText"/>
        <w:ind w:left="136" w:hanging="136"/>
      </w:pPr>
      <w:r w:rsidRPr="4C239322">
        <w:rPr>
          <w:rStyle w:val="EndnoteReference"/>
          <w:rFonts w:eastAsia="Arial" w:cs="Arial"/>
        </w:rPr>
        <w:endnoteRef/>
      </w:r>
      <w:r w:rsidRPr="4C239322">
        <w:rPr>
          <w:rFonts w:eastAsia="Arial" w:cs="Arial"/>
        </w:rPr>
        <w:t xml:space="preserve"> Risk Assessment for Planned Use Of Force by FDSP Procedure, IHMS Procedure 3.5.2, Effective 12 June 2017</w:t>
      </w:r>
      <w:r w:rsidR="001A52CE">
        <w:rPr>
          <w:rFonts w:eastAsia="Arial" w:cs="Arial"/>
        </w:rPr>
        <w:t>.</w:t>
      </w:r>
    </w:p>
  </w:endnote>
  <w:endnote w:id="12">
    <w:p w14:paraId="7449993C" w14:textId="79167109" w:rsidR="003608E3" w:rsidRPr="0037659E" w:rsidRDefault="003608E3" w:rsidP="003608E3">
      <w:pPr>
        <w:pStyle w:val="EndnoteText"/>
        <w:ind w:left="0" w:firstLine="0"/>
        <w:rPr>
          <w:rFonts w:cs="Open Sans"/>
        </w:rPr>
      </w:pPr>
      <w:r w:rsidRPr="4C239322">
        <w:rPr>
          <w:rStyle w:val="EndnoteReference"/>
          <w:rFonts w:eastAsia="Arial" w:cs="Arial"/>
        </w:rPr>
        <w:endnoteRef/>
      </w:r>
      <w:r w:rsidRPr="4C239322">
        <w:rPr>
          <w:rFonts w:eastAsia="Arial" w:cs="Arial"/>
        </w:rPr>
        <w:t xml:space="preserve"> SERCO Escort Operational Order</w:t>
      </w:r>
      <w:r w:rsidR="001A52CE">
        <w:rPr>
          <w:rFonts w:eastAsia="Arial" w:cs="Arial"/>
        </w:rPr>
        <w:t>.</w:t>
      </w:r>
    </w:p>
  </w:endnote>
  <w:endnote w:id="13">
    <w:p w14:paraId="46888E5B" w14:textId="77777777" w:rsidR="003608E3" w:rsidRPr="0037659E" w:rsidRDefault="003608E3" w:rsidP="003608E3">
      <w:pPr>
        <w:pStyle w:val="EndnoteText"/>
        <w:ind w:left="0" w:firstLine="0"/>
        <w:rPr>
          <w:rFonts w:cs="Open Sans"/>
        </w:rPr>
      </w:pPr>
      <w:r w:rsidRPr="4C239322">
        <w:rPr>
          <w:rStyle w:val="EndnoteReference"/>
          <w:rFonts w:eastAsia="Arial" w:cs="Arial"/>
        </w:rPr>
        <w:endnoteRef/>
      </w:r>
      <w:r w:rsidRPr="4C239322">
        <w:rPr>
          <w:rFonts w:eastAsia="Arial" w:cs="Arial"/>
        </w:rPr>
        <w:t xml:space="preserve"> Department of Home Affairs correspondence dated 25 March 2021 OHR-20-00321</w:t>
      </w:r>
    </w:p>
  </w:endnote>
  <w:endnote w:id="14">
    <w:p w14:paraId="7FCA00C3" w14:textId="6CFB5FE0" w:rsidR="003608E3" w:rsidRPr="002D08E7" w:rsidRDefault="003608E3" w:rsidP="003608E3">
      <w:pPr>
        <w:pStyle w:val="EndnoteText"/>
        <w:ind w:left="0" w:firstLine="0"/>
        <w:rPr>
          <w:lang w:val="en-US"/>
        </w:rPr>
      </w:pPr>
      <w:r w:rsidRPr="4C239322">
        <w:rPr>
          <w:rStyle w:val="EndnoteReference"/>
          <w:rFonts w:eastAsia="Arial" w:cs="Arial"/>
        </w:rPr>
        <w:endnoteRef/>
      </w:r>
      <w:r w:rsidRPr="4C239322">
        <w:rPr>
          <w:rFonts w:eastAsia="Arial" w:cs="Arial"/>
        </w:rPr>
        <w:t xml:space="preserve"> </w:t>
      </w:r>
      <w:r w:rsidRPr="4C239322">
        <w:rPr>
          <w:rFonts w:eastAsia="Arial" w:cs="Arial"/>
          <w:lang w:val="en-US"/>
        </w:rPr>
        <w:t>Serco, Transport and Escort documents</w:t>
      </w:r>
      <w:r w:rsidR="001A52CE">
        <w:rPr>
          <w:rFonts w:eastAsia="Arial" w:cs="Arial"/>
          <w:lang w:val="en-US"/>
        </w:rPr>
        <w:t>.</w:t>
      </w:r>
    </w:p>
  </w:endnote>
  <w:endnote w:id="15">
    <w:p w14:paraId="038C3287" w14:textId="029A0D17" w:rsidR="003608E3" w:rsidRPr="0037659E" w:rsidRDefault="003608E3" w:rsidP="003608E3">
      <w:pPr>
        <w:pStyle w:val="EndnoteText"/>
        <w:ind w:left="0" w:firstLine="0"/>
        <w:rPr>
          <w:rFonts w:cs="Open Sans"/>
          <w:lang w:val="en-US"/>
        </w:rPr>
      </w:pPr>
      <w:r w:rsidRPr="4C239322">
        <w:rPr>
          <w:rStyle w:val="EndnoteReference"/>
          <w:rFonts w:eastAsia="Arial" w:cs="Arial"/>
        </w:rPr>
        <w:endnoteRef/>
      </w:r>
      <w:r w:rsidRPr="4C239322">
        <w:rPr>
          <w:rFonts w:eastAsia="Arial" w:cs="Arial"/>
        </w:rPr>
        <w:t xml:space="preserve"> Department of Home Affairs correspondence dated 25 March 2021 OHR-20-00321</w:t>
      </w:r>
      <w:r w:rsidR="001A52CE">
        <w:rPr>
          <w:rFonts w:eastAsia="Arial" w:cs="Arial"/>
        </w:rPr>
        <w:t>.</w:t>
      </w:r>
    </w:p>
  </w:endnote>
  <w:endnote w:id="16">
    <w:p w14:paraId="347B17EC" w14:textId="77777777" w:rsidR="003608E3" w:rsidRPr="0037659E" w:rsidRDefault="003608E3" w:rsidP="003608E3">
      <w:pPr>
        <w:pStyle w:val="EndnoteText"/>
        <w:ind w:left="0" w:firstLine="0"/>
        <w:rPr>
          <w:rFonts w:cs="Open Sans"/>
        </w:rPr>
      </w:pPr>
      <w:r w:rsidRPr="4C239322">
        <w:rPr>
          <w:rStyle w:val="EndnoteReference"/>
          <w:rFonts w:eastAsia="Arial" w:cs="Arial"/>
        </w:rPr>
        <w:endnoteRef/>
      </w:r>
      <w:r w:rsidRPr="4C239322">
        <w:rPr>
          <w:rFonts w:eastAsia="Arial" w:cs="Arial"/>
        </w:rPr>
        <w:t xml:space="preserve"> Department of Home Affairs correspondence dated 25 March 2021 OHR-20-00321 at [10].</w:t>
      </w:r>
    </w:p>
  </w:endnote>
  <w:endnote w:id="17">
    <w:p w14:paraId="71517905" w14:textId="6AF4D071" w:rsidR="003608E3" w:rsidRPr="00C13407" w:rsidRDefault="003608E3" w:rsidP="003608E3">
      <w:pPr>
        <w:pStyle w:val="EndnoteText"/>
        <w:ind w:left="0" w:firstLine="0"/>
        <w:rPr>
          <w:rFonts w:cs="Open Sans"/>
        </w:rPr>
      </w:pPr>
      <w:r w:rsidRPr="4C239322">
        <w:rPr>
          <w:rStyle w:val="EndnoteReference"/>
          <w:rFonts w:eastAsia="Arial" w:cs="Arial"/>
        </w:rPr>
        <w:endnoteRef/>
      </w:r>
      <w:r w:rsidRPr="4C239322">
        <w:rPr>
          <w:rFonts w:eastAsia="Arial" w:cs="Arial"/>
        </w:rPr>
        <w:t xml:space="preserve"> SERCO Escort Operational Order</w:t>
      </w:r>
      <w:r w:rsidR="001A52CE">
        <w:rPr>
          <w:rFonts w:eastAsia="Arial" w:cs="Arial"/>
        </w:rPr>
        <w:t>.</w:t>
      </w:r>
    </w:p>
  </w:endnote>
  <w:endnote w:id="18">
    <w:p w14:paraId="5D9CAF2C" w14:textId="6AD42EFF" w:rsidR="003608E3" w:rsidRDefault="003608E3" w:rsidP="003608E3">
      <w:pPr>
        <w:pStyle w:val="EndnoteText"/>
        <w:ind w:left="0" w:firstLine="0"/>
      </w:pPr>
      <w:r w:rsidRPr="4C239322">
        <w:rPr>
          <w:rStyle w:val="EndnoteReference"/>
          <w:rFonts w:eastAsia="Arial" w:cs="Arial"/>
        </w:rPr>
        <w:endnoteRef/>
      </w:r>
      <w:r w:rsidRPr="4C239322">
        <w:rPr>
          <w:rFonts w:eastAsia="Arial" w:cs="Arial"/>
        </w:rPr>
        <w:t xml:space="preserve"> AXON_Body_2_Video_2020-09-27_0734- AXON BODY 2 X81262784</w:t>
      </w:r>
      <w:r w:rsidR="001A52CE">
        <w:rPr>
          <w:rFonts w:eastAsia="Arial" w:cs="Arial"/>
        </w:rPr>
        <w:t>.</w:t>
      </w:r>
    </w:p>
  </w:endnote>
  <w:endnote w:id="19">
    <w:p w14:paraId="5EF91CA6" w14:textId="691BCD11" w:rsidR="003608E3" w:rsidRDefault="003608E3" w:rsidP="003608E3">
      <w:pPr>
        <w:pStyle w:val="EndnoteText"/>
        <w:ind w:left="0" w:firstLine="0"/>
      </w:pPr>
      <w:r w:rsidRPr="4C239322">
        <w:rPr>
          <w:rStyle w:val="EndnoteReference"/>
          <w:rFonts w:eastAsia="Arial" w:cs="Arial"/>
        </w:rPr>
        <w:endnoteRef/>
      </w:r>
      <w:r w:rsidRPr="4C239322">
        <w:rPr>
          <w:rFonts w:eastAsia="Arial" w:cs="Arial"/>
        </w:rPr>
        <w:t xml:space="preserve"> AXON_Body_2_Video_2020-09027_0718- AXON BODY 2 X81144003</w:t>
      </w:r>
      <w:r w:rsidR="001A52CE">
        <w:rPr>
          <w:rFonts w:eastAsia="Arial" w:cs="Arial"/>
        </w:rPr>
        <w:t>.</w:t>
      </w:r>
    </w:p>
  </w:endnote>
  <w:endnote w:id="20">
    <w:p w14:paraId="15CCFB34" w14:textId="77777777" w:rsidR="003608E3" w:rsidRPr="008C4C22" w:rsidRDefault="003608E3" w:rsidP="003608E3">
      <w:pPr>
        <w:pStyle w:val="EndnoteText"/>
        <w:ind w:left="0" w:firstLine="0"/>
        <w:rPr>
          <w:rFonts w:cs="Open Sans"/>
        </w:rPr>
      </w:pPr>
      <w:r w:rsidRPr="4C239322">
        <w:rPr>
          <w:rStyle w:val="EndnoteReference"/>
          <w:rFonts w:eastAsia="Arial" w:cs="Arial"/>
        </w:rPr>
        <w:endnoteRef/>
      </w:r>
      <w:r w:rsidRPr="4C239322">
        <w:rPr>
          <w:rFonts w:eastAsia="Arial" w:cs="Arial"/>
        </w:rPr>
        <w:t xml:space="preserve"> See </w:t>
      </w:r>
      <w:r w:rsidRPr="4C239322">
        <w:rPr>
          <w:rFonts w:eastAsia="Arial" w:cs="Arial"/>
          <w:i/>
          <w:iCs/>
        </w:rPr>
        <w:t>Secretary, Department of Defence v HREOC, Burgess and Ors</w:t>
      </w:r>
      <w:r w:rsidRPr="4C239322">
        <w:rPr>
          <w:rFonts w:eastAsia="Arial" w:cs="Arial"/>
        </w:rPr>
        <w:t xml:space="preserve"> (1997) 78 FCR 208.</w:t>
      </w:r>
    </w:p>
  </w:endnote>
  <w:endnote w:id="21">
    <w:p w14:paraId="73CDA6C5" w14:textId="77777777" w:rsidR="003608E3" w:rsidRPr="008C4C22" w:rsidRDefault="003608E3" w:rsidP="003608E3">
      <w:pPr>
        <w:pStyle w:val="EndnoteText"/>
        <w:ind w:left="136" w:hanging="136"/>
        <w:rPr>
          <w:rFonts w:cs="Open Sans"/>
        </w:rPr>
      </w:pPr>
      <w:r w:rsidRPr="4C239322">
        <w:rPr>
          <w:rStyle w:val="EndnoteReference"/>
          <w:rFonts w:eastAsia="Arial" w:cs="Arial"/>
        </w:rPr>
        <w:endnoteRef/>
      </w:r>
      <w:r w:rsidRPr="4C239322">
        <w:rPr>
          <w:rFonts w:eastAsia="Arial" w:cs="Arial"/>
        </w:rPr>
        <w:t xml:space="preserve"> Human Rights Committee, </w:t>
      </w:r>
      <w:r w:rsidRPr="4C239322">
        <w:rPr>
          <w:rFonts w:eastAsia="Arial" w:cs="Arial"/>
          <w:i/>
          <w:iCs/>
        </w:rPr>
        <w:t>General Comment No 21: Article 10 (Humane treatment of persons deprived of their liberty)</w:t>
      </w:r>
      <w:r w:rsidRPr="4C239322">
        <w:rPr>
          <w:rFonts w:eastAsia="Arial" w:cs="Arial"/>
        </w:rPr>
        <w:t>, UN Doc HRI/GEN/1/Rev.1 at 33 (10 April 1992) [3].</w:t>
      </w:r>
    </w:p>
  </w:endnote>
  <w:endnote w:id="22">
    <w:p w14:paraId="3383CC34" w14:textId="77777777" w:rsidR="003608E3" w:rsidRPr="008C4C22" w:rsidRDefault="003608E3" w:rsidP="003608E3">
      <w:pPr>
        <w:pStyle w:val="EndnoteText"/>
        <w:ind w:left="136" w:hanging="136"/>
        <w:rPr>
          <w:rFonts w:cs="Open Sans"/>
        </w:rPr>
      </w:pPr>
      <w:r w:rsidRPr="4C239322">
        <w:rPr>
          <w:rStyle w:val="EndnoteReference"/>
          <w:rFonts w:eastAsia="Arial" w:cs="Arial"/>
        </w:rPr>
        <w:endnoteRef/>
      </w:r>
      <w:r w:rsidRPr="4C239322">
        <w:rPr>
          <w:rFonts w:eastAsia="Arial" w:cs="Arial"/>
        </w:rPr>
        <w:t xml:space="preserve"> Human Rights Committee, </w:t>
      </w:r>
      <w:r w:rsidRPr="4C239322">
        <w:rPr>
          <w:rFonts w:eastAsia="Arial" w:cs="Arial"/>
          <w:i/>
          <w:iCs/>
        </w:rPr>
        <w:t>General Comment No 21: Article 10 (Humane treatment of persons deprived of their liberty)</w:t>
      </w:r>
      <w:r w:rsidRPr="4C239322">
        <w:rPr>
          <w:rFonts w:eastAsia="Arial" w:cs="Arial"/>
        </w:rPr>
        <w:t>, UN Doc HRI/GEN/1/Rev.1 at 33 (10 April 1992) [3].</w:t>
      </w:r>
    </w:p>
  </w:endnote>
  <w:endnote w:id="23">
    <w:p w14:paraId="623DAB73" w14:textId="77777777" w:rsidR="003608E3" w:rsidRPr="008C4C22" w:rsidRDefault="003608E3" w:rsidP="003608E3">
      <w:pPr>
        <w:pStyle w:val="EndnoteText"/>
        <w:ind w:left="136" w:hanging="136"/>
        <w:rPr>
          <w:rFonts w:cs="Open Sans"/>
        </w:rPr>
      </w:pPr>
      <w:r w:rsidRPr="4C239322">
        <w:rPr>
          <w:rStyle w:val="EndnoteReference"/>
          <w:rFonts w:eastAsia="Arial" w:cs="Arial"/>
        </w:rPr>
        <w:endnoteRef/>
      </w:r>
      <w:r w:rsidRPr="4C239322">
        <w:rPr>
          <w:rFonts w:eastAsia="Arial" w:cs="Arial"/>
        </w:rPr>
        <w:t xml:space="preserve"> Manfred Nowak, </w:t>
      </w:r>
      <w:r w:rsidRPr="4C239322">
        <w:rPr>
          <w:rFonts w:eastAsia="Arial" w:cs="Arial"/>
          <w:i/>
          <w:iCs/>
        </w:rPr>
        <w:t>UN Covenant on Civil and Political Rights CCPR Commentary</w:t>
      </w:r>
      <w:r w:rsidRPr="4C239322">
        <w:rPr>
          <w:rFonts w:eastAsia="Arial" w:cs="Arial"/>
        </w:rPr>
        <w:t xml:space="preserve"> (N.P. Engel, 2</w:t>
      </w:r>
      <w:r w:rsidRPr="4C239322">
        <w:rPr>
          <w:rFonts w:eastAsia="Arial" w:cs="Arial"/>
          <w:vertAlign w:val="superscript"/>
        </w:rPr>
        <w:t>nd</w:t>
      </w:r>
      <w:r w:rsidRPr="4C239322">
        <w:rPr>
          <w:rFonts w:eastAsia="Arial" w:cs="Arial"/>
        </w:rPr>
        <w:t xml:space="preserve"> ed, 2005) 250.</w:t>
      </w:r>
    </w:p>
  </w:endnote>
  <w:endnote w:id="24">
    <w:p w14:paraId="72E73C55" w14:textId="77777777" w:rsidR="003608E3" w:rsidRPr="008C4C22" w:rsidRDefault="003608E3" w:rsidP="003608E3">
      <w:pPr>
        <w:pStyle w:val="EndnoteText"/>
        <w:ind w:left="136" w:hanging="136"/>
        <w:rPr>
          <w:rFonts w:cs="Open Sans"/>
        </w:rPr>
      </w:pPr>
      <w:r w:rsidRPr="4C239322">
        <w:rPr>
          <w:rStyle w:val="EndnoteReference"/>
          <w:rFonts w:eastAsia="Arial" w:cs="Arial"/>
        </w:rPr>
        <w:endnoteRef/>
      </w:r>
      <w:r>
        <w:rPr>
          <w:rFonts w:eastAsia="Arial" w:cs="Arial"/>
        </w:rPr>
        <w:t xml:space="preserve"> </w:t>
      </w:r>
      <w:r w:rsidRPr="4C239322">
        <w:rPr>
          <w:rFonts w:eastAsia="Arial" w:cs="Arial"/>
        </w:rPr>
        <w:t xml:space="preserve">Human Rights Committee, </w:t>
      </w:r>
      <w:r w:rsidRPr="4C239322">
        <w:rPr>
          <w:rFonts w:eastAsia="Arial" w:cs="Arial"/>
          <w:i/>
          <w:iCs/>
        </w:rPr>
        <w:t>Walker and Richards v Jamaica</w:t>
      </w:r>
      <w:r w:rsidRPr="4C239322">
        <w:rPr>
          <w:rFonts w:eastAsia="Arial" w:cs="Arial"/>
        </w:rPr>
        <w:t>,</w:t>
      </w:r>
      <w:r w:rsidRPr="4C239322">
        <w:rPr>
          <w:rFonts w:eastAsia="Arial" w:cs="Arial"/>
          <w:i/>
          <w:iCs/>
        </w:rPr>
        <w:t xml:space="preserve"> </w:t>
      </w:r>
      <w:r w:rsidRPr="4C239322">
        <w:rPr>
          <w:rFonts w:eastAsia="Arial" w:cs="Arial"/>
        </w:rPr>
        <w:t xml:space="preserve">Communication No. 639/1995, UN Doc CCPR/C/60/D/639/1995 (28 July 1997); Human Rights Committee, </w:t>
      </w:r>
      <w:r w:rsidRPr="4C239322">
        <w:rPr>
          <w:rFonts w:eastAsia="Arial" w:cs="Arial"/>
          <w:i/>
          <w:iCs/>
        </w:rPr>
        <w:t>Kennedy v Trinidad and Tobago</w:t>
      </w:r>
      <w:r w:rsidRPr="4C239322">
        <w:rPr>
          <w:rFonts w:eastAsia="Arial" w:cs="Arial"/>
        </w:rPr>
        <w:t xml:space="preserve">, Communication No 845/1998, UN Doc CCPR/C/74/D/845/1998 (26 March 2002); Human Rights Committee, </w:t>
      </w:r>
      <w:r w:rsidRPr="4C239322">
        <w:rPr>
          <w:rFonts w:eastAsia="Arial" w:cs="Arial"/>
          <w:i/>
          <w:iCs/>
        </w:rPr>
        <w:t xml:space="preserve">R.S. v Trinidad and Tobago, </w:t>
      </w:r>
      <w:r w:rsidRPr="4C239322">
        <w:rPr>
          <w:rFonts w:eastAsia="Arial" w:cs="Arial"/>
        </w:rPr>
        <w:t>Communication No 684/1996, UN Doc CCPR/C/74/D/684/1996 (2 April 2002).</w:t>
      </w:r>
    </w:p>
  </w:endnote>
  <w:endnote w:id="25">
    <w:p w14:paraId="2C0275C0" w14:textId="77777777" w:rsidR="003608E3" w:rsidRPr="008C4C22" w:rsidRDefault="003608E3" w:rsidP="003608E3">
      <w:pPr>
        <w:pStyle w:val="EndnoteText"/>
        <w:ind w:left="136" w:hanging="136"/>
        <w:rPr>
          <w:rFonts w:cs="Open Sans"/>
          <w:i/>
          <w:iCs/>
        </w:rPr>
      </w:pPr>
      <w:r w:rsidRPr="4C239322">
        <w:rPr>
          <w:rStyle w:val="EndnoteReference"/>
          <w:rFonts w:eastAsia="Arial" w:cs="Arial"/>
        </w:rPr>
        <w:endnoteRef/>
      </w:r>
      <w:r>
        <w:rPr>
          <w:rFonts w:eastAsia="Arial" w:cs="Arial"/>
        </w:rPr>
        <w:t xml:space="preserve"> </w:t>
      </w:r>
      <w:r w:rsidRPr="4C239322">
        <w:rPr>
          <w:rFonts w:eastAsia="Arial" w:cs="Arial"/>
        </w:rPr>
        <w:t xml:space="preserve">Human Rights Committee, </w:t>
      </w:r>
      <w:r w:rsidRPr="4C239322">
        <w:rPr>
          <w:rFonts w:eastAsia="Arial" w:cs="Arial"/>
          <w:i/>
          <w:iCs/>
        </w:rPr>
        <w:t>General Comment No 21: Article 10 (Humane treatment of persons deprived of their liberty)</w:t>
      </w:r>
      <w:r w:rsidRPr="4C239322">
        <w:rPr>
          <w:rFonts w:eastAsia="Arial" w:cs="Arial"/>
        </w:rPr>
        <w:t>, UN Doc HRI/GEN/1/ Rev.1 at 33 (10 April 1992) [5].</w:t>
      </w:r>
    </w:p>
  </w:endnote>
  <w:endnote w:id="26">
    <w:p w14:paraId="756C1DBD" w14:textId="77777777" w:rsidR="003608E3" w:rsidRPr="008C4C22" w:rsidRDefault="003608E3" w:rsidP="003608E3">
      <w:pPr>
        <w:pStyle w:val="EndnoteText"/>
        <w:ind w:left="136" w:hanging="136"/>
        <w:rPr>
          <w:rFonts w:cs="Open Sans"/>
        </w:rPr>
      </w:pPr>
      <w:r w:rsidRPr="4C239322">
        <w:rPr>
          <w:rStyle w:val="EndnoteReference"/>
          <w:rFonts w:eastAsia="Arial" w:cs="Arial"/>
        </w:rPr>
        <w:endnoteRef/>
      </w:r>
      <w:r>
        <w:rPr>
          <w:rFonts w:eastAsia="Arial" w:cs="Arial"/>
        </w:rPr>
        <w:t xml:space="preserve"> </w:t>
      </w:r>
      <w:r w:rsidRPr="4C239322">
        <w:rPr>
          <w:rFonts w:eastAsia="Arial" w:cs="Arial"/>
        </w:rPr>
        <w:t xml:space="preserve">UN General Assembly, </w:t>
      </w:r>
      <w:r w:rsidRPr="4C239322">
        <w:rPr>
          <w:rFonts w:eastAsia="Arial" w:cs="Arial"/>
          <w:i/>
          <w:iCs/>
        </w:rPr>
        <w:t>Standard Minimum Rules for the Treatment of Prisoners</w:t>
      </w:r>
      <w:r w:rsidRPr="4C239322">
        <w:rPr>
          <w:rFonts w:eastAsia="Arial" w:cs="Arial"/>
        </w:rPr>
        <w:t>, adopted by the First United Nations Congress on the Prevention of Crime and the Treatment of Offenders, United Nations Publication, UN Doc. A/CONF/611 (30 August 1955), as amended by ‘the Nelson Mandela Rules’, UN Doc A/RES/70/175 (17 December 2015).</w:t>
      </w:r>
    </w:p>
  </w:endnote>
  <w:endnote w:id="27">
    <w:p w14:paraId="4FBDD771" w14:textId="77777777" w:rsidR="003608E3" w:rsidRPr="008C4C22" w:rsidRDefault="003608E3" w:rsidP="003608E3">
      <w:pPr>
        <w:pStyle w:val="EndnoteText"/>
        <w:ind w:left="136" w:hanging="136"/>
        <w:rPr>
          <w:rFonts w:cs="Open Sans"/>
        </w:rPr>
      </w:pPr>
      <w:r w:rsidRPr="4C239322">
        <w:rPr>
          <w:rStyle w:val="EndnoteReference"/>
          <w:rFonts w:eastAsia="Arial" w:cs="Arial"/>
        </w:rPr>
        <w:endnoteRef/>
      </w:r>
      <w:r>
        <w:rPr>
          <w:rFonts w:eastAsia="Arial" w:cs="Arial"/>
        </w:rPr>
        <w:t xml:space="preserve"> </w:t>
      </w:r>
      <w:r w:rsidRPr="4C239322">
        <w:rPr>
          <w:rFonts w:eastAsia="Arial" w:cs="Arial"/>
        </w:rPr>
        <w:t xml:space="preserve">The Body of Principles were adopted by the UN General Assembly in </w:t>
      </w:r>
      <w:r w:rsidRPr="4C239322">
        <w:rPr>
          <w:rFonts w:eastAsia="Arial" w:cs="Arial"/>
          <w:i/>
          <w:iCs/>
        </w:rPr>
        <w:t>Body of Principles for the Protection of all Persons Under Any Form of Detention or Imprisonment</w:t>
      </w:r>
      <w:r w:rsidRPr="4C239322">
        <w:rPr>
          <w:rFonts w:eastAsia="Arial" w:cs="Arial"/>
        </w:rPr>
        <w:t>, GA Res 43/173, UN GAOR,</w:t>
      </w:r>
      <w:r w:rsidRPr="4C239322">
        <w:rPr>
          <w:rFonts w:eastAsia="Arial" w:cs="Arial"/>
          <w:i/>
          <w:iCs/>
        </w:rPr>
        <w:t xml:space="preserve"> </w:t>
      </w:r>
      <w:r w:rsidRPr="4C239322">
        <w:rPr>
          <w:rFonts w:eastAsia="Arial" w:cs="Arial"/>
        </w:rPr>
        <w:t>6</w:t>
      </w:r>
      <w:r w:rsidRPr="4C239322">
        <w:rPr>
          <w:rFonts w:eastAsia="Arial" w:cs="Arial"/>
          <w:vertAlign w:val="superscript"/>
        </w:rPr>
        <w:t>th</w:t>
      </w:r>
      <w:r w:rsidRPr="4C239322">
        <w:rPr>
          <w:rFonts w:eastAsia="Arial" w:cs="Arial"/>
        </w:rPr>
        <w:t xml:space="preserve"> Comm, 43</w:t>
      </w:r>
      <w:r w:rsidRPr="4C239322">
        <w:rPr>
          <w:rFonts w:eastAsia="Arial" w:cs="Arial"/>
          <w:vertAlign w:val="superscript"/>
        </w:rPr>
        <w:t>rd</w:t>
      </w:r>
      <w:r w:rsidRPr="4C239322">
        <w:rPr>
          <w:rFonts w:eastAsia="Arial" w:cs="Arial"/>
        </w:rPr>
        <w:t xml:space="preserve"> sess, 76</w:t>
      </w:r>
      <w:r w:rsidRPr="4C239322">
        <w:rPr>
          <w:rFonts w:eastAsia="Arial" w:cs="Arial"/>
          <w:vertAlign w:val="superscript"/>
        </w:rPr>
        <w:t>th</w:t>
      </w:r>
      <w:r w:rsidRPr="4C239322">
        <w:rPr>
          <w:rFonts w:eastAsia="Arial" w:cs="Arial"/>
        </w:rPr>
        <w:t xml:space="preserve"> plen mtg, Agenda Item 138, UN Doc A/43/49 (9 December 1988) Annex.</w:t>
      </w:r>
    </w:p>
  </w:endnote>
  <w:endnote w:id="28">
    <w:p w14:paraId="40FEE696" w14:textId="77777777" w:rsidR="003608E3" w:rsidRPr="008C4C22" w:rsidRDefault="003608E3" w:rsidP="003608E3">
      <w:pPr>
        <w:pStyle w:val="EndnoteText"/>
        <w:ind w:left="136" w:hanging="136"/>
        <w:rPr>
          <w:rFonts w:cs="Open Sans"/>
          <w:lang w:val="en-US"/>
        </w:rPr>
      </w:pPr>
      <w:r w:rsidRPr="4C239322">
        <w:rPr>
          <w:rStyle w:val="EndnoteReference"/>
          <w:rFonts w:eastAsia="Arial" w:cs="Arial"/>
        </w:rPr>
        <w:endnoteRef/>
      </w:r>
      <w:r>
        <w:rPr>
          <w:rFonts w:eastAsia="Arial" w:cs="Arial"/>
        </w:rPr>
        <w:t xml:space="preserve"> </w:t>
      </w:r>
      <w:r w:rsidRPr="4C239322">
        <w:rPr>
          <w:rFonts w:eastAsia="Arial" w:cs="Arial"/>
        </w:rPr>
        <w:t xml:space="preserve">UN General Assembly, </w:t>
      </w:r>
      <w:r w:rsidRPr="4C239322">
        <w:rPr>
          <w:rFonts w:eastAsia="Arial" w:cs="Arial"/>
          <w:i/>
          <w:iCs/>
        </w:rPr>
        <w:t>Standard Minimum Rules for the Treatment of Prisoners</w:t>
      </w:r>
      <w:r w:rsidRPr="4C239322">
        <w:rPr>
          <w:rFonts w:eastAsia="Arial" w:cs="Arial"/>
        </w:rPr>
        <w:t>, adopted by the First United Nations Congress on the Prevention of Crime and the Treatment of Offenders, United Nations Publication, UN Doc. A/CONF/611 (30 August 1955), as amended by ‘the Nelson Mandela Rules’, UN Doc A/RES/70/175 (17 December 2015), preliminary observation 2(1), 7.</w:t>
      </w:r>
    </w:p>
  </w:endnote>
  <w:endnote w:id="29">
    <w:p w14:paraId="0DE0EED9" w14:textId="687BF730" w:rsidR="003608E3" w:rsidRPr="00C13407" w:rsidRDefault="003608E3" w:rsidP="003608E3">
      <w:pPr>
        <w:pStyle w:val="EndnoteText"/>
        <w:ind w:left="136" w:hanging="136"/>
        <w:rPr>
          <w:rFonts w:cs="Open Sans"/>
        </w:rPr>
      </w:pPr>
      <w:r w:rsidRPr="4C239322">
        <w:rPr>
          <w:rStyle w:val="EndnoteReference"/>
          <w:rFonts w:eastAsia="Arial" w:cs="Arial"/>
        </w:rPr>
        <w:endnoteRef/>
      </w:r>
      <w:r>
        <w:rPr>
          <w:rFonts w:eastAsia="Arial" w:cs="Arial"/>
        </w:rPr>
        <w:t xml:space="preserve"> </w:t>
      </w:r>
      <w:r w:rsidRPr="4C239322">
        <w:rPr>
          <w:rFonts w:eastAsia="Arial" w:cs="Arial"/>
        </w:rPr>
        <w:t xml:space="preserve">Allen Hawke and Helen Williams, </w:t>
      </w:r>
      <w:r w:rsidRPr="4C239322">
        <w:rPr>
          <w:rFonts w:eastAsia="Arial" w:cs="Arial"/>
          <w:i/>
          <w:iCs/>
        </w:rPr>
        <w:t>Independent Review of the Incidents at the Christmas Island Immigration Detention Centre and Villawood Immigration Detention Centre</w:t>
      </w:r>
      <w:r w:rsidRPr="4C239322">
        <w:rPr>
          <w:rFonts w:eastAsia="Arial" w:cs="Arial"/>
        </w:rPr>
        <w:t>, 31 August 2011 (Hawke-Williams Report), p 79. A</w:t>
      </w:r>
      <w:r w:rsidR="001A52CE">
        <w:rPr>
          <w:rFonts w:eastAsia="Arial" w:cs="Arial"/>
        </w:rPr>
        <w:t>vailable a</w:t>
      </w:r>
      <w:r w:rsidRPr="4C239322">
        <w:rPr>
          <w:rFonts w:eastAsia="Arial" w:cs="Arial"/>
        </w:rPr>
        <w:t>t</w:t>
      </w:r>
      <w:r w:rsidR="001A52CE">
        <w:rPr>
          <w:rFonts w:eastAsia="Arial" w:cs="Arial"/>
        </w:rPr>
        <w:t xml:space="preserve">: </w:t>
      </w:r>
      <w:hyperlink r:id="rId1" w:history="1">
        <w:r w:rsidR="001A52CE" w:rsidRPr="00DB3E19">
          <w:rPr>
            <w:rStyle w:val="Hyperlink"/>
            <w:rFonts w:ascii="Arial" w:eastAsia="Arial" w:hAnsi="Arial" w:cs="Arial"/>
          </w:rPr>
          <w:t>http://www.border.gov.au/ReportsandPublications/Documents/reviews-and-inquiries/independent-review-incidents-christmas-island-villawood-full.pdf#search=hawke%20williams%20report</w:t>
        </w:r>
      </w:hyperlink>
      <w:r w:rsidRPr="4C239322">
        <w:rPr>
          <w:rFonts w:eastAsia="Arial" w:cs="Arial"/>
        </w:rPr>
        <w:t xml:space="preserve"> (viewed 19 April 2017).</w:t>
      </w:r>
    </w:p>
  </w:endnote>
  <w:endnote w:id="30">
    <w:p w14:paraId="0937B2F5" w14:textId="77777777" w:rsidR="003608E3" w:rsidRPr="008C4C22" w:rsidRDefault="003608E3" w:rsidP="003608E3">
      <w:pPr>
        <w:pStyle w:val="EndnoteText"/>
        <w:ind w:left="136" w:hanging="136"/>
        <w:rPr>
          <w:rFonts w:cs="Open Sans"/>
        </w:rPr>
      </w:pPr>
      <w:r w:rsidRPr="4C239322">
        <w:rPr>
          <w:rStyle w:val="EndnoteReference"/>
          <w:rFonts w:eastAsia="Arial" w:cs="Arial"/>
        </w:rPr>
        <w:endnoteRef/>
      </w:r>
      <w:r w:rsidRPr="4C239322">
        <w:rPr>
          <w:rFonts w:eastAsia="Arial" w:cs="Arial"/>
        </w:rPr>
        <w:t xml:space="preserve"> Immigration Detention Facilities and Detainee Services Contract between the Commonwealth of Australia and Serco Australia Pty Ltd dated 10 December 2014 (Serco Contract), cl 13(a) and (b), 3.9.  </w:t>
      </w:r>
    </w:p>
  </w:endnote>
  <w:endnote w:id="31">
    <w:p w14:paraId="38D9165B" w14:textId="77777777" w:rsidR="003608E3" w:rsidRPr="008C4C22" w:rsidRDefault="003608E3" w:rsidP="003608E3">
      <w:pPr>
        <w:pStyle w:val="EndnoteText"/>
        <w:ind w:left="0" w:firstLine="0"/>
        <w:rPr>
          <w:rFonts w:cs="Open Sans"/>
        </w:rPr>
      </w:pPr>
      <w:r w:rsidRPr="4C239322">
        <w:rPr>
          <w:rStyle w:val="EndnoteReference"/>
          <w:rFonts w:eastAsia="Arial" w:cs="Arial"/>
        </w:rPr>
        <w:endnoteRef/>
      </w:r>
      <w:r w:rsidRPr="4C239322">
        <w:rPr>
          <w:rFonts w:eastAsia="Arial" w:cs="Arial"/>
        </w:rPr>
        <w:t xml:space="preserve"> Serco Contract, cl 2.4(a)(vi) of Annexure C to Schedule 2 (Code of Conduct).</w:t>
      </w:r>
    </w:p>
  </w:endnote>
  <w:endnote w:id="32">
    <w:p w14:paraId="7B3B611E" w14:textId="77777777" w:rsidR="003608E3" w:rsidRPr="008C4C22" w:rsidRDefault="003608E3" w:rsidP="003608E3">
      <w:pPr>
        <w:pStyle w:val="EndnoteText"/>
        <w:ind w:left="136" w:hanging="136"/>
        <w:rPr>
          <w:rFonts w:cs="Open Sans"/>
        </w:rPr>
      </w:pPr>
      <w:r w:rsidRPr="4C239322">
        <w:rPr>
          <w:rStyle w:val="EndnoteReference"/>
          <w:rFonts w:eastAsia="Arial" w:cs="Arial"/>
        </w:rPr>
        <w:endnoteRef/>
      </w:r>
      <w:r w:rsidRPr="4C239322">
        <w:rPr>
          <w:rFonts w:eastAsia="Arial" w:cs="Arial"/>
        </w:rPr>
        <w:t>Serco Contract, cl 1.1(a), 3.1(a)(i) and 3.6(a) of Section 4 of Schedule 2 (Security Services); cl 7(a) of Section 2 of Schedule 2 (Garrison Services).</w:t>
      </w:r>
    </w:p>
  </w:endnote>
  <w:endnote w:id="33">
    <w:p w14:paraId="3009C7B7" w14:textId="77777777" w:rsidR="003608E3" w:rsidRPr="008C4C22" w:rsidRDefault="003608E3" w:rsidP="003608E3">
      <w:pPr>
        <w:pStyle w:val="EndnoteText"/>
        <w:ind w:left="136" w:hanging="136"/>
        <w:rPr>
          <w:rFonts w:cs="Open Sans"/>
        </w:rPr>
      </w:pPr>
      <w:r w:rsidRPr="4C239322">
        <w:rPr>
          <w:rStyle w:val="EndnoteReference"/>
          <w:rFonts w:eastAsia="Arial" w:cs="Arial"/>
        </w:rPr>
        <w:endnoteRef/>
      </w:r>
      <w:r w:rsidRPr="4C239322">
        <w:rPr>
          <w:rFonts w:eastAsia="Arial" w:cs="Arial"/>
        </w:rPr>
        <w:t>Serco Contract, cl 6(b) of Section 2 of Schedule 2 (Garrison Services); cl 1.2(d) and 7.1(a) of Section 6 of Schedule 2 (Welfare and Engagement Services).</w:t>
      </w:r>
    </w:p>
  </w:endnote>
  <w:endnote w:id="34">
    <w:p w14:paraId="023F8F3A" w14:textId="77777777" w:rsidR="003608E3" w:rsidRPr="00A938D3" w:rsidRDefault="003608E3" w:rsidP="003608E3">
      <w:pPr>
        <w:pStyle w:val="EndnoteText"/>
        <w:ind w:left="136" w:hanging="136"/>
        <w:rPr>
          <w:lang w:val="en-US"/>
        </w:rPr>
      </w:pPr>
      <w:r>
        <w:rPr>
          <w:rStyle w:val="EndnoteReference"/>
        </w:rPr>
        <w:endnoteRef/>
      </w:r>
      <w:r w:rsidRPr="4C239322">
        <w:rPr>
          <w:rFonts w:eastAsia="Arial" w:cs="Arial"/>
        </w:rPr>
        <w:t>Serco Contr</w:t>
      </w:r>
      <w:r>
        <w:rPr>
          <w:rFonts w:eastAsia="Arial" w:cs="Arial"/>
        </w:rPr>
        <w:t>a</w:t>
      </w:r>
      <w:r w:rsidRPr="4C239322">
        <w:rPr>
          <w:rFonts w:eastAsia="Arial" w:cs="Arial"/>
        </w:rPr>
        <w:t>ct, cl 6.12(a) and (b)(i) and (iii) of Section 6 of Schedule 2 (Welfare and Engagement Services).</w:t>
      </w:r>
    </w:p>
  </w:endnote>
  <w:endnote w:id="35">
    <w:p w14:paraId="5B664C15" w14:textId="77777777" w:rsidR="003608E3" w:rsidRPr="008C4C22" w:rsidRDefault="003608E3" w:rsidP="003608E3">
      <w:pPr>
        <w:pStyle w:val="EndnoteText"/>
        <w:ind w:left="136" w:hanging="136"/>
        <w:rPr>
          <w:rFonts w:cs="Open Sans"/>
        </w:rPr>
      </w:pPr>
      <w:r w:rsidRPr="4C239322">
        <w:rPr>
          <w:rStyle w:val="EndnoteReference"/>
          <w:rFonts w:eastAsia="Arial" w:cs="Arial"/>
        </w:rPr>
        <w:endnoteRef/>
      </w:r>
      <w:r w:rsidRPr="4C239322">
        <w:rPr>
          <w:rFonts w:eastAsia="Arial" w:cs="Arial"/>
        </w:rPr>
        <w:t xml:space="preserve"> Serco Contract, cl 6.13 of Section 6 of Schedule 2 (Welfare and Engagement Services).</w:t>
      </w:r>
    </w:p>
  </w:endnote>
  <w:endnote w:id="36">
    <w:p w14:paraId="7E819B51" w14:textId="77777777" w:rsidR="003608E3" w:rsidRPr="008C4C22" w:rsidRDefault="003608E3" w:rsidP="003608E3">
      <w:pPr>
        <w:pStyle w:val="EndnoteText"/>
        <w:ind w:left="136" w:hanging="136"/>
        <w:rPr>
          <w:rFonts w:cs="Open Sans"/>
        </w:rPr>
      </w:pPr>
      <w:r w:rsidRPr="4C239322">
        <w:rPr>
          <w:rStyle w:val="EndnoteReference"/>
          <w:rFonts w:eastAsia="Arial" w:cs="Arial"/>
        </w:rPr>
        <w:endnoteRef/>
      </w:r>
      <w:r w:rsidRPr="4C239322">
        <w:rPr>
          <w:rFonts w:eastAsia="Arial" w:cs="Arial"/>
        </w:rPr>
        <w:t xml:space="preserve"> Serco Contract, cl 3.6(d) of Section 4 of Schedule 2 (Security Services).</w:t>
      </w:r>
    </w:p>
  </w:endnote>
  <w:endnote w:id="37">
    <w:p w14:paraId="4D307387" w14:textId="77777777" w:rsidR="003608E3" w:rsidRPr="008C4C22" w:rsidRDefault="003608E3" w:rsidP="003608E3">
      <w:pPr>
        <w:pStyle w:val="EndnoteText"/>
        <w:ind w:left="136" w:hanging="136"/>
        <w:rPr>
          <w:rFonts w:cs="Open Sans"/>
        </w:rPr>
      </w:pPr>
      <w:r w:rsidRPr="4C239322">
        <w:rPr>
          <w:rStyle w:val="EndnoteReference"/>
          <w:rFonts w:eastAsia="Arial" w:cs="Arial"/>
        </w:rPr>
        <w:endnoteRef/>
      </w:r>
      <w:r w:rsidRPr="4C239322">
        <w:rPr>
          <w:rFonts w:eastAsia="Arial" w:cs="Arial"/>
        </w:rPr>
        <w:t xml:space="preserve"> Serco Contract, cl 1.2(e) of Section 6 of Schedule 2 (Welfare and Engagement Services).</w:t>
      </w:r>
    </w:p>
  </w:endnote>
  <w:endnote w:id="38">
    <w:p w14:paraId="56CCDAAF" w14:textId="77777777" w:rsidR="003608E3" w:rsidRPr="008C4C22" w:rsidRDefault="003608E3" w:rsidP="003608E3">
      <w:pPr>
        <w:pStyle w:val="EndnoteText"/>
        <w:ind w:left="136" w:hanging="136"/>
        <w:rPr>
          <w:rFonts w:cs="Open Sans"/>
        </w:rPr>
      </w:pPr>
      <w:r w:rsidRPr="4C239322">
        <w:rPr>
          <w:rStyle w:val="EndnoteReference"/>
          <w:rFonts w:eastAsia="Arial" w:cs="Arial"/>
        </w:rPr>
        <w:endnoteRef/>
      </w:r>
      <w:r w:rsidRPr="4C239322">
        <w:rPr>
          <w:rFonts w:eastAsia="Arial" w:cs="Arial"/>
        </w:rPr>
        <w:t xml:space="preserve"> Serco Contract, cl 7.1(a)(iii), 7.9(a)(ii) and 7.10(a) of Section 6 of Schedule 2 (Welfare and Engagement Services).</w:t>
      </w:r>
    </w:p>
  </w:endnote>
  <w:endnote w:id="39">
    <w:p w14:paraId="0BEE40D9" w14:textId="77777777" w:rsidR="003608E3" w:rsidRPr="008C4C22" w:rsidRDefault="003608E3" w:rsidP="003608E3">
      <w:pPr>
        <w:pStyle w:val="EndnoteText"/>
        <w:ind w:left="0" w:firstLine="0"/>
        <w:rPr>
          <w:rFonts w:cs="Open Sans"/>
        </w:rPr>
      </w:pPr>
      <w:r w:rsidRPr="4C239322">
        <w:rPr>
          <w:rStyle w:val="EndnoteReference"/>
          <w:rFonts w:eastAsia="Arial" w:cs="Arial"/>
        </w:rPr>
        <w:endnoteRef/>
      </w:r>
      <w:r w:rsidRPr="4C239322">
        <w:rPr>
          <w:rFonts w:eastAsia="Arial" w:cs="Arial"/>
        </w:rPr>
        <w:t xml:space="preserve"> Serco Contract, cl 7.9(a)(i) of Section 6 of Schedule 2 (Welfare and Engagement Services).</w:t>
      </w:r>
    </w:p>
  </w:endnote>
  <w:endnote w:id="40">
    <w:p w14:paraId="4E3A6D11" w14:textId="77777777" w:rsidR="003608E3" w:rsidRPr="008C4C22" w:rsidRDefault="003608E3" w:rsidP="003608E3">
      <w:pPr>
        <w:pStyle w:val="EndnoteText"/>
        <w:ind w:left="0" w:firstLine="0"/>
        <w:rPr>
          <w:rFonts w:cs="Open Sans"/>
        </w:rPr>
      </w:pPr>
      <w:r w:rsidRPr="4C239322">
        <w:rPr>
          <w:rStyle w:val="EndnoteReference"/>
          <w:rFonts w:eastAsia="Arial" w:cs="Arial"/>
        </w:rPr>
        <w:endnoteRef/>
      </w:r>
      <w:r w:rsidRPr="4C239322">
        <w:rPr>
          <w:rFonts w:eastAsia="Arial" w:cs="Arial"/>
        </w:rPr>
        <w:t xml:space="preserve"> Serco Contract, cl 7.13(a) of Section 6 of Schedule 2 (Welfare and Engagement Services).</w:t>
      </w:r>
    </w:p>
  </w:endnote>
  <w:endnote w:id="41">
    <w:p w14:paraId="327713C5" w14:textId="77777777" w:rsidR="003608E3" w:rsidRPr="00C13407" w:rsidRDefault="003608E3" w:rsidP="003608E3">
      <w:pPr>
        <w:pStyle w:val="EndnoteText"/>
        <w:ind w:left="136" w:hanging="136"/>
        <w:rPr>
          <w:rFonts w:cs="Open Sans"/>
        </w:rPr>
      </w:pPr>
      <w:r w:rsidRPr="4C239322">
        <w:rPr>
          <w:rStyle w:val="EndnoteReference"/>
          <w:rFonts w:eastAsia="Arial" w:cs="Arial"/>
        </w:rPr>
        <w:endnoteRef/>
      </w:r>
      <w:r w:rsidRPr="4C239322">
        <w:rPr>
          <w:rFonts w:eastAsia="Arial" w:cs="Arial"/>
        </w:rPr>
        <w:t xml:space="preserve"> Immigration Detention Facilities and Detainee Services Contract between the Commonwealth and Serco, 10 December 2014, Sch 2 (Statement of Work), Section 4 (Security Services), clause 3.8.</w:t>
      </w:r>
    </w:p>
  </w:endnote>
  <w:endnote w:id="42">
    <w:p w14:paraId="1D3E4A4E" w14:textId="77777777" w:rsidR="003608E3" w:rsidRPr="00C13407" w:rsidRDefault="003608E3" w:rsidP="003608E3">
      <w:pPr>
        <w:pStyle w:val="EndnoteText"/>
        <w:ind w:left="136" w:hanging="136"/>
        <w:rPr>
          <w:rFonts w:cs="Open Sans"/>
        </w:rPr>
      </w:pPr>
      <w:r w:rsidRPr="4C239322">
        <w:rPr>
          <w:rStyle w:val="EndnoteReference"/>
          <w:rFonts w:eastAsia="Arial" w:cs="Arial"/>
        </w:rPr>
        <w:endnoteRef/>
      </w:r>
      <w:r w:rsidRPr="4C239322">
        <w:rPr>
          <w:rFonts w:eastAsia="Arial" w:cs="Arial"/>
        </w:rPr>
        <w:t xml:space="preserve"> Immigration Detention Facilities and Detainee Services Contract between the Commonwealth and Serco, 10 December 2014, Sch 2 (Statement of Work), Section 4 (Security Services), clause 3.10.</w:t>
      </w:r>
    </w:p>
  </w:endnote>
  <w:endnote w:id="43">
    <w:p w14:paraId="79B54EBA" w14:textId="77777777" w:rsidR="003608E3" w:rsidRPr="00D3717B" w:rsidRDefault="003608E3" w:rsidP="003608E3">
      <w:pPr>
        <w:pStyle w:val="EndnoteText"/>
        <w:ind w:left="136" w:hanging="136"/>
        <w:rPr>
          <w:rFonts w:cs="Open Sans"/>
        </w:rPr>
      </w:pPr>
      <w:r w:rsidRPr="4C239322">
        <w:rPr>
          <w:rStyle w:val="EndnoteReference"/>
          <w:rFonts w:eastAsia="Arial" w:cs="Arial"/>
        </w:rPr>
        <w:endnoteRef/>
      </w:r>
      <w:r w:rsidRPr="4C239322">
        <w:rPr>
          <w:rFonts w:eastAsia="Arial" w:cs="Arial"/>
        </w:rPr>
        <w:t xml:space="preserve"> Department of Home Affairs, </w:t>
      </w:r>
      <w:r w:rsidRPr="4C239322">
        <w:rPr>
          <w:rFonts w:eastAsia="Arial" w:cs="Arial"/>
          <w:i/>
          <w:iCs/>
        </w:rPr>
        <w:t>Detention Services Manual – Safety and security management – Use of force</w:t>
      </w:r>
      <w:r w:rsidRPr="4C239322">
        <w:rPr>
          <w:rFonts w:eastAsia="Arial" w:cs="Arial"/>
        </w:rPr>
        <w:t>, 10 October 2018, p 4.</w:t>
      </w:r>
    </w:p>
  </w:endnote>
  <w:endnote w:id="44">
    <w:p w14:paraId="3B9A1ED8" w14:textId="77777777" w:rsidR="003608E3" w:rsidRPr="00C13407" w:rsidRDefault="003608E3" w:rsidP="003608E3">
      <w:pPr>
        <w:pStyle w:val="EndnoteText"/>
        <w:ind w:left="136" w:hanging="136"/>
        <w:rPr>
          <w:rFonts w:cs="Open Sans"/>
        </w:rPr>
      </w:pPr>
      <w:r w:rsidRPr="4C239322">
        <w:rPr>
          <w:rStyle w:val="EndnoteReference"/>
          <w:rFonts w:eastAsia="Arial" w:cs="Arial"/>
        </w:rPr>
        <w:endnoteRef/>
      </w:r>
      <w:r w:rsidRPr="4C239322">
        <w:rPr>
          <w:rFonts w:eastAsia="Arial" w:cs="Arial"/>
        </w:rPr>
        <w:t xml:space="preserve"> Department of Immigration and Border Protection, </w:t>
      </w:r>
      <w:r w:rsidRPr="4C239322">
        <w:rPr>
          <w:rFonts w:eastAsia="Arial" w:cs="Arial"/>
          <w:i/>
          <w:iCs/>
        </w:rPr>
        <w:t>Detention Services Manual – Chapter 1 – Legislative and principles overview – Duty of care to detainees</w:t>
      </w:r>
      <w:r w:rsidRPr="4C239322">
        <w:rPr>
          <w:rFonts w:eastAsia="Arial" w:cs="Arial"/>
        </w:rPr>
        <w:t xml:space="preserve"> (July 2016) at [4].</w:t>
      </w:r>
    </w:p>
  </w:endnote>
  <w:endnote w:id="45">
    <w:p w14:paraId="229E2641" w14:textId="77777777" w:rsidR="003608E3" w:rsidRPr="00C13407" w:rsidRDefault="003608E3" w:rsidP="003608E3">
      <w:pPr>
        <w:pStyle w:val="EndnoteText"/>
        <w:ind w:left="136" w:hanging="136"/>
        <w:rPr>
          <w:rFonts w:cs="Open Sans"/>
        </w:rPr>
      </w:pPr>
      <w:r w:rsidRPr="4C239322">
        <w:rPr>
          <w:rStyle w:val="EndnoteReference"/>
          <w:rFonts w:eastAsia="Arial" w:cs="Arial"/>
        </w:rPr>
        <w:endnoteRef/>
      </w:r>
      <w:r w:rsidRPr="4C239322">
        <w:rPr>
          <w:rFonts w:eastAsia="Arial" w:cs="Arial"/>
        </w:rPr>
        <w:t xml:space="preserve"> Department of Immigration and Border Protection, </w:t>
      </w:r>
      <w:r w:rsidRPr="4C239322">
        <w:rPr>
          <w:rFonts w:eastAsia="Arial" w:cs="Arial"/>
          <w:i/>
          <w:iCs/>
        </w:rPr>
        <w:t>Detention Services Manual – Chapter 1 – Legislative and principles overview – Duty of care to detainees</w:t>
      </w:r>
      <w:r w:rsidRPr="4C239322">
        <w:rPr>
          <w:rFonts w:eastAsia="Arial" w:cs="Arial"/>
        </w:rPr>
        <w:t xml:space="preserve"> (July 2016) at [5].</w:t>
      </w:r>
    </w:p>
  </w:endnote>
  <w:endnote w:id="46">
    <w:p w14:paraId="282E40AA" w14:textId="77777777" w:rsidR="003608E3" w:rsidRPr="00C13407" w:rsidRDefault="003608E3" w:rsidP="003608E3">
      <w:pPr>
        <w:pStyle w:val="EndnoteText"/>
        <w:ind w:left="136" w:hanging="136"/>
        <w:rPr>
          <w:rFonts w:cs="Open Sans"/>
        </w:rPr>
      </w:pPr>
      <w:r w:rsidRPr="4C239322">
        <w:rPr>
          <w:rStyle w:val="EndnoteReference"/>
          <w:rFonts w:eastAsia="Arial" w:cs="Arial"/>
        </w:rPr>
        <w:endnoteRef/>
      </w:r>
      <w:r w:rsidRPr="4C239322">
        <w:rPr>
          <w:rFonts w:eastAsia="Arial" w:cs="Arial"/>
        </w:rPr>
        <w:t xml:space="preserve"> Department of Immigration and Border Protection, </w:t>
      </w:r>
      <w:r w:rsidRPr="4C239322">
        <w:rPr>
          <w:rFonts w:eastAsia="Arial" w:cs="Arial"/>
          <w:i/>
          <w:iCs/>
        </w:rPr>
        <w:t>Detention Services Manual – Chapter 1 – Legislative and principles overview – Duty of care to detainees</w:t>
      </w:r>
      <w:r w:rsidRPr="4C239322">
        <w:rPr>
          <w:rFonts w:eastAsia="Arial" w:cs="Arial"/>
        </w:rPr>
        <w:t xml:space="preserve"> (July 2016) at [5].</w:t>
      </w:r>
    </w:p>
  </w:endnote>
  <w:endnote w:id="47">
    <w:p w14:paraId="11738451" w14:textId="77777777" w:rsidR="003608E3" w:rsidRPr="00C13407" w:rsidRDefault="003608E3" w:rsidP="003608E3">
      <w:pPr>
        <w:pStyle w:val="EndnoteText"/>
        <w:ind w:left="136" w:hanging="136"/>
        <w:rPr>
          <w:rFonts w:cs="Open Sans"/>
        </w:rPr>
      </w:pPr>
      <w:r w:rsidRPr="4C239322">
        <w:rPr>
          <w:rStyle w:val="EndnoteReference"/>
          <w:rFonts w:eastAsia="Arial" w:cs="Arial"/>
        </w:rPr>
        <w:endnoteRef/>
      </w:r>
      <w:r w:rsidRPr="4C239322">
        <w:rPr>
          <w:rFonts w:eastAsia="Arial" w:cs="Arial"/>
        </w:rPr>
        <w:t xml:space="preserve"> Department of Immigration and Border Protection, </w:t>
      </w:r>
      <w:r w:rsidRPr="4C239322">
        <w:rPr>
          <w:rFonts w:eastAsia="Arial" w:cs="Arial"/>
          <w:i/>
          <w:iCs/>
        </w:rPr>
        <w:t>Detention Services Manual – Chapter 1 – Legislative and principles overview – Duty of care to detainees</w:t>
      </w:r>
      <w:r w:rsidRPr="4C239322">
        <w:rPr>
          <w:rFonts w:eastAsia="Arial" w:cs="Arial"/>
        </w:rPr>
        <w:t xml:space="preserve"> (July 2016) at [7].</w:t>
      </w:r>
    </w:p>
  </w:endnote>
  <w:endnote w:id="48">
    <w:p w14:paraId="17A7C0A4" w14:textId="77777777" w:rsidR="003608E3" w:rsidRPr="00FC7359" w:rsidRDefault="003608E3" w:rsidP="003608E3">
      <w:pPr>
        <w:pStyle w:val="EndnoteText"/>
        <w:ind w:left="136" w:hanging="136"/>
        <w:rPr>
          <w:lang w:val="en-US"/>
        </w:rPr>
      </w:pPr>
      <w:r>
        <w:rPr>
          <w:rStyle w:val="EndnoteReference"/>
        </w:rPr>
        <w:endnoteRef/>
      </w:r>
      <w:r>
        <w:t xml:space="preserve"> </w:t>
      </w:r>
      <w:r w:rsidRPr="4C239322">
        <w:rPr>
          <w:rFonts w:eastAsia="Arial" w:cs="Arial"/>
        </w:rPr>
        <w:t>Practice Guideline, Severe Behavioural Disturbances, International Health and Medical Services, Practice Guidelines.</w:t>
      </w:r>
    </w:p>
  </w:endnote>
  <w:endnote w:id="49">
    <w:p w14:paraId="1996034F" w14:textId="77777777" w:rsidR="003608E3" w:rsidRPr="00C13407" w:rsidRDefault="003608E3" w:rsidP="003608E3">
      <w:pPr>
        <w:pStyle w:val="EndnoteText"/>
        <w:ind w:left="136" w:hanging="136"/>
        <w:rPr>
          <w:rFonts w:cs="Open Sans"/>
        </w:rPr>
      </w:pPr>
      <w:r w:rsidRPr="4C239322">
        <w:rPr>
          <w:rStyle w:val="EndnoteReference"/>
          <w:rFonts w:eastAsia="Arial" w:cs="Arial"/>
        </w:rPr>
        <w:endnoteRef/>
      </w:r>
      <w:r w:rsidRPr="4C239322">
        <w:rPr>
          <w:rFonts w:eastAsia="Arial" w:cs="Arial"/>
          <w:color w:val="000000"/>
        </w:rPr>
        <w:t xml:space="preserve"> UN Human Rights Committee, </w:t>
      </w:r>
      <w:r w:rsidRPr="4C239322">
        <w:rPr>
          <w:rFonts w:eastAsia="Arial" w:cs="Arial"/>
          <w:i/>
          <w:iCs/>
          <w:color w:val="000000"/>
        </w:rPr>
        <w:t>General Comment No. 16: Article 17 (Right to Privacy) The right to    respect of privacy, family, home and correspondence, and protection of honour and reputation</w:t>
      </w:r>
      <w:r w:rsidRPr="4C239322">
        <w:rPr>
          <w:rFonts w:eastAsia="Arial" w:cs="Arial"/>
          <w:color w:val="000000"/>
        </w:rPr>
        <w:t>, 32</w:t>
      </w:r>
      <w:r w:rsidRPr="4C239322">
        <w:rPr>
          <w:rStyle w:val="A17"/>
          <w:rFonts w:eastAsia="Arial" w:cs="Arial"/>
        </w:rPr>
        <w:t xml:space="preserve">nd </w:t>
      </w:r>
      <w:r w:rsidRPr="4C239322">
        <w:rPr>
          <w:rFonts w:eastAsia="Arial" w:cs="Arial"/>
          <w:color w:val="000000"/>
        </w:rPr>
        <w:t xml:space="preserve">sess, UN Doc HRI/GEN/1/Rev.1 (8 April 1988) 1–2 [5]; UN Human Rights Committee, </w:t>
      </w:r>
      <w:r w:rsidRPr="4C239322">
        <w:rPr>
          <w:rFonts w:eastAsia="Arial" w:cs="Arial"/>
          <w:i/>
          <w:iCs/>
          <w:color w:val="000000"/>
        </w:rPr>
        <w:t xml:space="preserve">General Comment No. 19: Article 23 (The Family) Protection of the Family, the Right to Marriage and Equality of the Spouses, </w:t>
      </w:r>
      <w:r w:rsidRPr="4C239322">
        <w:rPr>
          <w:rFonts w:eastAsia="Arial" w:cs="Arial"/>
          <w:color w:val="000000"/>
        </w:rPr>
        <w:t>39</w:t>
      </w:r>
      <w:r w:rsidRPr="4C239322">
        <w:rPr>
          <w:rStyle w:val="A17"/>
          <w:rFonts w:eastAsia="Arial" w:cs="Arial"/>
        </w:rPr>
        <w:t xml:space="preserve">th </w:t>
      </w:r>
      <w:r w:rsidRPr="4C239322">
        <w:rPr>
          <w:rFonts w:eastAsia="Arial" w:cs="Arial"/>
          <w:color w:val="000000"/>
        </w:rPr>
        <w:t xml:space="preserve">sess, UN Doc HRI/GEN/1/Rev.1 (27 July 1990) 1 [2]; UN Human Rights Committee, </w:t>
      </w:r>
      <w:r w:rsidRPr="4C239322">
        <w:rPr>
          <w:rFonts w:eastAsia="Arial" w:cs="Arial"/>
          <w:i/>
          <w:iCs/>
          <w:color w:val="000000"/>
        </w:rPr>
        <w:t>Views: Communication No 201/1985</w:t>
      </w:r>
      <w:r w:rsidRPr="4C239322">
        <w:rPr>
          <w:rFonts w:eastAsia="Arial" w:cs="Arial"/>
          <w:color w:val="000000"/>
        </w:rPr>
        <w:t>, 33</w:t>
      </w:r>
      <w:r w:rsidRPr="4C239322">
        <w:rPr>
          <w:rStyle w:val="A17"/>
          <w:rFonts w:eastAsia="Arial" w:cs="Arial"/>
        </w:rPr>
        <w:t xml:space="preserve">rd </w:t>
      </w:r>
      <w:r w:rsidRPr="4C239322">
        <w:rPr>
          <w:rFonts w:eastAsia="Arial" w:cs="Arial"/>
          <w:color w:val="000000"/>
        </w:rPr>
        <w:t>sess, UN Doc CCPR/C/33/D/201/1985 (27 July 1988) [10.3] (‘</w:t>
      </w:r>
      <w:r w:rsidRPr="4C239322">
        <w:rPr>
          <w:rFonts w:eastAsia="Arial" w:cs="Arial"/>
          <w:i/>
          <w:iCs/>
          <w:color w:val="000000"/>
        </w:rPr>
        <w:t>Hendriks v Netherlands’</w:t>
      </w:r>
      <w:r w:rsidRPr="4C239322">
        <w:rPr>
          <w:rFonts w:eastAsia="Arial" w:cs="Arial"/>
          <w:color w:val="000000"/>
        </w:rPr>
        <w:t>).</w:t>
      </w:r>
    </w:p>
  </w:endnote>
  <w:endnote w:id="50">
    <w:p w14:paraId="2B09BC3A" w14:textId="77777777" w:rsidR="003608E3" w:rsidRPr="00C13407" w:rsidRDefault="003608E3" w:rsidP="003608E3">
      <w:pPr>
        <w:pStyle w:val="EndnoteText"/>
        <w:ind w:left="136" w:hanging="136"/>
        <w:rPr>
          <w:rFonts w:cs="Open Sans"/>
        </w:rPr>
      </w:pPr>
      <w:r w:rsidRPr="4C239322">
        <w:rPr>
          <w:rStyle w:val="EndnoteReference"/>
          <w:rFonts w:eastAsia="Arial" w:cs="Arial"/>
        </w:rPr>
        <w:endnoteRef/>
      </w:r>
      <w:r>
        <w:rPr>
          <w:rFonts w:eastAsia="Arial" w:cs="Arial"/>
          <w:color w:val="000000"/>
        </w:rPr>
        <w:t xml:space="preserve"> </w:t>
      </w:r>
      <w:r w:rsidRPr="4C239322">
        <w:rPr>
          <w:rFonts w:eastAsia="Arial" w:cs="Arial"/>
          <w:color w:val="000000"/>
        </w:rPr>
        <w:t xml:space="preserve">Sarah Joseph and Melissa Castan, </w:t>
      </w:r>
      <w:r w:rsidRPr="4C239322">
        <w:rPr>
          <w:rFonts w:eastAsia="Arial" w:cs="Arial"/>
          <w:i/>
          <w:iCs/>
          <w:color w:val="000000"/>
        </w:rPr>
        <w:t xml:space="preserve">The International Covenant on Civil and Political Rights: Cases, Materials and Commentary </w:t>
      </w:r>
      <w:r w:rsidRPr="4C239322">
        <w:rPr>
          <w:rFonts w:eastAsia="Arial" w:cs="Arial"/>
          <w:color w:val="000000"/>
        </w:rPr>
        <w:t>(3</w:t>
      </w:r>
      <w:r w:rsidRPr="4C239322">
        <w:rPr>
          <w:rStyle w:val="A17"/>
          <w:rFonts w:eastAsia="Arial" w:cs="Arial"/>
        </w:rPr>
        <w:t xml:space="preserve">rd </w:t>
      </w:r>
      <w:r w:rsidRPr="4C239322">
        <w:rPr>
          <w:rFonts w:eastAsia="Arial" w:cs="Arial"/>
          <w:color w:val="000000"/>
        </w:rPr>
        <w:t>ed, Oxford University Press, 2013) 670.</w:t>
      </w:r>
    </w:p>
  </w:endnote>
  <w:endnote w:id="51">
    <w:p w14:paraId="2F86BE56" w14:textId="77777777" w:rsidR="003608E3" w:rsidRPr="00C13407" w:rsidRDefault="003608E3" w:rsidP="003608E3">
      <w:pPr>
        <w:pStyle w:val="EndnoteText"/>
        <w:ind w:left="136" w:hanging="136"/>
        <w:rPr>
          <w:rFonts w:cs="Open Sans"/>
        </w:rPr>
      </w:pPr>
      <w:r w:rsidRPr="4C239322">
        <w:rPr>
          <w:rStyle w:val="EndnoteReference"/>
          <w:rFonts w:eastAsia="Arial" w:cs="Arial"/>
        </w:rPr>
        <w:endnoteRef/>
      </w:r>
      <w:r>
        <w:rPr>
          <w:rFonts w:eastAsia="Arial" w:cs="Arial"/>
          <w:i/>
          <w:iCs/>
        </w:rPr>
        <w:t xml:space="preserve"> </w:t>
      </w:r>
      <w:r w:rsidRPr="4C239322">
        <w:rPr>
          <w:rFonts w:eastAsia="Arial" w:cs="Arial"/>
          <w:i/>
          <w:iCs/>
        </w:rPr>
        <w:t>Communication No 417/1990</w:t>
      </w:r>
      <w:r w:rsidRPr="4C239322">
        <w:rPr>
          <w:rFonts w:eastAsia="Arial" w:cs="Arial"/>
        </w:rPr>
        <w:t>, UN Doc CCPR/C/51/D/417/1990(1994).</w:t>
      </w:r>
    </w:p>
  </w:endnote>
  <w:endnote w:id="52">
    <w:p w14:paraId="5F40A4BC" w14:textId="77777777" w:rsidR="003608E3" w:rsidRPr="00C13407" w:rsidRDefault="003608E3" w:rsidP="003608E3">
      <w:pPr>
        <w:pStyle w:val="EndnoteText"/>
        <w:ind w:left="136" w:hanging="136"/>
        <w:rPr>
          <w:rFonts w:cs="Open Sans"/>
        </w:rPr>
      </w:pPr>
      <w:r w:rsidRPr="4C239322">
        <w:rPr>
          <w:rStyle w:val="EndnoteReference"/>
          <w:rFonts w:eastAsia="Arial" w:cs="Arial"/>
        </w:rPr>
        <w:endnoteRef/>
      </w:r>
      <w:r>
        <w:rPr>
          <w:rFonts w:eastAsia="Arial" w:cs="Arial"/>
        </w:rPr>
        <w:t xml:space="preserve"> </w:t>
      </w:r>
      <w:r w:rsidRPr="4C239322">
        <w:rPr>
          <w:rFonts w:eastAsia="Arial" w:cs="Arial"/>
        </w:rPr>
        <w:t xml:space="preserve">Ibid [10.2]. See also </w:t>
      </w:r>
      <w:r w:rsidRPr="4C239322">
        <w:rPr>
          <w:rFonts w:eastAsia="Arial" w:cs="Arial"/>
          <w:i/>
          <w:iCs/>
        </w:rPr>
        <w:t>AS v Canada, Communication No 68/1980</w:t>
      </w:r>
      <w:r w:rsidRPr="4C239322">
        <w:rPr>
          <w:rFonts w:eastAsia="Arial" w:cs="Arial"/>
        </w:rPr>
        <w:t>, UN Doc CCPR/C/OP/1 at 27 (1985), where the UN Human Rights Committee did not accept that the author and her adopted daughter met the definition of ‘family’ because they had not lived together as a family except for a period of 2 years approximately 17 years prior.</w:t>
      </w:r>
    </w:p>
  </w:endnote>
  <w:endnote w:id="53">
    <w:p w14:paraId="4DFCA2AD" w14:textId="77777777" w:rsidR="003608E3" w:rsidRPr="00C13407" w:rsidRDefault="003608E3" w:rsidP="003608E3">
      <w:pPr>
        <w:pStyle w:val="EndnoteText"/>
        <w:ind w:left="136" w:hanging="136"/>
        <w:rPr>
          <w:rFonts w:cs="Open Sans"/>
        </w:rPr>
      </w:pPr>
      <w:r w:rsidRPr="4C239322">
        <w:rPr>
          <w:rStyle w:val="EndnoteReference"/>
          <w:rFonts w:eastAsia="Arial" w:cs="Arial"/>
        </w:rPr>
        <w:endnoteRef/>
      </w:r>
      <w:r>
        <w:rPr>
          <w:rFonts w:eastAsia="Arial" w:cs="Arial"/>
          <w:i/>
          <w:iCs/>
        </w:rPr>
        <w:t xml:space="preserve"> </w:t>
      </w:r>
      <w:r w:rsidRPr="4C239322">
        <w:rPr>
          <w:rFonts w:eastAsia="Arial" w:cs="Arial"/>
          <w:i/>
          <w:iCs/>
        </w:rPr>
        <w:t xml:space="preserve">Mauritian Women v Mauritius, </w:t>
      </w:r>
      <w:r w:rsidRPr="4C239322">
        <w:rPr>
          <w:rFonts w:eastAsia="Arial" w:cs="Arial"/>
        </w:rPr>
        <w:t>Communication No 35 of 1978, UN Doc CCPR/C/OP/1 at 67 (1985) at [9.2(b)].</w:t>
      </w:r>
    </w:p>
  </w:endnote>
  <w:endnote w:id="54">
    <w:p w14:paraId="6FF9B3A4" w14:textId="77777777" w:rsidR="003608E3" w:rsidRPr="00C13407" w:rsidRDefault="003608E3" w:rsidP="003608E3">
      <w:pPr>
        <w:pStyle w:val="EndnoteText"/>
        <w:ind w:left="136" w:hanging="136"/>
        <w:rPr>
          <w:rFonts w:cs="Open Sans"/>
        </w:rPr>
      </w:pPr>
      <w:r w:rsidRPr="4C239322">
        <w:rPr>
          <w:rStyle w:val="EndnoteReference"/>
          <w:rFonts w:eastAsia="Arial" w:cs="Arial"/>
        </w:rPr>
        <w:endnoteRef/>
      </w:r>
      <w:r>
        <w:rPr>
          <w:rFonts w:eastAsia="Arial" w:cs="Arial"/>
        </w:rPr>
        <w:t xml:space="preserve"> </w:t>
      </w:r>
      <w:r w:rsidRPr="4C239322">
        <w:rPr>
          <w:rFonts w:eastAsia="Arial" w:cs="Arial"/>
        </w:rPr>
        <w:t xml:space="preserve">Human Rights and Equal Opportunity Commission, </w:t>
      </w:r>
      <w:r w:rsidRPr="4C239322">
        <w:rPr>
          <w:rFonts w:eastAsia="Arial" w:cs="Arial"/>
          <w:i/>
          <w:iCs/>
        </w:rPr>
        <w:t xml:space="preserve">Nguyen and Okoye v Commonwealth (Department of Immigration and Multicultural Affairs) and GSL (Australia) Pty Ltd </w:t>
      </w:r>
      <w:r w:rsidRPr="4C239322">
        <w:rPr>
          <w:rFonts w:eastAsia="Arial" w:cs="Arial"/>
        </w:rPr>
        <w:t>[2008] AusHRC 39 (1 January 2008), at [95]-[97].</w:t>
      </w:r>
    </w:p>
  </w:endnote>
  <w:endnote w:id="55">
    <w:p w14:paraId="596D90E4" w14:textId="77777777" w:rsidR="003608E3" w:rsidRPr="00C13407" w:rsidRDefault="003608E3" w:rsidP="003608E3">
      <w:pPr>
        <w:pStyle w:val="EndnoteText"/>
        <w:ind w:left="136" w:hanging="136"/>
        <w:rPr>
          <w:rFonts w:cs="Open Sans"/>
        </w:rPr>
      </w:pPr>
      <w:r w:rsidRPr="4C239322">
        <w:rPr>
          <w:rStyle w:val="EndnoteReference"/>
          <w:rFonts w:eastAsia="Arial" w:cs="Arial"/>
        </w:rPr>
        <w:endnoteRef/>
      </w:r>
      <w:r>
        <w:rPr>
          <w:rFonts w:eastAsia="Arial" w:cs="Arial"/>
        </w:rPr>
        <w:t xml:space="preserve"> </w:t>
      </w:r>
      <w:r w:rsidRPr="4C239322">
        <w:rPr>
          <w:rFonts w:eastAsia="Arial" w:cs="Arial"/>
        </w:rPr>
        <w:t xml:space="preserve">UN Human Rights Committee, </w:t>
      </w:r>
      <w:r w:rsidRPr="4C239322">
        <w:rPr>
          <w:rFonts w:eastAsia="Arial" w:cs="Arial"/>
          <w:i/>
          <w:iCs/>
        </w:rPr>
        <w:t xml:space="preserve">General Comment 16 </w:t>
      </w:r>
      <w:r w:rsidRPr="4C239322">
        <w:rPr>
          <w:rFonts w:eastAsia="Arial" w:cs="Arial"/>
        </w:rPr>
        <w:t>(1988) at [4].</w:t>
      </w:r>
    </w:p>
  </w:endnote>
  <w:endnote w:id="56">
    <w:p w14:paraId="5B5C4D79" w14:textId="77777777" w:rsidR="003608E3" w:rsidRPr="00C13407" w:rsidRDefault="003608E3" w:rsidP="003608E3">
      <w:pPr>
        <w:pStyle w:val="EndnoteText"/>
        <w:ind w:left="136" w:hanging="136"/>
        <w:rPr>
          <w:rFonts w:cs="Open Sans"/>
        </w:rPr>
      </w:pPr>
      <w:r w:rsidRPr="4C239322">
        <w:rPr>
          <w:rStyle w:val="EndnoteReference"/>
          <w:rFonts w:eastAsia="Arial" w:cs="Arial"/>
        </w:rPr>
        <w:endnoteRef/>
      </w:r>
      <w:r>
        <w:rPr>
          <w:rFonts w:eastAsia="Arial" w:cs="Arial"/>
        </w:rPr>
        <w:t xml:space="preserve"> </w:t>
      </w:r>
      <w:r w:rsidRPr="4C239322">
        <w:rPr>
          <w:rFonts w:eastAsia="Arial" w:cs="Arial"/>
        </w:rPr>
        <w:t>S Joseph, J Schultz &amp; M Castan, The International Covenant on Civil and Political Rights: Cases, Materials and Commentary (2004), 482-3.</w:t>
      </w:r>
    </w:p>
  </w:endnote>
  <w:endnote w:id="57">
    <w:p w14:paraId="7F150234" w14:textId="77777777" w:rsidR="003608E3" w:rsidRPr="00C13407" w:rsidRDefault="003608E3" w:rsidP="003608E3">
      <w:pPr>
        <w:pStyle w:val="EndnoteText"/>
        <w:rPr>
          <w:rFonts w:cs="Open Sans"/>
        </w:rPr>
      </w:pPr>
      <w:r w:rsidRPr="4C239322">
        <w:rPr>
          <w:rStyle w:val="EndnoteReference"/>
          <w:rFonts w:eastAsia="Arial" w:cs="Arial"/>
        </w:rPr>
        <w:endnoteRef/>
      </w:r>
      <w:r w:rsidRPr="4C239322">
        <w:rPr>
          <w:rFonts w:eastAsia="Arial" w:cs="Arial"/>
        </w:rPr>
        <w:t>Communication No 488 of 1992, UN Doc CCPR/C/D/488/1992 at [8.3].</w:t>
      </w:r>
    </w:p>
  </w:endnote>
  <w:endnote w:id="58">
    <w:p w14:paraId="640290A1" w14:textId="77777777" w:rsidR="003608E3" w:rsidRPr="00092259" w:rsidRDefault="003608E3" w:rsidP="003608E3">
      <w:pPr>
        <w:pStyle w:val="EndnoteText"/>
        <w:ind w:left="136" w:hanging="136"/>
        <w:rPr>
          <w:lang w:val="en-US"/>
        </w:rPr>
      </w:pPr>
      <w:r>
        <w:rPr>
          <w:rStyle w:val="EndnoteReference"/>
        </w:rPr>
        <w:endnoteRef/>
      </w:r>
      <w:r>
        <w:rPr>
          <w:rFonts w:ascii="Helvetica" w:hAnsi="Helvetica"/>
          <w:i/>
          <w:iCs/>
          <w:color w:val="000000"/>
          <w:sz w:val="18"/>
          <w:szCs w:val="18"/>
          <w:shd w:val="clear" w:color="auto" w:fill="FFFFFF"/>
        </w:rPr>
        <w:t xml:space="preserve"> </w:t>
      </w:r>
      <w:r w:rsidRPr="00120E96">
        <w:rPr>
          <w:rFonts w:ascii="Helvetica" w:hAnsi="Helvetica"/>
          <w:i/>
          <w:iCs/>
          <w:color w:val="000000"/>
          <w:sz w:val="18"/>
          <w:szCs w:val="18"/>
          <w:shd w:val="clear" w:color="auto" w:fill="FFFFFF"/>
        </w:rPr>
        <w:t>Deepan Budlakoti v. Canada</w:t>
      </w:r>
      <w:r>
        <w:rPr>
          <w:rFonts w:ascii="Helvetica" w:hAnsi="Helvetica"/>
          <w:color w:val="000000"/>
          <w:sz w:val="18"/>
          <w:szCs w:val="18"/>
          <w:shd w:val="clear" w:color="auto" w:fill="FFFFFF"/>
        </w:rPr>
        <w:t xml:space="preserve"> CCPR/C/122/D/2264/2013</w:t>
      </w:r>
    </w:p>
  </w:endnote>
  <w:endnote w:id="59">
    <w:p w14:paraId="5173678C" w14:textId="77777777" w:rsidR="003608E3" w:rsidRDefault="003608E3" w:rsidP="003608E3">
      <w:pPr>
        <w:pStyle w:val="EndnoteText"/>
      </w:pPr>
      <w:r>
        <w:rPr>
          <w:rStyle w:val="EndnoteReference"/>
        </w:rPr>
        <w:endnoteRef/>
      </w:r>
      <w:r>
        <w:t xml:space="preserve"> </w:t>
      </w:r>
      <w:r w:rsidRPr="00FD0E08">
        <w:rPr>
          <w:rFonts w:cs="Open Sans"/>
        </w:rPr>
        <w:t>AHRC Act, s 29(2)(a).</w:t>
      </w:r>
    </w:p>
  </w:endnote>
  <w:endnote w:id="60">
    <w:p w14:paraId="535857C0" w14:textId="77777777" w:rsidR="003608E3" w:rsidRDefault="003608E3" w:rsidP="003608E3">
      <w:pPr>
        <w:pStyle w:val="EndnoteText"/>
      </w:pPr>
      <w:r>
        <w:rPr>
          <w:rStyle w:val="EndnoteReference"/>
        </w:rPr>
        <w:endnoteRef/>
      </w:r>
      <w:r>
        <w:t xml:space="preserve"> </w:t>
      </w:r>
      <w:r w:rsidRPr="00FD0E08">
        <w:rPr>
          <w:rFonts w:cs="Open Sans"/>
        </w:rPr>
        <w:t>AHRC Act, s 29(2)(b).</w:t>
      </w:r>
    </w:p>
  </w:endnote>
  <w:endnote w:id="61">
    <w:p w14:paraId="7F2B3E2F" w14:textId="77777777" w:rsidR="003608E3" w:rsidRDefault="003608E3" w:rsidP="003608E3">
      <w:pPr>
        <w:pStyle w:val="EndnoteText"/>
      </w:pPr>
      <w:r>
        <w:rPr>
          <w:rStyle w:val="EndnoteReference"/>
        </w:rPr>
        <w:endnoteRef/>
      </w:r>
      <w:r>
        <w:t xml:space="preserve"> </w:t>
      </w:r>
      <w:r w:rsidRPr="00FD0E08">
        <w:rPr>
          <w:rFonts w:cs="Open Sans"/>
        </w:rPr>
        <w:t>AHRC Act, s 29(2)(c).</w:t>
      </w:r>
    </w:p>
  </w:endnote>
  <w:endnote w:id="62">
    <w:p w14:paraId="38FD7E52" w14:textId="77777777" w:rsidR="003608E3" w:rsidRDefault="003608E3" w:rsidP="003608E3">
      <w:pPr>
        <w:pStyle w:val="EndnoteText"/>
      </w:pPr>
      <w:r>
        <w:rPr>
          <w:rStyle w:val="EndnoteReference"/>
        </w:rPr>
        <w:endnoteRef/>
      </w:r>
      <w:r>
        <w:t xml:space="preserve"> </w:t>
      </w:r>
      <w:r w:rsidRPr="001746EB">
        <w:rPr>
          <w:rStyle w:val="Emphasis"/>
        </w:rPr>
        <w:t>Australian Human Rights Commission Act 1986</w:t>
      </w:r>
      <w:r w:rsidRPr="00466749">
        <w:rPr>
          <w:rFonts w:cs="Open Sans"/>
        </w:rPr>
        <w:t xml:space="preserve"> (Cth) s 29(2)(c).</w:t>
      </w:r>
    </w:p>
  </w:endnote>
  <w:endnote w:id="63">
    <w:p w14:paraId="6FE3E355" w14:textId="77777777" w:rsidR="003608E3" w:rsidRPr="005529DB" w:rsidRDefault="003608E3" w:rsidP="003608E3">
      <w:pPr>
        <w:pStyle w:val="EndnoteText"/>
        <w:rPr>
          <w:rFonts w:cs="Open Sans"/>
        </w:rPr>
      </w:pPr>
      <w:r>
        <w:rPr>
          <w:rStyle w:val="EndnoteReference"/>
        </w:rPr>
        <w:endnoteRef/>
      </w:r>
      <w:r>
        <w:t xml:space="preserve"> </w:t>
      </w:r>
      <w:r w:rsidRPr="001746EB">
        <w:rPr>
          <w:rStyle w:val="Emphasis"/>
        </w:rPr>
        <w:t xml:space="preserve">Peacock v The Commonwealth </w:t>
      </w:r>
      <w:r w:rsidRPr="00B359F4">
        <w:rPr>
          <w:rFonts w:cs="Open Sans"/>
        </w:rPr>
        <w:t>(2000) 104 FCR 464 at 483 (Wilcox J).</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A6D99" w14:textId="77777777" w:rsidR="00AC636D" w:rsidRPr="000465F1" w:rsidRDefault="00AC636D" w:rsidP="000465F1">
    <w:pPr>
      <w:pStyle w:val="Footer"/>
    </w:pPr>
    <w:r w:rsidRPr="000465F1">
      <w:t>ABN 47 996 232 602</w:t>
    </w:r>
  </w:p>
  <w:p w14:paraId="45EB6478" w14:textId="77777777" w:rsidR="00AC636D" w:rsidRPr="000465F1" w:rsidRDefault="00AC636D" w:rsidP="000465F1">
    <w:pPr>
      <w:pStyle w:val="Footer"/>
    </w:pPr>
    <w:r w:rsidRPr="000465F1">
      <w:t>GPO Box 5218, Sydney NSW 2001</w:t>
    </w:r>
  </w:p>
  <w:p w14:paraId="727A19EB" w14:textId="77777777" w:rsidR="00AC636D" w:rsidRPr="000465F1" w:rsidRDefault="00AC636D" w:rsidP="000465F1">
    <w:pPr>
      <w:pStyle w:val="Footer"/>
    </w:pPr>
    <w:r w:rsidRPr="000465F1">
      <w:t>General enquiries 1300 369 711</w:t>
    </w:r>
  </w:p>
  <w:p w14:paraId="514153C4" w14:textId="77777777" w:rsidR="00AC636D" w:rsidRPr="000465F1" w:rsidRDefault="00990B81" w:rsidP="000465F1">
    <w:pPr>
      <w:pStyle w:val="Footer"/>
    </w:pPr>
    <w:r>
      <w:t>National Info Service</w:t>
    </w:r>
    <w:r w:rsidR="00AC636D" w:rsidRPr="000465F1">
      <w:t xml:space="preserve"> 1300 656 419</w:t>
    </w:r>
  </w:p>
  <w:p w14:paraId="523768BC" w14:textId="77777777" w:rsidR="00B34946" w:rsidRPr="000465F1" w:rsidRDefault="000465F1" w:rsidP="000465F1">
    <w:pPr>
      <w:pStyle w:val="Footer"/>
    </w:pPr>
    <w:r w:rsidRPr="000465F1">
      <w:t>TTY 1800 620 241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814901"/>
      <w:docPartObj>
        <w:docPartGallery w:val="Page Numbers (Bottom of Page)"/>
        <w:docPartUnique/>
      </w:docPartObj>
    </w:sdtPr>
    <w:sdtEndPr>
      <w:rPr>
        <w:noProof/>
      </w:rPr>
    </w:sdtEndPr>
    <w:sdtContent>
      <w:p w14:paraId="7AB8CE63" w14:textId="77777777" w:rsidR="00664316" w:rsidRDefault="006643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D293E5" w14:textId="77777777" w:rsidR="00DC343B" w:rsidRDefault="00DC34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54EE" w14:textId="77777777" w:rsidR="00DA1D32" w:rsidRDefault="00DA1D32" w:rsidP="00E53546">
    <w:pPr>
      <w:pStyle w:val="FooterOddPageNumber"/>
    </w:pPr>
    <w:r w:rsidRPr="00AB7C8F">
      <w:fldChar w:fldCharType="begin"/>
    </w:r>
    <w:r>
      <w:instrText xml:space="preserve"> PAGE   \* MERGEFORMAT </w:instrText>
    </w:r>
    <w:r w:rsidRPr="00AB7C8F">
      <w:fldChar w:fldCharType="separate"/>
    </w:r>
    <w:r w:rsidR="008E78F0">
      <w:rPr>
        <w:noProof/>
      </w:rPr>
      <w:t>3</w:t>
    </w:r>
    <w:r w:rsidRPr="00AB7C8F">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183178"/>
      <w:docPartObj>
        <w:docPartGallery w:val="Page Numbers (Bottom of Page)"/>
        <w:docPartUnique/>
      </w:docPartObj>
    </w:sdtPr>
    <w:sdtEndPr>
      <w:rPr>
        <w:noProof/>
      </w:rPr>
    </w:sdtEndPr>
    <w:sdtContent>
      <w:p w14:paraId="58177727" w14:textId="77777777" w:rsidR="00CF52CF" w:rsidRDefault="00CF52C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42E9A3" w14:textId="77777777" w:rsidR="0063009F" w:rsidRDefault="0063009F" w:rsidP="00E53546">
    <w:pPr>
      <w:pStyle w:val="FooterEvenPageNumb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8B5C" w14:textId="77777777" w:rsidR="000B0048" w:rsidRDefault="000B0048" w:rsidP="00F14C6D">
      <w:r>
        <w:separator/>
      </w:r>
    </w:p>
  </w:footnote>
  <w:footnote w:type="continuationSeparator" w:id="0">
    <w:p w14:paraId="3B5E962E" w14:textId="77777777" w:rsidR="000B0048" w:rsidRDefault="000B0048" w:rsidP="00F14C6D">
      <w:r>
        <w:continuationSeparator/>
      </w:r>
    </w:p>
  </w:footnote>
  <w:footnote w:type="continuationNotice" w:id="1">
    <w:p w14:paraId="3A7E2AAA" w14:textId="77777777" w:rsidR="000B0048" w:rsidRDefault="000B004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60B41" w14:textId="77777777" w:rsidR="00BF6406" w:rsidRPr="000465F1" w:rsidRDefault="00000000" w:rsidP="000465F1">
    <w:pPr>
      <w:pStyle w:val="Header"/>
    </w:pPr>
    <w:r>
      <w:pict w14:anchorId="6FE153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3" o:spid="_x0000_s1043" type="#_x0000_t75" style="position:absolute;left:0;text-align:left;margin-left:0;margin-top:0;width:930.9pt;height:1359.95pt;z-index:-251658239;mso-position-horizontal:center;mso-position-horizontal-relative:margin;mso-position-vertical:center;mso-position-vertical-relative:margin" o:allowincell="f">
          <v:imagedata r:id="rId1" o:title="report watermark"/>
          <w10:wrap anchorx="margin" anchory="margin"/>
        </v:shape>
      </w:pict>
    </w:r>
    <w:r w:rsidR="00BF6406" w:rsidRPr="000465F1">
      <w:t>Australian Human Rights Commission</w:t>
    </w:r>
  </w:p>
  <w:p w14:paraId="15EA788F" w14:textId="77777777" w:rsidR="00B34946" w:rsidRPr="00622508" w:rsidRDefault="00BF6406" w:rsidP="00622508">
    <w:pPr>
      <w:pStyle w:val="Footer"/>
    </w:pPr>
    <w:r w:rsidRPr="001F62CC">
      <w:rPr>
        <w:rStyle w:val="Reporttitleinheader"/>
      </w:rPr>
      <w:t>Short title</w:t>
    </w:r>
    <w:r w:rsidRPr="00622508">
      <w:rPr>
        <w:rStyle w:val="Reporttitleinheader"/>
      </w:rPr>
      <w:t>, report name</w:t>
    </w:r>
    <w:r w:rsidR="001F62CC" w:rsidRPr="00622508">
      <w:rPr>
        <w:rStyle w:val="Reporttitleinheader"/>
      </w:rPr>
      <w:t>,</w:t>
    </w:r>
    <w:r w:rsidR="001F62CC" w:rsidRPr="00622508">
      <w:t xml:space="preserve"> </w:t>
    </w:r>
    <w:r w:rsidRPr="00622508">
      <w:t>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4793" w14:textId="77777777" w:rsidR="00B34946" w:rsidRPr="000465F1" w:rsidRDefault="00000000" w:rsidP="000465F1">
    <w:r>
      <w:pict w14:anchorId="324DBF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4" o:spid="_x0000_s1044" type="#_x0000_t75" style="position:absolute;margin-left:0;margin-top:0;width:930.9pt;height:1359.95pt;z-index:-251658238;mso-position-horizontal:center;mso-position-horizontal-relative:margin;mso-position-vertical:center;mso-position-vertical-relative:margin" o:allowincell="f">
          <v:imagedata r:id="rId1" o:title="report watermark"/>
          <w10:wrap anchorx="margin" anchory="margin"/>
        </v:shape>
      </w:pict>
    </w:r>
    <w:r w:rsidR="00B34946" w:rsidRPr="000465F1">
      <w:t>Australian Human Rights Commission</w:t>
    </w:r>
  </w:p>
  <w:p w14:paraId="56F7CAF6" w14:textId="77777777" w:rsidR="00B34946" w:rsidRPr="000465F1" w:rsidRDefault="00B34946" w:rsidP="000465F1">
    <w:pPr>
      <w:pStyle w:val="Footer"/>
    </w:pPr>
    <w:r w:rsidRPr="000465F1">
      <w:t>Short document title, Short description –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349D4" w14:textId="77777777" w:rsidR="00CC2AA0" w:rsidRDefault="00000000" w:rsidP="002012F7">
    <w:pPr>
      <w:pStyle w:val="Header"/>
    </w:pPr>
    <w:r>
      <w:pict w14:anchorId="6BC3F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1047" type="#_x0000_t75" style="position:absolute;left:0;text-align:left;margin-left:-71.05pt;margin-top:-101.15pt;width:595.65pt;height:870.15pt;z-index:-251658237;mso-position-horizontal-relative:margin;mso-position-vertical-relative:margin" o:allowincell="f">
          <v:imagedata r:id="rId1" o:title="MS word cover1"/>
          <w10:wrap anchorx="margin" anchory="margin"/>
        </v:shape>
      </w:pict>
    </w:r>
    <w:r>
      <w:pict w14:anchorId="579B5040">
        <v:shape id="WordPictureWatermark1034832" o:spid="_x0000_s1042" type="#_x0000_t75" style="position:absolute;left:0;text-align:left;margin-left:-70.9pt;margin-top:-109.05pt;width:595.1pt;height:869.4pt;z-index:-251658240;mso-position-horizontal-relative:margin;mso-position-vertical-relative:margin" o:allowincell="f">
          <v:imagedata r:id="rId2" o:title="report watermark"/>
          <w10:wrap anchorx="margin" anchory="margin"/>
        </v:shape>
      </w:pict>
    </w:r>
  </w:p>
  <w:p w14:paraId="35243A56" w14:textId="77777777" w:rsidR="008B3899" w:rsidRDefault="008B3899" w:rsidP="002012F7">
    <w:pPr>
      <w:pStyle w:val="Header"/>
    </w:pPr>
  </w:p>
  <w:p w14:paraId="49DEB382" w14:textId="77777777" w:rsidR="008B3899" w:rsidRDefault="008B3899" w:rsidP="002012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40FD4" w14:textId="77777777" w:rsidR="0015239E" w:rsidRPr="000465F1" w:rsidRDefault="0015239E" w:rsidP="0015239E">
    <w:pPr>
      <w:pStyle w:val="HeaderDocumentDa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FBB7C" w14:textId="77777777" w:rsidR="00BF6406" w:rsidRPr="00902EC3" w:rsidRDefault="00BF6406" w:rsidP="00902EC3">
    <w:pPr>
      <w:pStyle w:val="Header"/>
    </w:pPr>
    <w:bookmarkStart w:id="84" w:name="_Hlk514672172"/>
    <w:bookmarkStart w:id="85" w:name="_Hlk514672173"/>
    <w:r w:rsidRPr="00902EC3">
      <w:t>Australian Human Rights Commission</w:t>
    </w:r>
  </w:p>
  <w:bookmarkEnd w:id="84"/>
  <w:bookmarkEnd w:id="85"/>
  <w:p w14:paraId="05F84457" w14:textId="253F0237" w:rsidR="002F5E96" w:rsidRDefault="00C316A9" w:rsidP="002F5E96">
    <w:pPr>
      <w:pStyle w:val="HeaderDocumentDate"/>
    </w:pPr>
    <w:r w:rsidRPr="007E6475">
      <w:rPr>
        <w:rStyle w:val="Reporttitleinheader"/>
        <w:i/>
        <w:iCs/>
      </w:rPr>
      <w:t>Mr KX v Commonwealth of Australia (Department of Home Affairs)</w:t>
    </w:r>
    <w:r>
      <w:rPr>
        <w:rStyle w:val="Reporttitleinheader"/>
      </w:rPr>
      <w:t xml:space="preserve"> AusHRC 155 </w:t>
    </w:r>
    <w:r w:rsidR="009B1CCE">
      <w:fldChar w:fldCharType="begin"/>
    </w:r>
    <w:r w:rsidR="009B1CCE">
      <w:instrText xml:space="preserve"> CREATEDATE  \@ "MMMM yyyy"  \* MERGEFORMAT </w:instrText>
    </w:r>
    <w:r w:rsidR="009B1CCE">
      <w:fldChar w:fldCharType="separate"/>
    </w:r>
    <w:r w:rsidR="00C8280D">
      <w:rPr>
        <w:noProof/>
      </w:rPr>
      <w:t>January</w:t>
    </w:r>
    <w:r w:rsidR="003608E3">
      <w:rPr>
        <w:noProof/>
      </w:rPr>
      <w:t xml:space="preserve"> 202</w:t>
    </w:r>
    <w:r w:rsidR="00C8280D">
      <w:rPr>
        <w:noProof/>
      </w:rPr>
      <w:t>4</w:t>
    </w:r>
    <w:r w:rsidR="009B1CCE">
      <w:fldChar w:fldCharType="end"/>
    </w:r>
  </w:p>
  <w:p w14:paraId="0C5B740E" w14:textId="77777777" w:rsidR="00C316A9" w:rsidRPr="000465F1" w:rsidRDefault="00C316A9" w:rsidP="002F5E96">
    <w:pPr>
      <w:pStyle w:val="HeaderDocumentDa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167E" w14:textId="1F7416AC" w:rsidR="0063009F" w:rsidRPr="000465F1" w:rsidRDefault="0063009F" w:rsidP="0063009F">
    <w:pPr>
      <w:pStyle w:val="HeaderDocumentDa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5D63CBA"/>
    <w:lvl w:ilvl="0">
      <w:start w:val="1"/>
      <w:numFmt w:val="bullet"/>
      <w:pStyle w:val="ListBullet"/>
      <w:lvlText w:val=""/>
      <w:lvlJc w:val="left"/>
      <w:pPr>
        <w:tabs>
          <w:tab w:val="num" w:pos="360"/>
        </w:tabs>
        <w:ind w:left="360" w:hanging="3"/>
      </w:pPr>
      <w:rPr>
        <w:rFonts w:ascii="Symbol" w:hAnsi="Symbol" w:hint="default"/>
      </w:rPr>
    </w:lvl>
  </w:abstractNum>
  <w:abstractNum w:abstractNumId="10" w15:restartNumberingAfterBreak="0">
    <w:nsid w:val="037E17C9"/>
    <w:multiLevelType w:val="hybridMultilevel"/>
    <w:tmpl w:val="CCE043D2"/>
    <w:lvl w:ilvl="0" w:tplc="FFFFFFFF">
      <w:start w:val="1"/>
      <w:numFmt w:val="decimal"/>
      <w:lvlText w:val="%1."/>
      <w:lvlJc w:val="left"/>
      <w:pPr>
        <w:tabs>
          <w:tab w:val="num" w:pos="720"/>
        </w:tabs>
        <w:ind w:left="720" w:hanging="720"/>
      </w:pPr>
      <w:rPr>
        <w:rFonts w:ascii="Open Sans" w:hAnsi="Open Sans" w:cs="Open Sans" w:hint="default"/>
        <w:b w:val="0"/>
        <w:i w:val="0"/>
        <w:sz w:val="24"/>
        <w:szCs w:val="24"/>
      </w:rPr>
    </w:lvl>
    <w:lvl w:ilvl="1" w:tplc="FFFFFFFF">
      <w:start w:val="1"/>
      <w:numFmt w:val="bullet"/>
      <w:lvlText w:val=""/>
      <w:lvlJc w:val="left"/>
      <w:pPr>
        <w:tabs>
          <w:tab w:val="num" w:pos="1440"/>
        </w:tabs>
        <w:ind w:left="1440" w:hanging="360"/>
      </w:pPr>
      <w:rPr>
        <w:rFonts w:ascii="Symbol" w:hAnsi="Symbol" w:hint="default"/>
        <w:b w:val="0"/>
        <w:sz w:val="22"/>
        <w:szCs w:val="22"/>
      </w:rPr>
    </w:lvl>
    <w:lvl w:ilvl="2" w:tplc="FFFFFFFF">
      <w:start w:val="1"/>
      <w:numFmt w:val="bullet"/>
      <w:lvlText w:val="-"/>
      <w:lvlJc w:val="left"/>
      <w:pPr>
        <w:tabs>
          <w:tab w:val="num" w:pos="2160"/>
        </w:tabs>
        <w:ind w:left="2160" w:hanging="180"/>
      </w:pPr>
      <w:rPr>
        <w:rFonts w:ascii="Courier New" w:hAnsi="Courier New" w:cs="Times New Roman" w:hint="default"/>
      </w:rPr>
    </w:lvl>
    <w:lvl w:ilvl="3" w:tplc="AC56D036">
      <w:start w:val="1"/>
      <w:numFmt w:val="bullet"/>
      <w:lvlText w:val="-"/>
      <w:lvlJc w:val="left"/>
      <w:pPr>
        <w:ind w:left="2880" w:hanging="360"/>
      </w:pPr>
      <w:rPr>
        <w:rFonts w:ascii="Courier New" w:hAnsi="Courier New" w:cs="Times New Roman"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15:restartNumberingAfterBreak="0">
    <w:nsid w:val="099F39D2"/>
    <w:multiLevelType w:val="multilevel"/>
    <w:tmpl w:val="1376D2A8"/>
    <w:styleLink w:val="Style1"/>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3.1.1"/>
      <w:lvlJc w:val="left"/>
      <w:pPr>
        <w:tabs>
          <w:tab w:val="num" w:pos="851"/>
        </w:tabs>
        <w:ind w:left="851" w:hanging="851"/>
      </w:pPr>
      <w:rPr>
        <w:rFonts w:ascii="Times New Roman" w:hAnsi="Times New Roman" w:hint="default"/>
        <w:color w:val="auto"/>
      </w:rPr>
    </w:lvl>
    <w:lvl w:ilvl="3">
      <w:start w:val="1"/>
      <w:numFmt w:val="lowerLetter"/>
      <w:lvlText w:val="(%4)"/>
      <w:lvlJc w:val="left"/>
      <w:pPr>
        <w:tabs>
          <w:tab w:val="num" w:pos="851"/>
        </w:tabs>
        <w:ind w:left="851" w:hanging="851"/>
      </w:pPr>
      <w:rPr>
        <w:rFonts w:hint="default"/>
      </w:rPr>
    </w:lvl>
    <w:lvl w:ilvl="4">
      <w:start w:val="1"/>
      <w:numFmt w:val="lowerRoman"/>
      <w:lvlText w:val="%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2" w15:restartNumberingAfterBreak="0">
    <w:nsid w:val="0B8D5499"/>
    <w:multiLevelType w:val="multilevel"/>
    <w:tmpl w:val="8BE444DC"/>
    <w:styleLink w:val="AHRCReportHeadings"/>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none"/>
      <w:pStyle w:val="AHRCheading5"/>
      <w:lvlText w:val="-"/>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3" w15:restartNumberingAfterBreak="0">
    <w:nsid w:val="17EA280C"/>
    <w:multiLevelType w:val="hybridMultilevel"/>
    <w:tmpl w:val="1772DAF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36A5600"/>
    <w:multiLevelType w:val="hybridMultilevel"/>
    <w:tmpl w:val="AB123EEE"/>
    <w:lvl w:ilvl="0" w:tplc="A9B8A952">
      <w:start w:val="1"/>
      <w:numFmt w:val="decimal"/>
      <w:pStyle w:val="AHRCEndnote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791614"/>
    <w:multiLevelType w:val="hybridMultilevel"/>
    <w:tmpl w:val="41747A6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F474DB1"/>
    <w:multiLevelType w:val="hybridMultilevel"/>
    <w:tmpl w:val="BCF0D8A8"/>
    <w:lvl w:ilvl="0" w:tplc="436E4F4C">
      <w:start w:val="1"/>
      <w:numFmt w:val="decimal"/>
      <w:lvlText w:val="%1."/>
      <w:lvlJc w:val="left"/>
      <w:pPr>
        <w:ind w:left="785" w:hanging="360"/>
      </w:pPr>
      <w:rPr>
        <w:rFonts w:hint="default"/>
        <w:b w:val="0"/>
        <w:bCs w:val="0"/>
        <w:sz w:val="24"/>
        <w:szCs w:val="24"/>
      </w:r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340" w:hanging="360"/>
      </w:pPr>
      <w:rPr>
        <w:rFonts w:ascii="Courier New" w:hAnsi="Courier New" w:cs="Courier New" w:hint="default"/>
      </w:rPr>
    </w:lvl>
    <w:lvl w:ilvl="3" w:tplc="01D0F26C">
      <w:numFmt w:val="bullet"/>
      <w:lvlText w:val="•"/>
      <w:lvlJc w:val="left"/>
      <w:pPr>
        <w:ind w:left="3240" w:hanging="720"/>
      </w:pPr>
      <w:rPr>
        <w:rFonts w:ascii="Open Sans" w:eastAsiaTheme="minorHAnsi" w:hAnsi="Open Sans" w:cs="Open San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079201E"/>
    <w:multiLevelType w:val="hybridMultilevel"/>
    <w:tmpl w:val="C57CA390"/>
    <w:lvl w:ilvl="0" w:tplc="FFFFFFFF">
      <w:start w:val="1"/>
      <w:numFmt w:val="decimal"/>
      <w:lvlText w:val="%1."/>
      <w:lvlJc w:val="left"/>
      <w:pPr>
        <w:tabs>
          <w:tab w:val="num" w:pos="720"/>
        </w:tabs>
        <w:ind w:left="720" w:hanging="720"/>
      </w:pPr>
      <w:rPr>
        <w:rFonts w:ascii="Open Sans" w:hAnsi="Open Sans" w:cs="Open Sans" w:hint="default"/>
        <w:b w:val="0"/>
        <w:i w:val="0"/>
        <w:sz w:val="24"/>
        <w:szCs w:val="24"/>
      </w:rPr>
    </w:lvl>
    <w:lvl w:ilvl="1" w:tplc="FFFFFFFF">
      <w:start w:val="1"/>
      <w:numFmt w:val="bullet"/>
      <w:lvlText w:val=""/>
      <w:lvlJc w:val="left"/>
      <w:pPr>
        <w:tabs>
          <w:tab w:val="num" w:pos="1440"/>
        </w:tabs>
        <w:ind w:left="1440" w:hanging="360"/>
      </w:pPr>
      <w:rPr>
        <w:rFonts w:ascii="Symbol" w:hAnsi="Symbol" w:hint="default"/>
        <w:b w:val="0"/>
        <w:sz w:val="22"/>
        <w:szCs w:val="22"/>
      </w:rPr>
    </w:lvl>
    <w:lvl w:ilvl="2" w:tplc="FFFFFFFF">
      <w:start w:val="1"/>
      <w:numFmt w:val="bullet"/>
      <w:lvlText w:val="-"/>
      <w:lvlJc w:val="left"/>
      <w:pPr>
        <w:tabs>
          <w:tab w:val="num" w:pos="2160"/>
        </w:tabs>
        <w:ind w:left="2160" w:hanging="180"/>
      </w:pPr>
      <w:rPr>
        <w:rFonts w:ascii="Courier New" w:hAnsi="Courier New" w:cs="Times New Roman" w:hint="default"/>
      </w:rPr>
    </w:lvl>
    <w:lvl w:ilvl="3" w:tplc="AC56D036">
      <w:start w:val="1"/>
      <w:numFmt w:val="bullet"/>
      <w:lvlText w:val="-"/>
      <w:lvlJc w:val="left"/>
      <w:pPr>
        <w:ind w:left="2880" w:hanging="360"/>
      </w:pPr>
      <w:rPr>
        <w:rFonts w:ascii="Courier New" w:hAnsi="Courier New" w:cs="Times New Roman"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15:restartNumberingAfterBreak="0">
    <w:nsid w:val="431D6342"/>
    <w:multiLevelType w:val="hybridMultilevel"/>
    <w:tmpl w:val="30FCADA0"/>
    <w:lvl w:ilvl="0" w:tplc="FFFFFFFF">
      <w:start w:val="1"/>
      <w:numFmt w:val="decimal"/>
      <w:lvlText w:val="%1."/>
      <w:lvlJc w:val="left"/>
      <w:pPr>
        <w:ind w:left="502" w:hanging="360"/>
      </w:pPr>
      <w:rPr>
        <w:b w:val="0"/>
        <w:bCs w:val="0"/>
      </w:rPr>
    </w:lvl>
    <w:lvl w:ilvl="1" w:tplc="FFFFFFFF">
      <w:start w:val="1"/>
      <w:numFmt w:val="bullet"/>
      <w:lvlText w:val=""/>
      <w:lvlJc w:val="left"/>
      <w:pPr>
        <w:ind w:left="1440" w:hanging="360"/>
      </w:pPr>
      <w:rPr>
        <w:rFonts w:ascii="Symbol" w:hAnsi="Symbol" w:hint="default"/>
      </w:rPr>
    </w:lvl>
    <w:lvl w:ilvl="2" w:tplc="FFFFFFFF">
      <w:start w:val="1"/>
      <w:numFmt w:val="bullet"/>
      <w:lvlText w:val="o"/>
      <w:lvlJc w:val="left"/>
      <w:pPr>
        <w:ind w:left="2340" w:hanging="360"/>
      </w:pPr>
      <w:rPr>
        <w:rFonts w:ascii="Courier New" w:hAnsi="Courier New" w:cs="Courier New" w:hint="default"/>
      </w:rPr>
    </w:lvl>
    <w:lvl w:ilvl="3" w:tplc="FFFFFFFF">
      <w:numFmt w:val="bullet"/>
      <w:lvlText w:val="•"/>
      <w:lvlJc w:val="left"/>
      <w:pPr>
        <w:ind w:left="3240" w:hanging="720"/>
      </w:pPr>
      <w:rPr>
        <w:rFonts w:ascii="Open Sans" w:eastAsiaTheme="minorHAnsi" w:hAnsi="Open Sans" w:cs="Open Sans" w:hint="default"/>
      </w:rPr>
    </w:lvl>
    <w:lvl w:ilvl="4" w:tplc="720CCBEE">
      <w:start w:val="1"/>
      <w:numFmt w:val="lowerLetter"/>
      <w:lvlText w:val="(%5)"/>
      <w:lvlJc w:val="left"/>
      <w:pPr>
        <w:ind w:left="3600" w:hanging="360"/>
      </w:pPr>
      <w:rPr>
        <w:rFonts w:hint="default"/>
        <w:i w:val="0"/>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FF7A73"/>
    <w:multiLevelType w:val="multilevel"/>
    <w:tmpl w:val="048CD5C0"/>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i w:val="0"/>
        <w:iCs/>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3" w15:restartNumberingAfterBreak="0">
    <w:nsid w:val="4A2123F5"/>
    <w:multiLevelType w:val="hybridMultilevel"/>
    <w:tmpl w:val="DE7866BA"/>
    <w:lvl w:ilvl="0" w:tplc="FFFFFFFF">
      <w:start w:val="1"/>
      <w:numFmt w:val="decimal"/>
      <w:lvlText w:val="%1."/>
      <w:lvlJc w:val="left"/>
      <w:pPr>
        <w:tabs>
          <w:tab w:val="num" w:pos="720"/>
        </w:tabs>
        <w:ind w:left="720" w:hanging="720"/>
      </w:pPr>
      <w:rPr>
        <w:rFonts w:ascii="Open Sans" w:hAnsi="Open Sans" w:cs="Open Sans" w:hint="default"/>
        <w:b w:val="0"/>
        <w:i w:val="0"/>
        <w:sz w:val="24"/>
        <w:szCs w:val="24"/>
      </w:rPr>
    </w:lvl>
    <w:lvl w:ilvl="1" w:tplc="FFFFFFFF">
      <w:start w:val="1"/>
      <w:numFmt w:val="bullet"/>
      <w:lvlText w:val=""/>
      <w:lvlJc w:val="left"/>
      <w:pPr>
        <w:tabs>
          <w:tab w:val="num" w:pos="1440"/>
        </w:tabs>
        <w:ind w:left="1440" w:hanging="360"/>
      </w:pPr>
      <w:rPr>
        <w:rFonts w:ascii="Symbol" w:hAnsi="Symbol" w:hint="default"/>
        <w:b w:val="0"/>
        <w:sz w:val="22"/>
        <w:szCs w:val="22"/>
      </w:rPr>
    </w:lvl>
    <w:lvl w:ilvl="2" w:tplc="FFFFFFFF">
      <w:start w:val="1"/>
      <w:numFmt w:val="bullet"/>
      <w:lvlText w:val="-"/>
      <w:lvlJc w:val="left"/>
      <w:pPr>
        <w:tabs>
          <w:tab w:val="num" w:pos="2160"/>
        </w:tabs>
        <w:ind w:left="2160" w:hanging="180"/>
      </w:pPr>
      <w:rPr>
        <w:rFonts w:ascii="Courier New" w:hAnsi="Courier New" w:cs="Times New Roman" w:hint="default"/>
      </w:rPr>
    </w:lvl>
    <w:lvl w:ilvl="3" w:tplc="AC56D036">
      <w:start w:val="1"/>
      <w:numFmt w:val="bullet"/>
      <w:lvlText w:val="-"/>
      <w:lvlJc w:val="left"/>
      <w:pPr>
        <w:ind w:left="2880" w:hanging="360"/>
      </w:pPr>
      <w:rPr>
        <w:rFonts w:ascii="Courier New" w:hAnsi="Courier New" w:cs="Times New Roman"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55E751D7"/>
    <w:multiLevelType w:val="hybridMultilevel"/>
    <w:tmpl w:val="7AE4DDBE"/>
    <w:lvl w:ilvl="0" w:tplc="FFFFFFFF">
      <w:start w:val="1"/>
      <w:numFmt w:val="decimal"/>
      <w:pStyle w:val="ListLevel1"/>
      <w:lvlText w:val="%1."/>
      <w:lvlJc w:val="left"/>
      <w:pPr>
        <w:ind w:left="1401" w:hanging="681"/>
      </w:pPr>
      <w:rPr>
        <w:color w:val="231F20"/>
        <w:spacing w:val="-14"/>
        <w:w w:val="100"/>
        <w:sz w:val="24"/>
        <w:szCs w:val="24"/>
      </w:rPr>
    </w:lvl>
    <w:lvl w:ilvl="1" w:tplc="CBC60F52">
      <w:start w:val="1"/>
      <w:numFmt w:val="lowerLetter"/>
      <w:pStyle w:val="ListLevel2"/>
      <w:lvlText w:val="(%2)"/>
      <w:lvlJc w:val="left"/>
      <w:pPr>
        <w:ind w:left="2252" w:hanging="227"/>
      </w:pPr>
      <w:rPr>
        <w:rFonts w:hint="default"/>
        <w:caps w:val="0"/>
        <w:smallCaps w:val="0"/>
        <w:strike w:val="0"/>
        <w:dstrike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C09001B">
      <w:start w:val="1"/>
      <w:numFmt w:val="lowerRoman"/>
      <w:lvlText w:val="%3."/>
      <w:lvlJc w:val="right"/>
      <w:pPr>
        <w:ind w:left="3217" w:hanging="360"/>
      </w:pPr>
      <w:rPr>
        <w:rFonts w:cs="Times New Roman"/>
      </w:rPr>
    </w:lvl>
    <w:lvl w:ilvl="3" w:tplc="0EF419F4">
      <w:numFmt w:val="bullet"/>
      <w:lvlText w:val="•"/>
      <w:lvlJc w:val="left"/>
      <w:pPr>
        <w:ind w:left="3925" w:hanging="227"/>
      </w:pPr>
      <w:rPr>
        <w:rFonts w:hint="default"/>
      </w:rPr>
    </w:lvl>
    <w:lvl w:ilvl="4" w:tplc="F41ECD4E">
      <w:numFmt w:val="bullet"/>
      <w:lvlText w:val="•"/>
      <w:lvlJc w:val="left"/>
      <w:pPr>
        <w:ind w:left="4765" w:hanging="227"/>
      </w:pPr>
      <w:rPr>
        <w:rFonts w:hint="default"/>
      </w:rPr>
    </w:lvl>
    <w:lvl w:ilvl="5" w:tplc="DD54768C">
      <w:numFmt w:val="bullet"/>
      <w:lvlText w:val="•"/>
      <w:lvlJc w:val="left"/>
      <w:pPr>
        <w:ind w:left="5606" w:hanging="227"/>
      </w:pPr>
      <w:rPr>
        <w:rFonts w:hint="default"/>
      </w:rPr>
    </w:lvl>
    <w:lvl w:ilvl="6" w:tplc="6E60E896">
      <w:numFmt w:val="bullet"/>
      <w:lvlText w:val="•"/>
      <w:lvlJc w:val="left"/>
      <w:pPr>
        <w:ind w:left="6447" w:hanging="227"/>
      </w:pPr>
      <w:rPr>
        <w:rFonts w:hint="default"/>
      </w:rPr>
    </w:lvl>
    <w:lvl w:ilvl="7" w:tplc="468E0412">
      <w:numFmt w:val="bullet"/>
      <w:lvlText w:val="•"/>
      <w:lvlJc w:val="left"/>
      <w:pPr>
        <w:ind w:left="7287" w:hanging="227"/>
      </w:pPr>
      <w:rPr>
        <w:rFonts w:hint="default"/>
      </w:rPr>
    </w:lvl>
    <w:lvl w:ilvl="8" w:tplc="64E05C64">
      <w:numFmt w:val="bullet"/>
      <w:lvlText w:val="•"/>
      <w:lvlJc w:val="left"/>
      <w:pPr>
        <w:ind w:left="8128" w:hanging="227"/>
      </w:pPr>
      <w:rPr>
        <w:rFonts w:hint="default"/>
      </w:rPr>
    </w:lvl>
  </w:abstractNum>
  <w:abstractNum w:abstractNumId="26" w15:restartNumberingAfterBreak="0">
    <w:nsid w:val="74C74663"/>
    <w:multiLevelType w:val="hybridMultilevel"/>
    <w:tmpl w:val="BEC8726C"/>
    <w:lvl w:ilvl="0" w:tplc="1EC4A26A">
      <w:start w:val="1"/>
      <w:numFmt w:val="decimal"/>
      <w:lvlText w:val="%1."/>
      <w:lvlJc w:val="left"/>
      <w:pPr>
        <w:tabs>
          <w:tab w:val="num" w:pos="720"/>
        </w:tabs>
        <w:ind w:left="720" w:hanging="720"/>
      </w:pPr>
      <w:rPr>
        <w:rFonts w:ascii="Open Sans" w:hAnsi="Open Sans" w:cs="Open Sans" w:hint="default"/>
        <w:b w:val="0"/>
        <w:i w:val="0"/>
        <w:sz w:val="24"/>
        <w:szCs w:val="24"/>
      </w:rPr>
    </w:lvl>
    <w:lvl w:ilvl="1" w:tplc="0C090001">
      <w:start w:val="1"/>
      <w:numFmt w:val="bullet"/>
      <w:lvlText w:val=""/>
      <w:lvlJc w:val="left"/>
      <w:pPr>
        <w:tabs>
          <w:tab w:val="num" w:pos="1440"/>
        </w:tabs>
        <w:ind w:left="1440" w:hanging="360"/>
      </w:pPr>
      <w:rPr>
        <w:rFonts w:ascii="Symbol" w:hAnsi="Symbol" w:hint="default"/>
        <w:b w:val="0"/>
        <w:sz w:val="22"/>
        <w:szCs w:val="22"/>
      </w:rPr>
    </w:lvl>
    <w:lvl w:ilvl="2" w:tplc="0C090003">
      <w:start w:val="1"/>
      <w:numFmt w:val="bullet"/>
      <w:lvlText w:val="o"/>
      <w:lvlJc w:val="left"/>
      <w:pPr>
        <w:tabs>
          <w:tab w:val="num" w:pos="2160"/>
        </w:tabs>
        <w:ind w:left="2160" w:hanging="180"/>
      </w:pPr>
      <w:rPr>
        <w:rFonts w:ascii="Courier New" w:hAnsi="Courier New" w:cs="Courier New" w:hint="default"/>
      </w:rPr>
    </w:lvl>
    <w:lvl w:ilvl="3" w:tplc="0C09000F">
      <w:start w:val="1"/>
      <w:numFmt w:val="bullet"/>
      <w:lvlText w:val=""/>
      <w:lvlJc w:val="left"/>
      <w:pPr>
        <w:tabs>
          <w:tab w:val="num" w:pos="2880"/>
        </w:tabs>
        <w:ind w:left="2880" w:hanging="360"/>
      </w:pPr>
      <w:rPr>
        <w:rFonts w:ascii="Symbol" w:hAnsi="Symbol" w:hint="default"/>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27" w15:restartNumberingAfterBreak="0">
    <w:nsid w:val="7E6B2A3E"/>
    <w:multiLevelType w:val="multilevel"/>
    <w:tmpl w:val="8BE444DC"/>
    <w:numStyleLink w:val="AHRCReportHeadings"/>
  </w:abstractNum>
  <w:num w:numId="1" w16cid:durableId="1469274054">
    <w:abstractNumId w:val="22"/>
  </w:num>
  <w:num w:numId="2" w16cid:durableId="1431582434">
    <w:abstractNumId w:val="9"/>
  </w:num>
  <w:num w:numId="3" w16cid:durableId="148982917">
    <w:abstractNumId w:val="7"/>
  </w:num>
  <w:num w:numId="4" w16cid:durableId="174656784">
    <w:abstractNumId w:val="6"/>
  </w:num>
  <w:num w:numId="5" w16cid:durableId="183597884">
    <w:abstractNumId w:val="5"/>
  </w:num>
  <w:num w:numId="6" w16cid:durableId="378094220">
    <w:abstractNumId w:val="4"/>
  </w:num>
  <w:num w:numId="7" w16cid:durableId="1122768128">
    <w:abstractNumId w:val="8"/>
  </w:num>
  <w:num w:numId="8" w16cid:durableId="1639412304">
    <w:abstractNumId w:val="1"/>
  </w:num>
  <w:num w:numId="9" w16cid:durableId="849299780">
    <w:abstractNumId w:val="0"/>
  </w:num>
  <w:num w:numId="10" w16cid:durableId="361128338">
    <w:abstractNumId w:val="3"/>
  </w:num>
  <w:num w:numId="11" w16cid:durableId="2141486594">
    <w:abstractNumId w:val="2"/>
  </w:num>
  <w:num w:numId="12" w16cid:durableId="1945725202">
    <w:abstractNumId w:val="24"/>
  </w:num>
  <w:num w:numId="13" w16cid:durableId="625699530">
    <w:abstractNumId w:val="18"/>
  </w:num>
  <w:num w:numId="14" w16cid:durableId="1913617515">
    <w:abstractNumId w:val="15"/>
  </w:num>
  <w:num w:numId="15" w16cid:durableId="2048025960">
    <w:abstractNumId w:val="14"/>
  </w:num>
  <w:num w:numId="16" w16cid:durableId="670060219">
    <w:abstractNumId w:val="11"/>
  </w:num>
  <w:num w:numId="17" w16cid:durableId="547767695">
    <w:abstractNumId w:val="12"/>
  </w:num>
  <w:num w:numId="18" w16cid:durableId="1644848547">
    <w:abstractNumId w:val="27"/>
  </w:num>
  <w:num w:numId="19" w16cid:durableId="629435499">
    <w:abstractNumId w:val="16"/>
  </w:num>
  <w:num w:numId="20" w16cid:durableId="821386831">
    <w:abstractNumId w:val="19"/>
  </w:num>
  <w:num w:numId="21" w16cid:durableId="402021986">
    <w:abstractNumId w:val="26"/>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1328695">
    <w:abstractNumId w:val="26"/>
  </w:num>
  <w:num w:numId="23" w16cid:durableId="688066945">
    <w:abstractNumId w:val="25"/>
  </w:num>
  <w:num w:numId="24" w16cid:durableId="410201502">
    <w:abstractNumId w:val="21"/>
  </w:num>
  <w:num w:numId="25" w16cid:durableId="451021648">
    <w:abstractNumId w:val="17"/>
  </w:num>
  <w:num w:numId="26" w16cid:durableId="683168843">
    <w:abstractNumId w:val="13"/>
  </w:num>
  <w:num w:numId="27" w16cid:durableId="535966025">
    <w:abstractNumId w:val="23"/>
  </w:num>
  <w:num w:numId="28" w16cid:durableId="679353104">
    <w:abstractNumId w:val="10"/>
  </w:num>
  <w:num w:numId="29" w16cid:durableId="1367174153">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evenAndOddHeaders/>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8E3"/>
    <w:rsid w:val="000015EC"/>
    <w:rsid w:val="00003EA5"/>
    <w:rsid w:val="000161C2"/>
    <w:rsid w:val="0002476A"/>
    <w:rsid w:val="00036BE4"/>
    <w:rsid w:val="000430B8"/>
    <w:rsid w:val="0004435C"/>
    <w:rsid w:val="00045712"/>
    <w:rsid w:val="00045C4B"/>
    <w:rsid w:val="000465F1"/>
    <w:rsid w:val="000534AC"/>
    <w:rsid w:val="000579B1"/>
    <w:rsid w:val="00061C6C"/>
    <w:rsid w:val="00065EEA"/>
    <w:rsid w:val="00066C68"/>
    <w:rsid w:val="00072EDA"/>
    <w:rsid w:val="00092868"/>
    <w:rsid w:val="000A1DB8"/>
    <w:rsid w:val="000A48AC"/>
    <w:rsid w:val="000A4CEE"/>
    <w:rsid w:val="000A520E"/>
    <w:rsid w:val="000B0048"/>
    <w:rsid w:val="000B0603"/>
    <w:rsid w:val="000B0A5D"/>
    <w:rsid w:val="000B5B68"/>
    <w:rsid w:val="000C1E79"/>
    <w:rsid w:val="000C54F8"/>
    <w:rsid w:val="000C5608"/>
    <w:rsid w:val="000C5DA6"/>
    <w:rsid w:val="000E130A"/>
    <w:rsid w:val="00133F66"/>
    <w:rsid w:val="00134774"/>
    <w:rsid w:val="00140274"/>
    <w:rsid w:val="00151263"/>
    <w:rsid w:val="0015239E"/>
    <w:rsid w:val="00152D93"/>
    <w:rsid w:val="0016266F"/>
    <w:rsid w:val="00162A8D"/>
    <w:rsid w:val="00165E3C"/>
    <w:rsid w:val="001664F5"/>
    <w:rsid w:val="00173FB5"/>
    <w:rsid w:val="00174D9A"/>
    <w:rsid w:val="0018220C"/>
    <w:rsid w:val="001839D6"/>
    <w:rsid w:val="00194FF8"/>
    <w:rsid w:val="00195EDE"/>
    <w:rsid w:val="001A52CE"/>
    <w:rsid w:val="001B0353"/>
    <w:rsid w:val="001C1F8B"/>
    <w:rsid w:val="001D0285"/>
    <w:rsid w:val="001E45BA"/>
    <w:rsid w:val="001E5676"/>
    <w:rsid w:val="001F2BBB"/>
    <w:rsid w:val="001F52FD"/>
    <w:rsid w:val="001F62CC"/>
    <w:rsid w:val="00200677"/>
    <w:rsid w:val="002012F7"/>
    <w:rsid w:val="002027F6"/>
    <w:rsid w:val="0020576C"/>
    <w:rsid w:val="002068EB"/>
    <w:rsid w:val="00214DB2"/>
    <w:rsid w:val="00230A08"/>
    <w:rsid w:val="00231ED1"/>
    <w:rsid w:val="002329AE"/>
    <w:rsid w:val="00241523"/>
    <w:rsid w:val="00242624"/>
    <w:rsid w:val="0024557E"/>
    <w:rsid w:val="002471FD"/>
    <w:rsid w:val="0025176E"/>
    <w:rsid w:val="00257344"/>
    <w:rsid w:val="00261556"/>
    <w:rsid w:val="002632EA"/>
    <w:rsid w:val="00266697"/>
    <w:rsid w:val="00275C6E"/>
    <w:rsid w:val="002845A6"/>
    <w:rsid w:val="0028506A"/>
    <w:rsid w:val="002850B0"/>
    <w:rsid w:val="002863D7"/>
    <w:rsid w:val="002873B4"/>
    <w:rsid w:val="00292AB5"/>
    <w:rsid w:val="002A43C2"/>
    <w:rsid w:val="002B1B65"/>
    <w:rsid w:val="002C02DB"/>
    <w:rsid w:val="002C1866"/>
    <w:rsid w:val="002C5943"/>
    <w:rsid w:val="002E5A1B"/>
    <w:rsid w:val="002F4CE1"/>
    <w:rsid w:val="002F5E96"/>
    <w:rsid w:val="0030053D"/>
    <w:rsid w:val="00300F22"/>
    <w:rsid w:val="003026A0"/>
    <w:rsid w:val="00304441"/>
    <w:rsid w:val="00304A37"/>
    <w:rsid w:val="0031040E"/>
    <w:rsid w:val="00310ED4"/>
    <w:rsid w:val="00312301"/>
    <w:rsid w:val="0031492A"/>
    <w:rsid w:val="00316C1A"/>
    <w:rsid w:val="00321095"/>
    <w:rsid w:val="00323C73"/>
    <w:rsid w:val="00331141"/>
    <w:rsid w:val="00333204"/>
    <w:rsid w:val="003423F4"/>
    <w:rsid w:val="00344758"/>
    <w:rsid w:val="00347142"/>
    <w:rsid w:val="00350D1B"/>
    <w:rsid w:val="003565A8"/>
    <w:rsid w:val="003566EA"/>
    <w:rsid w:val="003608E3"/>
    <w:rsid w:val="0036611F"/>
    <w:rsid w:val="003724A9"/>
    <w:rsid w:val="00372C79"/>
    <w:rsid w:val="0037544A"/>
    <w:rsid w:val="003940CF"/>
    <w:rsid w:val="003A168E"/>
    <w:rsid w:val="003A1DAD"/>
    <w:rsid w:val="003A48B7"/>
    <w:rsid w:val="003E52DB"/>
    <w:rsid w:val="003E5DEF"/>
    <w:rsid w:val="003E65F1"/>
    <w:rsid w:val="0040497E"/>
    <w:rsid w:val="00420EEE"/>
    <w:rsid w:val="00422417"/>
    <w:rsid w:val="00424233"/>
    <w:rsid w:val="00434945"/>
    <w:rsid w:val="00442898"/>
    <w:rsid w:val="00445CB5"/>
    <w:rsid w:val="00460EE0"/>
    <w:rsid w:val="00467F2E"/>
    <w:rsid w:val="004712FB"/>
    <w:rsid w:val="00471BB7"/>
    <w:rsid w:val="00472456"/>
    <w:rsid w:val="00472EFF"/>
    <w:rsid w:val="00474063"/>
    <w:rsid w:val="00476793"/>
    <w:rsid w:val="00481B2A"/>
    <w:rsid w:val="00482091"/>
    <w:rsid w:val="004826A8"/>
    <w:rsid w:val="00494AAE"/>
    <w:rsid w:val="004A187B"/>
    <w:rsid w:val="004A24A5"/>
    <w:rsid w:val="004A2D3C"/>
    <w:rsid w:val="004A6716"/>
    <w:rsid w:val="004C7412"/>
    <w:rsid w:val="004D04BF"/>
    <w:rsid w:val="004E0DFF"/>
    <w:rsid w:val="004F1C7C"/>
    <w:rsid w:val="00503FC7"/>
    <w:rsid w:val="00510390"/>
    <w:rsid w:val="005123F0"/>
    <w:rsid w:val="00513540"/>
    <w:rsid w:val="00513941"/>
    <w:rsid w:val="00520D84"/>
    <w:rsid w:val="0053051D"/>
    <w:rsid w:val="00561019"/>
    <w:rsid w:val="00564208"/>
    <w:rsid w:val="00571CEB"/>
    <w:rsid w:val="00591951"/>
    <w:rsid w:val="00592D1C"/>
    <w:rsid w:val="005A0964"/>
    <w:rsid w:val="005A2F77"/>
    <w:rsid w:val="005B36F6"/>
    <w:rsid w:val="005C2ECF"/>
    <w:rsid w:val="005C5D41"/>
    <w:rsid w:val="005C7982"/>
    <w:rsid w:val="005D1F34"/>
    <w:rsid w:val="005D383D"/>
    <w:rsid w:val="005D4ED1"/>
    <w:rsid w:val="00616F88"/>
    <w:rsid w:val="0062130D"/>
    <w:rsid w:val="00622508"/>
    <w:rsid w:val="00627D80"/>
    <w:rsid w:val="0063009F"/>
    <w:rsid w:val="006356C5"/>
    <w:rsid w:val="00644B30"/>
    <w:rsid w:val="00650E26"/>
    <w:rsid w:val="00654793"/>
    <w:rsid w:val="00655BF2"/>
    <w:rsid w:val="00664316"/>
    <w:rsid w:val="00691E8A"/>
    <w:rsid w:val="00696AB3"/>
    <w:rsid w:val="006A6BB3"/>
    <w:rsid w:val="006B3DE1"/>
    <w:rsid w:val="006C0642"/>
    <w:rsid w:val="006D0407"/>
    <w:rsid w:val="006D5EE5"/>
    <w:rsid w:val="006E02B4"/>
    <w:rsid w:val="006E616B"/>
    <w:rsid w:val="006E6D3B"/>
    <w:rsid w:val="00714FF5"/>
    <w:rsid w:val="00730BD2"/>
    <w:rsid w:val="007540BF"/>
    <w:rsid w:val="0075445D"/>
    <w:rsid w:val="007637A8"/>
    <w:rsid w:val="00765B58"/>
    <w:rsid w:val="00770DCB"/>
    <w:rsid w:val="00775485"/>
    <w:rsid w:val="00783532"/>
    <w:rsid w:val="007846B5"/>
    <w:rsid w:val="007A76BF"/>
    <w:rsid w:val="007B06EA"/>
    <w:rsid w:val="007B17AB"/>
    <w:rsid w:val="007B444D"/>
    <w:rsid w:val="007C0953"/>
    <w:rsid w:val="007C5CF6"/>
    <w:rsid w:val="007D2F00"/>
    <w:rsid w:val="007D2FEE"/>
    <w:rsid w:val="007D6D2A"/>
    <w:rsid w:val="007E5B88"/>
    <w:rsid w:val="007E6475"/>
    <w:rsid w:val="007F0D0B"/>
    <w:rsid w:val="008007A8"/>
    <w:rsid w:val="008042D9"/>
    <w:rsid w:val="00814FC0"/>
    <w:rsid w:val="00817C73"/>
    <w:rsid w:val="00823005"/>
    <w:rsid w:val="00826B0B"/>
    <w:rsid w:val="008449B9"/>
    <w:rsid w:val="00847191"/>
    <w:rsid w:val="0086254F"/>
    <w:rsid w:val="00870FDD"/>
    <w:rsid w:val="008724DE"/>
    <w:rsid w:val="00873A38"/>
    <w:rsid w:val="008758D9"/>
    <w:rsid w:val="00882B0A"/>
    <w:rsid w:val="00896C44"/>
    <w:rsid w:val="008A3D57"/>
    <w:rsid w:val="008A7305"/>
    <w:rsid w:val="008A7EFF"/>
    <w:rsid w:val="008B23BC"/>
    <w:rsid w:val="008B3899"/>
    <w:rsid w:val="008E328C"/>
    <w:rsid w:val="008E3D60"/>
    <w:rsid w:val="008E3F4C"/>
    <w:rsid w:val="008E707C"/>
    <w:rsid w:val="008E78F0"/>
    <w:rsid w:val="008F062E"/>
    <w:rsid w:val="0090165F"/>
    <w:rsid w:val="00901B82"/>
    <w:rsid w:val="00902EC3"/>
    <w:rsid w:val="009079CD"/>
    <w:rsid w:val="00912B09"/>
    <w:rsid w:val="0091791D"/>
    <w:rsid w:val="009332B7"/>
    <w:rsid w:val="00934E5F"/>
    <w:rsid w:val="009432CF"/>
    <w:rsid w:val="00961135"/>
    <w:rsid w:val="00966C2F"/>
    <w:rsid w:val="0096742A"/>
    <w:rsid w:val="00973805"/>
    <w:rsid w:val="0097512B"/>
    <w:rsid w:val="00982404"/>
    <w:rsid w:val="00990B81"/>
    <w:rsid w:val="009A1259"/>
    <w:rsid w:val="009B1CCE"/>
    <w:rsid w:val="009C789C"/>
    <w:rsid w:val="009D2D3E"/>
    <w:rsid w:val="009D4F31"/>
    <w:rsid w:val="009D634E"/>
    <w:rsid w:val="009D67F6"/>
    <w:rsid w:val="009E08D1"/>
    <w:rsid w:val="009E0FE1"/>
    <w:rsid w:val="009E4BD0"/>
    <w:rsid w:val="009F00BC"/>
    <w:rsid w:val="009F2764"/>
    <w:rsid w:val="00A0406E"/>
    <w:rsid w:val="00A10406"/>
    <w:rsid w:val="00A11307"/>
    <w:rsid w:val="00A13AF3"/>
    <w:rsid w:val="00A21388"/>
    <w:rsid w:val="00A27791"/>
    <w:rsid w:val="00A27ABE"/>
    <w:rsid w:val="00A355F9"/>
    <w:rsid w:val="00A372B3"/>
    <w:rsid w:val="00A41355"/>
    <w:rsid w:val="00A437B6"/>
    <w:rsid w:val="00A43B92"/>
    <w:rsid w:val="00A47BCC"/>
    <w:rsid w:val="00A51C1D"/>
    <w:rsid w:val="00A54251"/>
    <w:rsid w:val="00A6179E"/>
    <w:rsid w:val="00A64316"/>
    <w:rsid w:val="00A804D9"/>
    <w:rsid w:val="00A8573B"/>
    <w:rsid w:val="00A92915"/>
    <w:rsid w:val="00A92D96"/>
    <w:rsid w:val="00A92F92"/>
    <w:rsid w:val="00A96892"/>
    <w:rsid w:val="00AA2051"/>
    <w:rsid w:val="00AA70C4"/>
    <w:rsid w:val="00AB7C8F"/>
    <w:rsid w:val="00AC2192"/>
    <w:rsid w:val="00AC636D"/>
    <w:rsid w:val="00AE7E03"/>
    <w:rsid w:val="00B00F61"/>
    <w:rsid w:val="00B237FB"/>
    <w:rsid w:val="00B24B1D"/>
    <w:rsid w:val="00B26C33"/>
    <w:rsid w:val="00B277E0"/>
    <w:rsid w:val="00B306A3"/>
    <w:rsid w:val="00B34946"/>
    <w:rsid w:val="00B435A1"/>
    <w:rsid w:val="00B519FD"/>
    <w:rsid w:val="00B520BC"/>
    <w:rsid w:val="00B5287A"/>
    <w:rsid w:val="00B539CC"/>
    <w:rsid w:val="00B63D24"/>
    <w:rsid w:val="00B822C5"/>
    <w:rsid w:val="00B82C35"/>
    <w:rsid w:val="00B924E6"/>
    <w:rsid w:val="00B93F2A"/>
    <w:rsid w:val="00BA23E3"/>
    <w:rsid w:val="00BA262D"/>
    <w:rsid w:val="00BA3F00"/>
    <w:rsid w:val="00BA5698"/>
    <w:rsid w:val="00BB3A8E"/>
    <w:rsid w:val="00BC23B6"/>
    <w:rsid w:val="00BC79EB"/>
    <w:rsid w:val="00BD23C5"/>
    <w:rsid w:val="00BD7FCF"/>
    <w:rsid w:val="00BF1AB8"/>
    <w:rsid w:val="00BF6406"/>
    <w:rsid w:val="00C064DC"/>
    <w:rsid w:val="00C11CCF"/>
    <w:rsid w:val="00C132CA"/>
    <w:rsid w:val="00C149BD"/>
    <w:rsid w:val="00C23C59"/>
    <w:rsid w:val="00C25BDA"/>
    <w:rsid w:val="00C316A9"/>
    <w:rsid w:val="00C33104"/>
    <w:rsid w:val="00C332D4"/>
    <w:rsid w:val="00C44AE3"/>
    <w:rsid w:val="00C471D1"/>
    <w:rsid w:val="00C51011"/>
    <w:rsid w:val="00C51B85"/>
    <w:rsid w:val="00C560AC"/>
    <w:rsid w:val="00C5781C"/>
    <w:rsid w:val="00C60036"/>
    <w:rsid w:val="00C60343"/>
    <w:rsid w:val="00C7387B"/>
    <w:rsid w:val="00C81991"/>
    <w:rsid w:val="00C8280D"/>
    <w:rsid w:val="00C854D4"/>
    <w:rsid w:val="00C90556"/>
    <w:rsid w:val="00CA0D78"/>
    <w:rsid w:val="00CA4855"/>
    <w:rsid w:val="00CA5D90"/>
    <w:rsid w:val="00CB24FE"/>
    <w:rsid w:val="00CC2AA0"/>
    <w:rsid w:val="00CD58FD"/>
    <w:rsid w:val="00CE4078"/>
    <w:rsid w:val="00CE561D"/>
    <w:rsid w:val="00CF52CF"/>
    <w:rsid w:val="00CF66B5"/>
    <w:rsid w:val="00D03307"/>
    <w:rsid w:val="00D16774"/>
    <w:rsid w:val="00D23F1C"/>
    <w:rsid w:val="00D343FA"/>
    <w:rsid w:val="00D418FF"/>
    <w:rsid w:val="00D51033"/>
    <w:rsid w:val="00D6488D"/>
    <w:rsid w:val="00D65C76"/>
    <w:rsid w:val="00D71267"/>
    <w:rsid w:val="00D734C7"/>
    <w:rsid w:val="00D73ED4"/>
    <w:rsid w:val="00D7542B"/>
    <w:rsid w:val="00D8351F"/>
    <w:rsid w:val="00DA1D32"/>
    <w:rsid w:val="00DA2F73"/>
    <w:rsid w:val="00DA7A55"/>
    <w:rsid w:val="00DC307B"/>
    <w:rsid w:val="00DC343B"/>
    <w:rsid w:val="00DC462F"/>
    <w:rsid w:val="00DC499A"/>
    <w:rsid w:val="00DD2CE0"/>
    <w:rsid w:val="00DD604A"/>
    <w:rsid w:val="00DD6A21"/>
    <w:rsid w:val="00DE18A7"/>
    <w:rsid w:val="00DE2EFB"/>
    <w:rsid w:val="00DE60CA"/>
    <w:rsid w:val="00DF01B6"/>
    <w:rsid w:val="00DF0AC9"/>
    <w:rsid w:val="00DF28F1"/>
    <w:rsid w:val="00E02517"/>
    <w:rsid w:val="00E07777"/>
    <w:rsid w:val="00E1290D"/>
    <w:rsid w:val="00E14833"/>
    <w:rsid w:val="00E1675F"/>
    <w:rsid w:val="00E16DDD"/>
    <w:rsid w:val="00E23DB3"/>
    <w:rsid w:val="00E24FA3"/>
    <w:rsid w:val="00E26B28"/>
    <w:rsid w:val="00E31465"/>
    <w:rsid w:val="00E328CD"/>
    <w:rsid w:val="00E3489E"/>
    <w:rsid w:val="00E3546C"/>
    <w:rsid w:val="00E362F0"/>
    <w:rsid w:val="00E36B95"/>
    <w:rsid w:val="00E4003F"/>
    <w:rsid w:val="00E44115"/>
    <w:rsid w:val="00E458F6"/>
    <w:rsid w:val="00E45954"/>
    <w:rsid w:val="00E46704"/>
    <w:rsid w:val="00E53546"/>
    <w:rsid w:val="00E55F24"/>
    <w:rsid w:val="00E60C48"/>
    <w:rsid w:val="00E62EAD"/>
    <w:rsid w:val="00E74601"/>
    <w:rsid w:val="00EA44D9"/>
    <w:rsid w:val="00EA4D97"/>
    <w:rsid w:val="00EA74D1"/>
    <w:rsid w:val="00EB6A76"/>
    <w:rsid w:val="00EC0CCA"/>
    <w:rsid w:val="00EC1B6E"/>
    <w:rsid w:val="00ED6EDE"/>
    <w:rsid w:val="00EE6ED3"/>
    <w:rsid w:val="00EF155E"/>
    <w:rsid w:val="00F0799D"/>
    <w:rsid w:val="00F107A0"/>
    <w:rsid w:val="00F127A8"/>
    <w:rsid w:val="00F14C6D"/>
    <w:rsid w:val="00F220A5"/>
    <w:rsid w:val="00F34362"/>
    <w:rsid w:val="00F34BC9"/>
    <w:rsid w:val="00F464BD"/>
    <w:rsid w:val="00F513AE"/>
    <w:rsid w:val="00F51ECD"/>
    <w:rsid w:val="00F81458"/>
    <w:rsid w:val="00F8302E"/>
    <w:rsid w:val="00F86DAB"/>
    <w:rsid w:val="00FA22A8"/>
    <w:rsid w:val="00FA4916"/>
    <w:rsid w:val="00FA7E5C"/>
    <w:rsid w:val="00FB11A7"/>
    <w:rsid w:val="00FB193D"/>
    <w:rsid w:val="00FB1EC7"/>
    <w:rsid w:val="00FB3422"/>
    <w:rsid w:val="00FB422A"/>
    <w:rsid w:val="00FC7AA2"/>
    <w:rsid w:val="00FD01B5"/>
    <w:rsid w:val="00FD5BF0"/>
    <w:rsid w:val="00FD6475"/>
    <w:rsid w:val="00FF2CF7"/>
    <w:rsid w:val="055AA4E9"/>
    <w:rsid w:val="1DD6303D"/>
    <w:rsid w:val="4DB38CDE"/>
    <w:rsid w:val="770E6E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6C0517"/>
  <w15:chartTrackingRefBased/>
  <w15:docId w15:val="{40AC841C-42F1-4EEF-8C72-71FD0F0C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uiPriority="9" w:qFormat="1"/>
    <w:lsdException w:name="heading 4" w:locked="0" w:uiPriority="9" w:qFormat="1"/>
    <w:lsdException w:name="heading 5" w:locked="0"/>
    <w:lsdException w:name="heading 6" w:locked="0"/>
    <w:lsdException w:name="heading 7" w:locked="0"/>
    <w:lsdException w:name="heading 8" w:locked="0"/>
    <w:lsdException w:name="heading 9" w:locked="0"/>
    <w:lsdException w:name="toc 1" w:locked="0" w:uiPriority="39" w:qFormat="1"/>
    <w:lsdException w:name="toc 2" w:locked="0" w:uiPriority="39" w:qFormat="1"/>
    <w:lsdException w:name="toc 3" w:locked="0" w:uiPriority="39"/>
    <w:lsdException w:name="toc 4" w:locked="0" w:uiPriority="39"/>
    <w:lsdException w:name="footnote text" w:uiPriority="99"/>
    <w:lsdException w:name="annotation text" w:uiPriority="99"/>
    <w:lsdException w:name="header" w:locked="0" w:uiPriority="99" w:qFormat="1"/>
    <w:lsdException w:name="footer" w:locked="0" w:uiPriority="99"/>
    <w:lsdException w:name="caption" w:semiHidden="1" w:unhideWhenUsed="1" w:qFormat="1"/>
    <w:lsdException w:name="footnote reference" w:uiPriority="99"/>
    <w:lsdException w:name="annotation reference" w:uiPriority="99"/>
    <w:lsdException w:name="endnote reference" w:locked="0" w:qFormat="1"/>
    <w:lsdException w:name="endnote text" w:locked="0" w:qFormat="1"/>
    <w:lsdException w:name="List Bullet" w:qFormat="1"/>
    <w:lsdException w:name="List Number" w:qFormat="1"/>
    <w:lsdException w:name="Title" w:uiPriority="10" w:qFormat="1"/>
    <w:lsdException w:name="Default Paragraph Font" w:locked="0"/>
    <w:lsdException w:name="List Continue 4" w:locked="0"/>
    <w:lsdException w:name="Subtitle" w:uiPriority="11" w:qFormat="1"/>
    <w:lsdException w:name="Hyperlink" w:locked="0" w:uiPriority="99"/>
    <w:lsdException w:name="FollowedHyperlink" w:uiPriority="99"/>
    <w:lsdException w:name="Strong" w:locked="0"/>
    <w:lsdException w:name="HTML Top of Form" w:locked="0"/>
    <w:lsdException w:name="HTML Bottom of Form" w:locked="0"/>
    <w:lsdException w:name="HTML Keyboard" w:semiHidden="1" w:unhideWhenUsed="1"/>
    <w:lsdException w:name="Normal Table" w:locked="0" w:semiHidden="1" w:unhideWhenUsed="1"/>
    <w:lsdException w:name="annotation subject" w:semiHidden="1" w:uiPriority="99"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1" w:qFormat="1"/>
    <w:lsdException w:name="Quote" w:locked="0"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AHRC plain text"/>
    <w:qFormat/>
    <w:rsid w:val="00E53546"/>
    <w:pPr>
      <w:spacing w:before="240" w:after="240"/>
    </w:pPr>
    <w:rPr>
      <w:rFonts w:ascii="Open Sans" w:eastAsia="MS Mincho" w:hAnsi="Open Sans"/>
      <w:sz w:val="24"/>
      <w:szCs w:val="24"/>
    </w:rPr>
  </w:style>
  <w:style w:type="paragraph" w:styleId="Heading1">
    <w:name w:val="heading 1"/>
    <w:basedOn w:val="Normal"/>
    <w:next w:val="Normal"/>
    <w:link w:val="Heading1Char"/>
    <w:qFormat/>
    <w:rsid w:val="005C2ECF"/>
    <w:pPr>
      <w:keepNext/>
      <w:keepLines/>
      <w:numPr>
        <w:numId w:val="1"/>
      </w:numPr>
      <w:spacing w:before="360"/>
      <w:outlineLvl w:val="0"/>
    </w:pPr>
    <w:rPr>
      <w:b/>
      <w:bCs/>
      <w:sz w:val="36"/>
      <w:szCs w:val="28"/>
    </w:rPr>
  </w:style>
  <w:style w:type="paragraph" w:styleId="Heading2">
    <w:name w:val="heading 2"/>
    <w:basedOn w:val="Heading1"/>
    <w:next w:val="Normal"/>
    <w:link w:val="Heading2Char"/>
    <w:qFormat/>
    <w:rsid w:val="00BA23E3"/>
    <w:pPr>
      <w:numPr>
        <w:ilvl w:val="1"/>
      </w:numPr>
      <w:outlineLvl w:val="1"/>
    </w:pPr>
    <w:rPr>
      <w:bCs w:val="0"/>
      <w:sz w:val="32"/>
      <w:szCs w:val="26"/>
    </w:rPr>
  </w:style>
  <w:style w:type="paragraph" w:styleId="Heading3">
    <w:name w:val="heading 3"/>
    <w:basedOn w:val="Heading2"/>
    <w:next w:val="Normal"/>
    <w:link w:val="Heading3Char"/>
    <w:uiPriority w:val="9"/>
    <w:qFormat/>
    <w:rsid w:val="008007A8"/>
    <w:pPr>
      <w:numPr>
        <w:ilvl w:val="2"/>
      </w:numPr>
      <w:outlineLvl w:val="2"/>
    </w:pPr>
    <w:rPr>
      <w:b w:val="0"/>
      <w:bCs/>
      <w:sz w:val="24"/>
    </w:rPr>
  </w:style>
  <w:style w:type="paragraph" w:styleId="Heading4">
    <w:name w:val="heading 4"/>
    <w:basedOn w:val="Heading3"/>
    <w:next w:val="Normal"/>
    <w:link w:val="Heading4Char"/>
    <w:uiPriority w:val="9"/>
    <w:qFormat/>
    <w:locked/>
    <w:rsid w:val="008007A8"/>
    <w:pPr>
      <w:numPr>
        <w:ilvl w:val="3"/>
      </w:numPr>
      <w:outlineLvl w:val="3"/>
    </w:pPr>
    <w:rPr>
      <w:bCs w:val="0"/>
      <w:i/>
      <w:iCs/>
    </w:rPr>
  </w:style>
  <w:style w:type="paragraph" w:styleId="Heading5">
    <w:name w:val="heading 5"/>
    <w:basedOn w:val="Normal"/>
    <w:next w:val="Normal"/>
    <w:link w:val="Heading5Char"/>
    <w:locked/>
    <w:rsid w:val="005C2ECF"/>
    <w:pPr>
      <w:keepNext/>
      <w:keepLines/>
      <w:numPr>
        <w:ilvl w:val="4"/>
        <w:numId w:val="1"/>
      </w:numPr>
      <w:spacing w:before="200"/>
      <w:outlineLvl w:val="4"/>
    </w:pPr>
  </w:style>
  <w:style w:type="paragraph" w:styleId="Heading6">
    <w:name w:val="heading 6"/>
    <w:basedOn w:val="Normal"/>
    <w:next w:val="Normal"/>
    <w:link w:val="Heading6Char"/>
    <w:locked/>
    <w:rsid w:val="005C2ECF"/>
    <w:pPr>
      <w:keepNext/>
      <w:keepLines/>
      <w:numPr>
        <w:ilvl w:val="5"/>
        <w:numId w:val="1"/>
      </w:numPr>
      <w:spacing w:before="200"/>
      <w:outlineLvl w:val="5"/>
    </w:pPr>
    <w:rPr>
      <w:i/>
      <w:iCs/>
    </w:rPr>
  </w:style>
  <w:style w:type="paragraph" w:styleId="Heading7">
    <w:name w:val="heading 7"/>
    <w:basedOn w:val="Normal"/>
    <w:next w:val="Normal"/>
    <w:link w:val="Heading7Char"/>
    <w:locked/>
    <w:rsid w:val="005C2ECF"/>
    <w:pPr>
      <w:keepNext/>
      <w:keepLines/>
      <w:numPr>
        <w:ilvl w:val="6"/>
        <w:numId w:val="1"/>
      </w:numPr>
      <w:spacing w:before="200"/>
      <w:outlineLvl w:val="6"/>
    </w:pPr>
    <w:rPr>
      <w:i/>
      <w:iCs/>
    </w:rPr>
  </w:style>
  <w:style w:type="paragraph" w:styleId="Heading8">
    <w:name w:val="heading 8"/>
    <w:basedOn w:val="Normal"/>
    <w:next w:val="Normal"/>
    <w:link w:val="Heading8Char"/>
    <w:locked/>
    <w:rsid w:val="005C2ECF"/>
    <w:pPr>
      <w:keepNext/>
      <w:keepLines/>
      <w:numPr>
        <w:ilvl w:val="7"/>
        <w:numId w:val="1"/>
      </w:numPr>
      <w:spacing w:before="200"/>
      <w:outlineLvl w:val="7"/>
    </w:pPr>
    <w:rPr>
      <w:sz w:val="20"/>
      <w:szCs w:val="20"/>
    </w:rPr>
  </w:style>
  <w:style w:type="paragraph" w:styleId="Heading9">
    <w:name w:val="heading 9"/>
    <w:basedOn w:val="Normal"/>
    <w:next w:val="Normal"/>
    <w:link w:val="Heading9Char"/>
    <w:locked/>
    <w:rsid w:val="005C2ECF"/>
    <w:pPr>
      <w:keepNext/>
      <w:keepLines/>
      <w:numPr>
        <w:ilvl w:val="8"/>
        <w:numId w:val="1"/>
      </w:numPr>
      <w:spacing w:before="200"/>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2ECF"/>
    <w:rPr>
      <w:rFonts w:ascii="Open Sans" w:eastAsia="MS Mincho" w:hAnsi="Open Sans"/>
      <w:b/>
      <w:bCs/>
      <w:sz w:val="36"/>
      <w:szCs w:val="28"/>
    </w:rPr>
  </w:style>
  <w:style w:type="character" w:customStyle="1" w:styleId="Heading2Char">
    <w:name w:val="Heading 2 Char"/>
    <w:link w:val="Heading2"/>
    <w:rsid w:val="00BA23E3"/>
    <w:rPr>
      <w:rFonts w:ascii="Open Sans" w:eastAsia="MS Mincho" w:hAnsi="Open Sans"/>
      <w:b/>
      <w:sz w:val="32"/>
      <w:szCs w:val="26"/>
    </w:rPr>
  </w:style>
  <w:style w:type="character" w:customStyle="1" w:styleId="Heading3Char">
    <w:name w:val="Heading 3 Char"/>
    <w:link w:val="Heading3"/>
    <w:uiPriority w:val="9"/>
    <w:rsid w:val="008007A8"/>
    <w:rPr>
      <w:rFonts w:ascii="Open Sans" w:eastAsia="MS Mincho" w:hAnsi="Open Sans"/>
      <w:bCs/>
      <w:sz w:val="24"/>
      <w:szCs w:val="26"/>
    </w:rPr>
  </w:style>
  <w:style w:type="character" w:customStyle="1" w:styleId="Heading4Char">
    <w:name w:val="Heading 4 Char"/>
    <w:link w:val="Heading4"/>
    <w:uiPriority w:val="9"/>
    <w:rsid w:val="008007A8"/>
    <w:rPr>
      <w:rFonts w:ascii="Open Sans" w:eastAsia="MS Mincho" w:hAnsi="Open Sans"/>
      <w:i/>
      <w:iCs/>
      <w:sz w:val="24"/>
      <w:szCs w:val="26"/>
    </w:rPr>
  </w:style>
  <w:style w:type="character" w:styleId="Strong">
    <w:name w:val="Strong"/>
    <w:locked/>
    <w:rsid w:val="00471BB7"/>
    <w:rPr>
      <w:rFonts w:ascii="Open Sans" w:hAnsi="Open Sans"/>
      <w:b/>
      <w:bCs/>
    </w:rPr>
  </w:style>
  <w:style w:type="character" w:customStyle="1" w:styleId="Heading5Char">
    <w:name w:val="Heading 5 Char"/>
    <w:link w:val="Heading5"/>
    <w:rsid w:val="005C2ECF"/>
    <w:rPr>
      <w:rFonts w:ascii="Open Sans" w:eastAsia="MS Mincho" w:hAnsi="Open Sans"/>
      <w:sz w:val="24"/>
      <w:szCs w:val="24"/>
    </w:rPr>
  </w:style>
  <w:style w:type="character" w:customStyle="1" w:styleId="Heading6Char">
    <w:name w:val="Heading 6 Char"/>
    <w:link w:val="Heading6"/>
    <w:rsid w:val="005C2ECF"/>
    <w:rPr>
      <w:rFonts w:ascii="Open Sans" w:eastAsia="MS Mincho" w:hAnsi="Open Sans"/>
      <w:i/>
      <w:iCs/>
      <w:sz w:val="24"/>
      <w:szCs w:val="24"/>
    </w:rPr>
  </w:style>
  <w:style w:type="character" w:customStyle="1" w:styleId="Heading7Char">
    <w:name w:val="Heading 7 Char"/>
    <w:link w:val="Heading7"/>
    <w:rsid w:val="005C2ECF"/>
    <w:rPr>
      <w:rFonts w:ascii="Open Sans" w:eastAsia="MS Mincho" w:hAnsi="Open Sans"/>
      <w:i/>
      <w:iCs/>
      <w:sz w:val="24"/>
      <w:szCs w:val="24"/>
    </w:rPr>
  </w:style>
  <w:style w:type="character" w:customStyle="1" w:styleId="Heading8Char">
    <w:name w:val="Heading 8 Char"/>
    <w:link w:val="Heading8"/>
    <w:rsid w:val="005C2ECF"/>
    <w:rPr>
      <w:rFonts w:ascii="Open Sans" w:eastAsia="MS Mincho" w:hAnsi="Open Sans"/>
    </w:rPr>
  </w:style>
  <w:style w:type="character" w:customStyle="1" w:styleId="Heading9Char">
    <w:name w:val="Heading 9 Char"/>
    <w:link w:val="Heading9"/>
    <w:rsid w:val="005C2ECF"/>
    <w:rPr>
      <w:rFonts w:ascii="Open Sans" w:eastAsia="MS Mincho" w:hAnsi="Open Sans"/>
      <w:i/>
      <w:iCs/>
    </w:rPr>
  </w:style>
  <w:style w:type="paragraph" w:styleId="Header">
    <w:name w:val="header"/>
    <w:basedOn w:val="Normal"/>
    <w:link w:val="HeaderChar"/>
    <w:uiPriority w:val="99"/>
    <w:qFormat/>
    <w:rsid w:val="00902EC3"/>
    <w:pPr>
      <w:tabs>
        <w:tab w:val="center" w:pos="4513"/>
        <w:tab w:val="right" w:pos="9026"/>
      </w:tabs>
      <w:spacing w:after="0"/>
      <w:jc w:val="right"/>
    </w:pPr>
    <w:rPr>
      <w:sz w:val="18"/>
    </w:rPr>
  </w:style>
  <w:style w:type="character" w:customStyle="1" w:styleId="HeaderChar">
    <w:name w:val="Header Char"/>
    <w:link w:val="Header"/>
    <w:uiPriority w:val="99"/>
    <w:rsid w:val="00902EC3"/>
    <w:rPr>
      <w:rFonts w:ascii="Open Sans" w:eastAsia="MS Mincho" w:hAnsi="Open Sans"/>
      <w:sz w:val="18"/>
      <w:szCs w:val="24"/>
    </w:rPr>
  </w:style>
  <w:style w:type="paragraph" w:styleId="Footer">
    <w:name w:val="footer"/>
    <w:basedOn w:val="Normal"/>
    <w:link w:val="FooterChar"/>
    <w:uiPriority w:val="99"/>
    <w:rsid w:val="0063009F"/>
    <w:pPr>
      <w:tabs>
        <w:tab w:val="right" w:pos="2835"/>
        <w:tab w:val="right" w:pos="5670"/>
      </w:tabs>
      <w:spacing w:before="0" w:after="0"/>
      <w:ind w:left="-868"/>
    </w:pPr>
    <w:rPr>
      <w:sz w:val="18"/>
    </w:rPr>
  </w:style>
  <w:style w:type="character" w:customStyle="1" w:styleId="FooterChar">
    <w:name w:val="Footer Char"/>
    <w:link w:val="Footer"/>
    <w:uiPriority w:val="99"/>
    <w:rsid w:val="0063009F"/>
    <w:rPr>
      <w:rFonts w:ascii="Open Sans" w:eastAsia="MS Mincho" w:hAnsi="Open Sans"/>
      <w:sz w:val="18"/>
      <w:szCs w:val="24"/>
    </w:rPr>
  </w:style>
  <w:style w:type="paragraph" w:styleId="TOC3">
    <w:name w:val="toc 3"/>
    <w:basedOn w:val="Normal"/>
    <w:next w:val="Normal"/>
    <w:uiPriority w:val="39"/>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uiPriority w:val="39"/>
    <w:qFormat/>
    <w:rsid w:val="000B5B68"/>
    <w:pPr>
      <w:tabs>
        <w:tab w:val="right" w:leader="dot" w:pos="9060"/>
      </w:tabs>
      <w:spacing w:after="0"/>
      <w:ind w:left="720" w:hanging="720"/>
    </w:pPr>
    <w:rPr>
      <w:b/>
      <w:noProof/>
    </w:rPr>
  </w:style>
  <w:style w:type="paragraph" w:styleId="TOC2">
    <w:name w:val="toc 2"/>
    <w:basedOn w:val="Normal"/>
    <w:next w:val="Normal"/>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39"/>
    <w:qFormat/>
    <w:rsid w:val="00471BB7"/>
    <w:pPr>
      <w:spacing w:before="0" w:after="360"/>
    </w:pPr>
    <w:rPr>
      <w:b/>
      <w:lang w:val="en-US" w:eastAsia="en-US"/>
    </w:rPr>
  </w:style>
  <w:style w:type="paragraph" w:styleId="EndnoteText">
    <w:name w:val="endnote text"/>
    <w:basedOn w:val="Normal"/>
    <w:link w:val="EndnoteTextChar1"/>
    <w:qFormat/>
    <w:rsid w:val="0002476A"/>
    <w:pPr>
      <w:spacing w:before="0" w:after="0"/>
      <w:ind w:left="142" w:hanging="142"/>
    </w:pPr>
    <w:rPr>
      <w:sz w:val="20"/>
      <w:szCs w:val="20"/>
    </w:rPr>
  </w:style>
  <w:style w:type="character" w:customStyle="1" w:styleId="EndnoteTextChar1">
    <w:name w:val="Endnote Text Char1"/>
    <w:link w:val="EndnoteText"/>
    <w:rsid w:val="00E55F24"/>
    <w:rPr>
      <w:rFonts w:ascii="Open Sans" w:eastAsia="MS Mincho" w:hAnsi="Open Sans"/>
    </w:rPr>
  </w:style>
  <w:style w:type="character" w:styleId="EndnoteReference">
    <w:name w:val="endnote reference"/>
    <w:aliases w:val="QUOTE"/>
    <w:qFormat/>
    <w:rsid w:val="00045C4B"/>
    <w:rPr>
      <w:rFonts w:ascii="Open Sans" w:hAnsi="Open Sans"/>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rsid w:val="00045C4B"/>
    <w:pPr>
      <w:spacing w:after="120"/>
      <w:ind w:left="1440" w:right="1440"/>
    </w:pPr>
  </w:style>
  <w:style w:type="paragraph" w:styleId="BodyText">
    <w:name w:val="Body Text"/>
    <w:basedOn w:val="Normal"/>
    <w:semiHidden/>
    <w:rsid w:val="00045C4B"/>
    <w:pPr>
      <w:spacing w:after="120"/>
    </w:pPr>
  </w:style>
  <w:style w:type="paragraph" w:styleId="BodyText2">
    <w:name w:val="Body Text 2"/>
    <w:basedOn w:val="Normal"/>
    <w:semiHidden/>
    <w:rsid w:val="00045C4B"/>
    <w:pPr>
      <w:spacing w:after="120" w:line="480" w:lineRule="auto"/>
    </w:pPr>
  </w:style>
  <w:style w:type="paragraph" w:styleId="BodyText3">
    <w:name w:val="Body Text 3"/>
    <w:basedOn w:val="Normal"/>
    <w:semiHidden/>
    <w:rsid w:val="00045C4B"/>
    <w:pPr>
      <w:spacing w:after="120"/>
    </w:pPr>
    <w:rPr>
      <w:sz w:val="16"/>
      <w:szCs w:val="16"/>
    </w:rPr>
  </w:style>
  <w:style w:type="paragraph" w:styleId="BodyTextFirstIndent">
    <w:name w:val="Body Text First Indent"/>
    <w:basedOn w:val="BodyText"/>
    <w:semiHidden/>
    <w:rsid w:val="00E45954"/>
    <w:pPr>
      <w:ind w:firstLine="210"/>
    </w:pPr>
  </w:style>
  <w:style w:type="paragraph" w:styleId="BodyTextIndent">
    <w:name w:val="Body Text Indent"/>
    <w:basedOn w:val="Normal"/>
    <w:semiHidden/>
    <w:rsid w:val="00045C4B"/>
    <w:pPr>
      <w:spacing w:after="120"/>
      <w:ind w:left="283"/>
    </w:pPr>
  </w:style>
  <w:style w:type="paragraph" w:styleId="BodyTextFirstIndent2">
    <w:name w:val="Body Text First Indent 2"/>
    <w:basedOn w:val="BodyTextIndent"/>
    <w:semiHidden/>
    <w:rsid w:val="00045C4B"/>
    <w:pPr>
      <w:ind w:firstLine="210"/>
    </w:pPr>
  </w:style>
  <w:style w:type="paragraph" w:styleId="BodyTextIndent2">
    <w:name w:val="Body Text Indent 2"/>
    <w:basedOn w:val="Normal"/>
    <w:semiHidden/>
    <w:rsid w:val="00045C4B"/>
    <w:pPr>
      <w:spacing w:after="120" w:line="480" w:lineRule="auto"/>
      <w:ind w:left="283"/>
    </w:pPr>
  </w:style>
  <w:style w:type="paragraph" w:styleId="BodyTextIndent3">
    <w:name w:val="Body Text Indent 3"/>
    <w:basedOn w:val="Normal"/>
    <w:semiHidden/>
    <w:rsid w:val="00045C4B"/>
    <w:pPr>
      <w:spacing w:after="120"/>
      <w:ind w:left="283"/>
    </w:pPr>
    <w:rPr>
      <w:sz w:val="16"/>
      <w:szCs w:val="16"/>
    </w:rPr>
  </w:style>
  <w:style w:type="paragraph" w:styleId="Closing">
    <w:name w:val="Closing"/>
    <w:basedOn w:val="Normal"/>
    <w:semiHidden/>
    <w:rsid w:val="00045C4B"/>
    <w:pPr>
      <w:ind w:left="4252"/>
    </w:pPr>
  </w:style>
  <w:style w:type="paragraph" w:styleId="Date">
    <w:name w:val="Date"/>
    <w:basedOn w:val="Normal"/>
    <w:next w:val="Normal"/>
    <w:semiHidden/>
    <w:rsid w:val="005C2ECF"/>
    <w:pPr>
      <w:spacing w:before="120" w:after="120"/>
      <w:jc w:val="right"/>
    </w:pPr>
  </w:style>
  <w:style w:type="paragraph" w:styleId="E-mailSignature">
    <w:name w:val="E-mail Signature"/>
    <w:basedOn w:val="Normal"/>
    <w:semiHidden/>
    <w:rsid w:val="00045C4B"/>
  </w:style>
  <w:style w:type="character" w:styleId="Emphasis">
    <w:name w:val="Emphasis"/>
    <w:rsid w:val="00045C4B"/>
    <w:rPr>
      <w:rFonts w:ascii="Open Sans" w:hAnsi="Open Sans"/>
      <w:i w:val="0"/>
      <w:iCs/>
    </w:rPr>
  </w:style>
  <w:style w:type="paragraph" w:styleId="EnvelopeAddress">
    <w:name w:val="envelope address"/>
    <w:basedOn w:val="Normal"/>
    <w:semiHidden/>
    <w:rsid w:val="00045C4B"/>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qFormat/>
    <w:rsid w:val="002C5943"/>
    <w:pPr>
      <w:numPr>
        <w:numId w:val="2"/>
      </w:numPr>
      <w:ind w:left="1094" w:hanging="737"/>
    </w:pPr>
  </w:style>
  <w:style w:type="paragraph" w:styleId="ListBullet2">
    <w:name w:val="List Bullet 2"/>
    <w:basedOn w:val="Normal"/>
    <w:semiHidden/>
    <w:locked/>
    <w:rsid w:val="005C2ECF"/>
    <w:pPr>
      <w:numPr>
        <w:numId w:val="3"/>
      </w:numPr>
    </w:pPr>
  </w:style>
  <w:style w:type="paragraph" w:styleId="ListBullet3">
    <w:name w:val="List Bullet 3"/>
    <w:basedOn w:val="Normal"/>
    <w:semiHidden/>
    <w:locked/>
    <w:rsid w:val="005C2ECF"/>
    <w:pPr>
      <w:numPr>
        <w:numId w:val="4"/>
      </w:numPr>
    </w:pPr>
  </w:style>
  <w:style w:type="paragraph" w:styleId="ListBullet4">
    <w:name w:val="List Bullet 4"/>
    <w:basedOn w:val="Normal"/>
    <w:semiHidden/>
    <w:locked/>
    <w:rsid w:val="005C2ECF"/>
    <w:pPr>
      <w:numPr>
        <w:numId w:val="5"/>
      </w:numPr>
    </w:pPr>
  </w:style>
  <w:style w:type="paragraph" w:styleId="ListBullet5">
    <w:name w:val="List Bullet 5"/>
    <w:basedOn w:val="Normal"/>
    <w:semiHidden/>
    <w:locked/>
    <w:rsid w:val="005C2ECF"/>
    <w:pPr>
      <w:numPr>
        <w:numId w:val="6"/>
      </w:numPr>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qFormat/>
    <w:rsid w:val="002C5943"/>
    <w:pPr>
      <w:numPr>
        <w:numId w:val="7"/>
      </w:numPr>
      <w:tabs>
        <w:tab w:val="clear" w:pos="360"/>
        <w:tab w:val="left" w:pos="1134"/>
      </w:tabs>
      <w:spacing w:before="120" w:after="120"/>
      <w:ind w:left="1094" w:hanging="737"/>
      <w:contextualSpacing/>
    </w:pPr>
  </w:style>
  <w:style w:type="paragraph" w:styleId="ListNumber2">
    <w:name w:val="List Number 2"/>
    <w:basedOn w:val="Normal"/>
    <w:semiHidden/>
    <w:locked/>
    <w:rsid w:val="005C2ECF"/>
    <w:pPr>
      <w:numPr>
        <w:numId w:val="10"/>
      </w:numPr>
    </w:pPr>
  </w:style>
  <w:style w:type="paragraph" w:styleId="ListNumber3">
    <w:name w:val="List Number 3"/>
    <w:basedOn w:val="Normal"/>
    <w:semiHidden/>
    <w:locked/>
    <w:rsid w:val="005C2ECF"/>
    <w:pPr>
      <w:numPr>
        <w:numId w:val="11"/>
      </w:numPr>
    </w:pPr>
  </w:style>
  <w:style w:type="paragraph" w:styleId="ListNumber4">
    <w:name w:val="List Number 4"/>
    <w:basedOn w:val="Normal"/>
    <w:semiHidden/>
    <w:locked/>
    <w:rsid w:val="005C2ECF"/>
    <w:pPr>
      <w:numPr>
        <w:numId w:val="8"/>
      </w:numPr>
    </w:pPr>
  </w:style>
  <w:style w:type="paragraph" w:styleId="ListNumber5">
    <w:name w:val="List Number 5"/>
    <w:basedOn w:val="Normal"/>
    <w:semiHidden/>
    <w:locked/>
    <w:rsid w:val="005C2ECF"/>
    <w:pPr>
      <w:numPr>
        <w:numId w:val="9"/>
      </w:numPr>
    </w:pPr>
  </w:style>
  <w:style w:type="paragraph" w:styleId="MessageHeader">
    <w:name w:val="Message Header"/>
    <w:basedOn w:val="Normal"/>
    <w:semiHidden/>
    <w:locked/>
    <w:rsid w:val="005C2EC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5C2ECF"/>
  </w:style>
  <w:style w:type="paragraph" w:styleId="NormalIndent">
    <w:name w:val="Normal Indent"/>
    <w:basedOn w:val="Normal"/>
    <w:semiHidden/>
    <w:rsid w:val="005C2ECF"/>
    <w:pPr>
      <w:ind w:left="720"/>
    </w:pPr>
  </w:style>
  <w:style w:type="paragraph" w:styleId="NoteHeading">
    <w:name w:val="Note Heading"/>
    <w:basedOn w:val="Normal"/>
    <w:next w:val="Normal"/>
    <w:semiHidden/>
    <w:rsid w:val="00E45954"/>
  </w:style>
  <w:style w:type="character" w:styleId="PageNumber">
    <w:name w:val="page number"/>
    <w:semiHidden/>
    <w:rsid w:val="00471BB7"/>
    <w:rPr>
      <w:rFonts w:ascii="Open Sans" w:hAnsi="Open Sans"/>
      <w:sz w:val="24"/>
    </w:rPr>
  </w:style>
  <w:style w:type="paragraph" w:styleId="PlainText">
    <w:name w:val="Plain Text"/>
    <w:basedOn w:val="Normal"/>
    <w:semiHidden/>
    <w:rsid w:val="00471BB7"/>
    <w:rPr>
      <w:rFonts w:cs="Courier New"/>
      <w:szCs w:val="20"/>
    </w:rPr>
  </w:style>
  <w:style w:type="paragraph" w:styleId="Salutation">
    <w:name w:val="Salutation"/>
    <w:basedOn w:val="Normal"/>
    <w:next w:val="Normal"/>
    <w:semiHidden/>
    <w:locked/>
    <w:rsid w:val="00471BB7"/>
  </w:style>
  <w:style w:type="paragraph" w:styleId="Signature">
    <w:name w:val="Signature"/>
    <w:basedOn w:val="Normal"/>
    <w:semiHidden/>
    <w:locked/>
    <w:rsid w:val="00E45954"/>
    <w:pPr>
      <w:ind w:left="4252"/>
    </w:pPr>
  </w:style>
  <w:style w:type="paragraph" w:styleId="Subtitle">
    <w:name w:val="Subtitle"/>
    <w:basedOn w:val="Normal"/>
    <w:link w:val="SubtitleChar"/>
    <w:uiPriority w:val="11"/>
    <w:qFormat/>
    <w:rsid w:val="00817C73"/>
    <w:pPr>
      <w:jc w:val="right"/>
      <w:outlineLvl w:val="1"/>
    </w:pPr>
    <w:rPr>
      <w:rFonts w:cs="Arial"/>
      <w:color w:val="237BBC"/>
      <w:sz w:val="28"/>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E45954"/>
    <w:pPr>
      <w:spacing w:after="60"/>
      <w:jc w:val="center"/>
      <w:outlineLvl w:val="0"/>
    </w:pPr>
    <w:rPr>
      <w:rFonts w:cs="Arial"/>
      <w:b/>
      <w:bCs/>
      <w:kern w:val="28"/>
      <w:sz w:val="32"/>
      <w:szCs w:val="32"/>
    </w:rPr>
  </w:style>
  <w:style w:type="character" w:styleId="FollowedHyperlink">
    <w:name w:val="FollowedHyperlink"/>
    <w:uiPriority w:val="99"/>
    <w:semiHidden/>
    <w:rsid w:val="00045C4B"/>
    <w:rPr>
      <w:rFonts w:ascii="Open Sans" w:hAnsi="Open Sans"/>
      <w:color w:val="800080"/>
      <w:u w:val="single"/>
    </w:rPr>
  </w:style>
  <w:style w:type="paragraph" w:customStyle="1" w:styleId="MainTitle">
    <w:name w:val="Main Title"/>
    <w:next w:val="Subtitle"/>
    <w:rsid w:val="00A355F9"/>
    <w:pPr>
      <w:spacing w:before="240" w:after="240" w:line="740" w:lineRule="exact"/>
      <w:contextualSpacing/>
      <w:jc w:val="right"/>
    </w:pPr>
    <w:rPr>
      <w:rFonts w:ascii="Open Sans" w:hAnsi="Open Sans"/>
      <w:bCs/>
      <w:color w:val="237BBC"/>
      <w:kern w:val="32"/>
      <w:sz w:val="56"/>
      <w:szCs w:val="32"/>
    </w:rPr>
  </w:style>
  <w:style w:type="paragraph" w:customStyle="1" w:styleId="HeaderFooter">
    <w:name w:val="Header &amp; Footer"/>
    <w:basedOn w:val="Normal"/>
    <w:semiHidden/>
    <w:locked/>
    <w:rsid w:val="005C2ECF"/>
    <w:pPr>
      <w:spacing w:line="200" w:lineRule="exact"/>
      <w:jc w:val="both"/>
    </w:pPr>
    <w:rPr>
      <w:rFonts w:eastAsia="Times New Roman" w:cs="ArialMT"/>
      <w:sz w:val="16"/>
      <w:lang w:eastAsia="en-US"/>
    </w:rPr>
  </w:style>
  <w:style w:type="paragraph" w:customStyle="1" w:styleId="LogoType">
    <w:name w:val="Logo Type"/>
    <w:basedOn w:val="Header"/>
    <w:semiHidden/>
    <w:locked/>
    <w:rsid w:val="005C2ECF"/>
    <w:pPr>
      <w:pBdr>
        <w:bottom w:val="single" w:sz="4" w:space="4" w:color="auto"/>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rsid w:val="00045C4B"/>
    <w:pPr>
      <w:spacing w:before="0" w:after="0"/>
    </w:pPr>
    <w:rPr>
      <w:rFonts w:cs="Tahoma"/>
      <w:sz w:val="16"/>
      <w:szCs w:val="16"/>
    </w:rPr>
  </w:style>
  <w:style w:type="character" w:customStyle="1" w:styleId="BalloonTextChar">
    <w:name w:val="Balloon Text Char"/>
    <w:link w:val="BalloonText"/>
    <w:semiHidden/>
    <w:rsid w:val="00045C4B"/>
    <w:rPr>
      <w:rFonts w:ascii="Open Sans" w:eastAsia="MS Mincho" w:hAnsi="Open Sans" w:cs="Tahoma"/>
      <w:sz w:val="16"/>
      <w:szCs w:val="16"/>
    </w:rPr>
  </w:style>
  <w:style w:type="character" w:customStyle="1" w:styleId="CharChar">
    <w:name w:val="Char Char"/>
    <w:semiHidden/>
    <w:locked/>
    <w:rsid w:val="00045C4B"/>
    <w:rPr>
      <w:rFonts w:ascii="Open Sans" w:hAnsi="Open Sans" w:cs="Arial"/>
      <w:lang w:val="en-AU" w:eastAsia="en-AU" w:bidi="ar-SA"/>
    </w:rPr>
  </w:style>
  <w:style w:type="character" w:customStyle="1" w:styleId="EndnoteTextChar">
    <w:name w:val="Endnote Text Char"/>
    <w:locked/>
    <w:rsid w:val="00045C4B"/>
    <w:rPr>
      <w:rFonts w:ascii="Open Sans" w:hAnsi="Open Sans"/>
      <w:sz w:val="20"/>
      <w:lang w:bidi="ar-SA"/>
    </w:rPr>
  </w:style>
  <w:style w:type="character" w:customStyle="1" w:styleId="SubtitleChar">
    <w:name w:val="Subtitle Char"/>
    <w:link w:val="Subtitle"/>
    <w:uiPriority w:val="11"/>
    <w:rsid w:val="00817C73"/>
    <w:rPr>
      <w:rFonts w:ascii="Open Sans" w:eastAsia="MS Mincho" w:hAnsi="Open Sans" w:cs="Arial"/>
      <w:color w:val="237BBC"/>
      <w:sz w:val="28"/>
      <w:szCs w:val="24"/>
    </w:rPr>
  </w:style>
  <w:style w:type="paragraph" w:customStyle="1" w:styleId="SubmissionNormal">
    <w:name w:val="Submission Normal"/>
    <w:aliases w:val="No Spacing1,No Spacing11,No Spacing111,No Spacing1111"/>
    <w:basedOn w:val="Normal"/>
    <w:link w:val="SubmissionNormalChar"/>
    <w:locked/>
    <w:rsid w:val="00B34946"/>
    <w:pPr>
      <w:numPr>
        <w:numId w:val="15"/>
      </w:numPr>
      <w:tabs>
        <w:tab w:val="clear" w:pos="720"/>
      </w:tabs>
      <w:ind w:hanging="720"/>
    </w:pPr>
    <w:rPr>
      <w:rFonts w:eastAsia="Times New Roman"/>
    </w:rPr>
  </w:style>
  <w:style w:type="character" w:customStyle="1" w:styleId="SubmissionNormalChar">
    <w:name w:val="Submission Normal Char"/>
    <w:aliases w:val="No Spacing1 Char"/>
    <w:link w:val="SubmissionNormal"/>
    <w:rsid w:val="00B34946"/>
    <w:rPr>
      <w:rFonts w:ascii="Open Sans" w:hAnsi="Open Sans"/>
      <w:sz w:val="24"/>
      <w:szCs w:val="24"/>
    </w:rPr>
  </w:style>
  <w:style w:type="paragraph" w:customStyle="1" w:styleId="coveraddresses">
    <w:name w:val="cover addresses"/>
    <w:basedOn w:val="Footer"/>
    <w:locked/>
    <w:rsid w:val="005C2ECF"/>
    <w:pPr>
      <w:spacing w:after="40"/>
    </w:pPr>
    <w:rPr>
      <w:szCs w:val="16"/>
    </w:rPr>
  </w:style>
  <w:style w:type="paragraph" w:customStyle="1" w:styleId="coveraddress">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uiPriority w:val="99"/>
    <w:rsid w:val="00045C4B"/>
    <w:rPr>
      <w:rFonts w:ascii="Open Sans" w:hAnsi="Open Sans"/>
      <w:sz w:val="16"/>
      <w:szCs w:val="16"/>
    </w:rPr>
  </w:style>
  <w:style w:type="paragraph" w:styleId="CommentText">
    <w:name w:val="annotation text"/>
    <w:basedOn w:val="Normal"/>
    <w:link w:val="CommentTextChar"/>
    <w:uiPriority w:val="99"/>
    <w:rsid w:val="00045C4B"/>
    <w:rPr>
      <w:sz w:val="20"/>
      <w:szCs w:val="20"/>
    </w:rPr>
  </w:style>
  <w:style w:type="character" w:customStyle="1" w:styleId="CommentTextChar">
    <w:name w:val="Comment Text Char"/>
    <w:link w:val="CommentText"/>
    <w:uiPriority w:val="99"/>
    <w:rsid w:val="00045C4B"/>
    <w:rPr>
      <w:rFonts w:ascii="Open Sans" w:eastAsia="MS Mincho" w:hAnsi="Open Sans"/>
    </w:rPr>
  </w:style>
  <w:style w:type="paragraph" w:styleId="CommentSubject">
    <w:name w:val="annotation subject"/>
    <w:basedOn w:val="CommentText"/>
    <w:next w:val="CommentText"/>
    <w:link w:val="CommentSubjectChar"/>
    <w:uiPriority w:val="99"/>
    <w:rsid w:val="00045C4B"/>
    <w:rPr>
      <w:b/>
      <w:bCs/>
    </w:rPr>
  </w:style>
  <w:style w:type="character" w:customStyle="1" w:styleId="CommentSubjectChar">
    <w:name w:val="Comment Subject Char"/>
    <w:link w:val="CommentSubject"/>
    <w:uiPriority w:val="99"/>
    <w:rsid w:val="00045C4B"/>
    <w:rPr>
      <w:rFonts w:ascii="Open Sans" w:eastAsia="MS Mincho" w:hAnsi="Open Sans"/>
      <w:b/>
      <w:bCs/>
    </w:rPr>
  </w:style>
  <w:style w:type="paragraph" w:styleId="DocumentMap">
    <w:name w:val="Document Map"/>
    <w:basedOn w:val="Normal"/>
    <w:link w:val="DocumentMapChar"/>
    <w:rsid w:val="00045C4B"/>
    <w:rPr>
      <w:rFonts w:cs="Segoe UI"/>
      <w:sz w:val="16"/>
      <w:szCs w:val="16"/>
    </w:rPr>
  </w:style>
  <w:style w:type="character" w:customStyle="1" w:styleId="DocumentMapChar">
    <w:name w:val="Document Map Char"/>
    <w:link w:val="DocumentMap"/>
    <w:rsid w:val="00045C4B"/>
    <w:rPr>
      <w:rFonts w:ascii="Open Sans" w:eastAsia="MS Mincho" w:hAnsi="Open Sans"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eastAsia="MS Mincho" w:hAnsi="Open Sans" w:cs="Courier New"/>
    </w:rPr>
  </w:style>
  <w:style w:type="character" w:customStyle="1" w:styleId="MacroTextChar">
    <w:name w:val="Macro Text Char"/>
    <w:link w:val="MacroText"/>
    <w:rsid w:val="005C2ECF"/>
    <w:rPr>
      <w:rFonts w:ascii="Open Sans" w:eastAsia="MS Mincho" w:hAnsi="Open Sans"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link w:val="NoSpacingChar"/>
    <w:uiPriority w:val="1"/>
    <w:qFormat/>
    <w:rsid w:val="00471BB7"/>
    <w:rPr>
      <w:rFonts w:ascii="Open Sans" w:eastAsia="MS Mincho" w:hAnsi="Open Sans"/>
      <w:sz w:val="24"/>
      <w:szCs w:val="24"/>
    </w:rPr>
  </w:style>
  <w:style w:type="character" w:styleId="SubtleEmphasis">
    <w:name w:val="Subtle Emphasis"/>
    <w:uiPriority w:val="19"/>
    <w:qFormat/>
    <w:locked/>
    <w:rsid w:val="00471BB7"/>
    <w:rPr>
      <w:rFonts w:ascii="Open Sans" w:hAnsi="Open Sans"/>
      <w:i w:val="0"/>
      <w:iCs/>
      <w:color w:val="auto"/>
      <w:sz w:val="24"/>
    </w:rPr>
  </w:style>
  <w:style w:type="character" w:styleId="IntenseEmphasis">
    <w:name w:val="Intense Emphasis"/>
    <w:uiPriority w:val="21"/>
    <w:qFormat/>
    <w:locked/>
    <w:rsid w:val="00471BB7"/>
    <w:rPr>
      <w:rFonts w:ascii="Open Sans" w:hAnsi="Open Sans"/>
      <w:i w:val="0"/>
      <w:iCs/>
      <w:color w:val="auto"/>
    </w:rPr>
  </w:style>
  <w:style w:type="paragraph" w:styleId="Quote">
    <w:name w:val="Quote"/>
    <w:basedOn w:val="Normal"/>
    <w:next w:val="Normal"/>
    <w:link w:val="QuoteChar"/>
    <w:qFormat/>
    <w:rsid w:val="000C5DA6"/>
    <w:pPr>
      <w:spacing w:before="200" w:after="160"/>
      <w:ind w:left="1440"/>
    </w:pPr>
    <w:rPr>
      <w:iCs/>
      <w:sz w:val="22"/>
    </w:rPr>
  </w:style>
  <w:style w:type="character" w:customStyle="1" w:styleId="QuoteChar">
    <w:name w:val="Quote Char"/>
    <w:link w:val="Quote"/>
    <w:rsid w:val="000C5DA6"/>
    <w:rPr>
      <w:rFonts w:ascii="Open Sans" w:eastAsia="MS Mincho" w:hAnsi="Open Sans"/>
      <w:iCs/>
      <w:sz w:val="22"/>
      <w:szCs w:val="24"/>
    </w:rPr>
  </w:style>
  <w:style w:type="paragraph" w:styleId="IntenseQuote">
    <w:name w:val="Intense Quote"/>
    <w:basedOn w:val="Normal"/>
    <w:next w:val="Normal"/>
    <w:link w:val="IntenseQuoteChar"/>
    <w:uiPriority w:val="30"/>
    <w:locked/>
    <w:rsid w:val="00471BB7"/>
    <w:pPr>
      <w:pBdr>
        <w:top w:val="single" w:sz="4" w:space="10" w:color="4472C4"/>
        <w:bottom w:val="single" w:sz="4" w:space="10" w:color="4472C4"/>
      </w:pBdr>
      <w:spacing w:before="360" w:after="360"/>
      <w:ind w:left="864" w:right="864"/>
      <w:jc w:val="center"/>
    </w:pPr>
    <w:rPr>
      <w:iCs/>
    </w:rPr>
  </w:style>
  <w:style w:type="character" w:customStyle="1" w:styleId="IntenseQuoteChar">
    <w:name w:val="Intense Quote Char"/>
    <w:link w:val="IntenseQuote"/>
    <w:uiPriority w:val="30"/>
    <w:rsid w:val="00471BB7"/>
    <w:rPr>
      <w:rFonts w:ascii="Open Sans" w:eastAsia="MS Mincho" w:hAnsi="Open Sans"/>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basedOn w:val="Normal"/>
    <w:link w:val="ListParagraphChar"/>
    <w:uiPriority w:val="1"/>
    <w:qFormat/>
    <w:locked/>
    <w:rsid w:val="00471BB7"/>
    <w:pPr>
      <w:ind w:left="720"/>
    </w:pPr>
  </w:style>
  <w:style w:type="paragraph" w:styleId="Bibliography">
    <w:name w:val="Bibliography"/>
    <w:basedOn w:val="Normal"/>
    <w:next w:val="Normal"/>
    <w:uiPriority w:val="37"/>
    <w:semiHidden/>
    <w:unhideWhenUsed/>
    <w:rsid w:val="00471BB7"/>
  </w:style>
  <w:style w:type="character" w:customStyle="1" w:styleId="Hashtag1">
    <w:name w:val="Hashtag1"/>
    <w:uiPriority w:val="99"/>
    <w:semiHidden/>
    <w:unhideWhenUsed/>
    <w:locked/>
    <w:rsid w:val="00471BB7"/>
    <w:rPr>
      <w:rFonts w:ascii="Open Sans" w:hAnsi="Open Sans"/>
      <w:color w:val="2B579A"/>
      <w:shd w:val="clear" w:color="auto" w:fill="E6E6E6"/>
    </w:rPr>
  </w:style>
  <w:style w:type="character" w:customStyle="1" w:styleId="Mention1">
    <w:name w:val="Mention1"/>
    <w:uiPriority w:val="99"/>
    <w:semiHidden/>
    <w:unhideWhenUsed/>
    <w:locked/>
    <w:rsid w:val="00471BB7"/>
    <w:rPr>
      <w:rFonts w:ascii="Open Sans" w:hAnsi="Open Sans"/>
      <w:color w:val="auto"/>
      <w:shd w:val="clear" w:color="auto" w:fill="E6E6E6"/>
    </w:rPr>
  </w:style>
  <w:style w:type="character" w:customStyle="1" w:styleId="SmartHyperlink1">
    <w:name w:val="Smart Hyperlink1"/>
    <w:uiPriority w:val="99"/>
    <w:semiHidden/>
    <w:unhideWhenUsed/>
    <w:locked/>
    <w:rsid w:val="00471BB7"/>
    <w:rPr>
      <w:rFonts w:ascii="Open Sans" w:hAnsi="Open Sans"/>
      <w:u w:val="dotted"/>
    </w:rPr>
  </w:style>
  <w:style w:type="character" w:customStyle="1" w:styleId="UnresolvedMention1">
    <w:name w:val="Unresolved Mention1"/>
    <w:uiPriority w:val="99"/>
    <w:semiHidden/>
    <w:unhideWhenUsed/>
    <w:locked/>
    <w:rsid w:val="00471BB7"/>
    <w:rPr>
      <w:rFonts w:ascii="Open Sans" w:hAnsi="Open Sans"/>
      <w:color w:val="auto"/>
      <w:shd w:val="clear" w:color="auto" w:fill="E6E6E6"/>
    </w:rPr>
  </w:style>
  <w:style w:type="character" w:customStyle="1" w:styleId="Reporttitleinheader">
    <w:name w:val="Report title in header"/>
    <w:uiPriority w:val="1"/>
    <w:qFormat/>
    <w:rsid w:val="001F62CC"/>
    <w:rPr>
      <w:rFonts w:ascii="Open Sans" w:hAnsi="Open Sans"/>
      <w:b/>
      <w:noProof/>
      <w:sz w:val="18"/>
    </w:rPr>
  </w:style>
  <w:style w:type="paragraph" w:customStyle="1" w:styleId="HeaderDocumentDate">
    <w:name w:val="Header Document Date"/>
    <w:basedOn w:val="Footer"/>
    <w:qFormat/>
    <w:rsid w:val="002850B0"/>
    <w:pPr>
      <w:jc w:val="right"/>
    </w:pPr>
  </w:style>
  <w:style w:type="paragraph" w:customStyle="1" w:styleId="FooterEvenPageNumber">
    <w:name w:val="Footer Even Page Number"/>
    <w:basedOn w:val="Footer"/>
    <w:rsid w:val="00E53546"/>
  </w:style>
  <w:style w:type="paragraph" w:customStyle="1" w:styleId="FooterOddPageNumber">
    <w:name w:val="Footer Odd Page Number"/>
    <w:basedOn w:val="Footer"/>
    <w:rsid w:val="00E53546"/>
    <w:pPr>
      <w:jc w:val="right"/>
    </w:pPr>
  </w:style>
  <w:style w:type="paragraph" w:customStyle="1" w:styleId="Default">
    <w:name w:val="Default"/>
    <w:rsid w:val="00FD6475"/>
    <w:pPr>
      <w:autoSpaceDE w:val="0"/>
      <w:autoSpaceDN w:val="0"/>
      <w:adjustRightInd w:val="0"/>
    </w:pPr>
    <w:rPr>
      <w:rFonts w:ascii="Open Sans" w:hAnsi="Open Sans" w:cs="Open Sans"/>
      <w:color w:val="000000"/>
      <w:sz w:val="24"/>
      <w:szCs w:val="24"/>
    </w:rPr>
  </w:style>
  <w:style w:type="numbering" w:customStyle="1" w:styleId="Style1">
    <w:name w:val="Style1"/>
    <w:uiPriority w:val="99"/>
    <w:rsid w:val="0025176E"/>
    <w:pPr>
      <w:numPr>
        <w:numId w:val="16"/>
      </w:numPr>
    </w:pPr>
  </w:style>
  <w:style w:type="numbering" w:customStyle="1" w:styleId="AHRCReportHeadings">
    <w:name w:val="AHRC Report Headings"/>
    <w:uiPriority w:val="99"/>
    <w:rsid w:val="00592D1C"/>
    <w:pPr>
      <w:numPr>
        <w:numId w:val="17"/>
      </w:numPr>
    </w:pPr>
  </w:style>
  <w:style w:type="paragraph" w:customStyle="1" w:styleId="Reportplaintext">
    <w:name w:val="Report plain text"/>
    <w:basedOn w:val="Normal"/>
    <w:link w:val="ReportplaintextChar"/>
    <w:rsid w:val="00691E8A"/>
  </w:style>
  <w:style w:type="paragraph" w:customStyle="1" w:styleId="AHRCHeading4">
    <w:name w:val="AHRC Heading 4"/>
    <w:basedOn w:val="Heading4"/>
    <w:link w:val="AHRCHeading4Char"/>
    <w:qFormat/>
    <w:rsid w:val="00CF66B5"/>
    <w:rPr>
      <w:i w:val="0"/>
      <w:iCs w:val="0"/>
    </w:rPr>
  </w:style>
  <w:style w:type="character" w:customStyle="1" w:styleId="ReportplaintextChar">
    <w:name w:val="Report plain text Char"/>
    <w:basedOn w:val="DefaultParagraphFont"/>
    <w:link w:val="Reportplaintext"/>
    <w:rsid w:val="00691E8A"/>
    <w:rPr>
      <w:rFonts w:ascii="Open Sans" w:eastAsia="MS Mincho" w:hAnsi="Open Sans"/>
      <w:sz w:val="24"/>
      <w:szCs w:val="24"/>
    </w:rPr>
  </w:style>
  <w:style w:type="paragraph" w:customStyle="1" w:styleId="AHRCheading5">
    <w:name w:val="AHRC heading 5"/>
    <w:basedOn w:val="ListParagraph"/>
    <w:link w:val="AHRCheading5Char"/>
    <w:qFormat/>
    <w:rsid w:val="00CF66B5"/>
    <w:pPr>
      <w:numPr>
        <w:ilvl w:val="4"/>
        <w:numId w:val="18"/>
      </w:numPr>
      <w:tabs>
        <w:tab w:val="clear" w:pos="0"/>
        <w:tab w:val="left" w:pos="851"/>
      </w:tabs>
    </w:pPr>
  </w:style>
  <w:style w:type="character" w:customStyle="1" w:styleId="AHRCHeading4Char">
    <w:name w:val="AHRC Heading 4 Char"/>
    <w:basedOn w:val="Heading4Char"/>
    <w:link w:val="AHRCHeading4"/>
    <w:rsid w:val="00CF66B5"/>
    <w:rPr>
      <w:rFonts w:ascii="Open Sans" w:eastAsia="MS Mincho" w:hAnsi="Open Sans"/>
      <w:i w:val="0"/>
      <w:iCs w:val="0"/>
      <w:sz w:val="24"/>
      <w:szCs w:val="26"/>
    </w:rPr>
  </w:style>
  <w:style w:type="paragraph" w:customStyle="1" w:styleId="AHRCHeading1">
    <w:name w:val="AHRC Heading 1"/>
    <w:basedOn w:val="Heading1"/>
    <w:link w:val="AHRCHeading1Char"/>
    <w:qFormat/>
    <w:rsid w:val="00321095"/>
  </w:style>
  <w:style w:type="character" w:customStyle="1" w:styleId="ListParagraphChar">
    <w:name w:val="List Paragraph Char"/>
    <w:basedOn w:val="DefaultParagraphFont"/>
    <w:link w:val="ListParagraph"/>
    <w:uiPriority w:val="34"/>
    <w:rsid w:val="00321095"/>
    <w:rPr>
      <w:rFonts w:ascii="Open Sans" w:eastAsia="MS Mincho" w:hAnsi="Open Sans"/>
      <w:sz w:val="24"/>
      <w:szCs w:val="24"/>
    </w:rPr>
  </w:style>
  <w:style w:type="character" w:customStyle="1" w:styleId="AHRCheading5Char">
    <w:name w:val="AHRC heading 5 Char"/>
    <w:basedOn w:val="ListParagraphChar"/>
    <w:link w:val="AHRCheading5"/>
    <w:rsid w:val="00CF66B5"/>
    <w:rPr>
      <w:rFonts w:ascii="Open Sans" w:eastAsia="MS Mincho" w:hAnsi="Open Sans"/>
      <w:sz w:val="24"/>
      <w:szCs w:val="24"/>
    </w:rPr>
  </w:style>
  <w:style w:type="paragraph" w:customStyle="1" w:styleId="AHRCHeading2">
    <w:name w:val="AHRC Heading 2"/>
    <w:basedOn w:val="Heading2"/>
    <w:link w:val="AHRCHeading2Char"/>
    <w:qFormat/>
    <w:rsid w:val="000534AC"/>
    <w:rPr>
      <w:sz w:val="28"/>
    </w:rPr>
  </w:style>
  <w:style w:type="character" w:customStyle="1" w:styleId="AHRCHeading1Char">
    <w:name w:val="AHRC Heading 1 Char"/>
    <w:basedOn w:val="Heading1Char"/>
    <w:link w:val="AHRCHeading1"/>
    <w:rsid w:val="00321095"/>
    <w:rPr>
      <w:rFonts w:ascii="Open Sans" w:eastAsia="MS Mincho" w:hAnsi="Open Sans"/>
      <w:b/>
      <w:bCs/>
      <w:sz w:val="36"/>
      <w:szCs w:val="28"/>
    </w:rPr>
  </w:style>
  <w:style w:type="paragraph" w:customStyle="1" w:styleId="AHRCHeading3">
    <w:name w:val="AHRC Heading 3"/>
    <w:basedOn w:val="Heading3"/>
    <w:link w:val="AHRCHeading3Char"/>
    <w:qFormat/>
    <w:rsid w:val="00321095"/>
  </w:style>
  <w:style w:type="character" w:customStyle="1" w:styleId="AHRCHeading2Char">
    <w:name w:val="AHRC Heading 2 Char"/>
    <w:basedOn w:val="Heading2Char"/>
    <w:link w:val="AHRCHeading2"/>
    <w:rsid w:val="000534AC"/>
    <w:rPr>
      <w:rFonts w:ascii="Open Sans" w:eastAsia="MS Mincho" w:hAnsi="Open Sans"/>
      <w:b/>
      <w:sz w:val="28"/>
      <w:szCs w:val="26"/>
    </w:rPr>
  </w:style>
  <w:style w:type="character" w:styleId="UnresolvedMention">
    <w:name w:val="Unresolved Mention"/>
    <w:basedOn w:val="DefaultParagraphFont"/>
    <w:uiPriority w:val="99"/>
    <w:semiHidden/>
    <w:unhideWhenUsed/>
    <w:rsid w:val="003026A0"/>
    <w:rPr>
      <w:color w:val="605E5C"/>
      <w:shd w:val="clear" w:color="auto" w:fill="E1DFDD"/>
    </w:rPr>
  </w:style>
  <w:style w:type="character" w:customStyle="1" w:styleId="AHRCHeading3Char">
    <w:name w:val="AHRC Heading 3 Char"/>
    <w:basedOn w:val="Heading3Char"/>
    <w:link w:val="AHRCHeading3"/>
    <w:rsid w:val="00321095"/>
    <w:rPr>
      <w:rFonts w:ascii="Open Sans" w:eastAsia="MS Mincho" w:hAnsi="Open Sans"/>
      <w:bCs/>
      <w:sz w:val="24"/>
      <w:szCs w:val="26"/>
    </w:rPr>
  </w:style>
  <w:style w:type="paragraph" w:customStyle="1" w:styleId="Blockquote">
    <w:name w:val="Block quote"/>
    <w:basedOn w:val="Normal"/>
    <w:link w:val="BlockquoteChar"/>
    <w:qFormat/>
    <w:rsid w:val="008A7EFF"/>
    <w:pPr>
      <w:spacing w:after="0"/>
      <w:ind w:left="1090" w:right="3"/>
    </w:pPr>
  </w:style>
  <w:style w:type="character" w:customStyle="1" w:styleId="BlockquoteChar">
    <w:name w:val="Block quote Char"/>
    <w:basedOn w:val="DefaultParagraphFont"/>
    <w:link w:val="Blockquote"/>
    <w:rsid w:val="008A7EFF"/>
    <w:rPr>
      <w:rFonts w:ascii="Open Sans" w:eastAsia="MS Mincho" w:hAnsi="Open Sans"/>
      <w:sz w:val="24"/>
      <w:szCs w:val="24"/>
    </w:rPr>
  </w:style>
  <w:style w:type="paragraph" w:customStyle="1" w:styleId="AHRCImagecaption">
    <w:name w:val="AHRC Image caption"/>
    <w:basedOn w:val="Normal"/>
    <w:link w:val="AHRCImagecaptionChar"/>
    <w:qFormat/>
    <w:rsid w:val="00A51C1D"/>
    <w:rPr>
      <w:sz w:val="18"/>
      <w:szCs w:val="18"/>
    </w:rPr>
  </w:style>
  <w:style w:type="paragraph" w:customStyle="1" w:styleId="AHRCEndnotes">
    <w:name w:val="AHRC Endnotes"/>
    <w:basedOn w:val="NoSpacing"/>
    <w:link w:val="AHRCEndnotesChar"/>
    <w:qFormat/>
    <w:rsid w:val="00DD604A"/>
    <w:pPr>
      <w:widowControl w:val="0"/>
      <w:numPr>
        <w:numId w:val="19"/>
      </w:numPr>
      <w:autoSpaceDE w:val="0"/>
      <w:autoSpaceDN w:val="0"/>
    </w:pPr>
    <w:rPr>
      <w:sz w:val="20"/>
      <w:szCs w:val="20"/>
    </w:rPr>
  </w:style>
  <w:style w:type="character" w:customStyle="1" w:styleId="AHRCImagecaptionChar">
    <w:name w:val="AHRC Image caption Char"/>
    <w:basedOn w:val="DefaultParagraphFont"/>
    <w:link w:val="AHRCImagecaption"/>
    <w:rsid w:val="00A51C1D"/>
    <w:rPr>
      <w:rFonts w:ascii="Open Sans" w:eastAsia="MS Mincho" w:hAnsi="Open Sans"/>
      <w:sz w:val="18"/>
      <w:szCs w:val="18"/>
    </w:rPr>
  </w:style>
  <w:style w:type="character" w:customStyle="1" w:styleId="NoSpacingChar">
    <w:name w:val="No Spacing Char"/>
    <w:basedOn w:val="DefaultParagraphFont"/>
    <w:link w:val="NoSpacing"/>
    <w:uiPriority w:val="1"/>
    <w:rsid w:val="00DD604A"/>
    <w:rPr>
      <w:rFonts w:ascii="Open Sans" w:eastAsia="MS Mincho" w:hAnsi="Open Sans"/>
      <w:sz w:val="24"/>
      <w:szCs w:val="24"/>
    </w:rPr>
  </w:style>
  <w:style w:type="character" w:customStyle="1" w:styleId="AHRCEndnotesChar">
    <w:name w:val="AHRC Endnotes Char"/>
    <w:basedOn w:val="NoSpacingChar"/>
    <w:link w:val="AHRCEndnotes"/>
    <w:rsid w:val="00DD604A"/>
    <w:rPr>
      <w:rFonts w:ascii="Open Sans" w:eastAsia="MS Mincho" w:hAnsi="Open Sans"/>
      <w:sz w:val="24"/>
      <w:szCs w:val="24"/>
    </w:rPr>
  </w:style>
  <w:style w:type="character" w:customStyle="1" w:styleId="TitleChar">
    <w:name w:val="Title Char"/>
    <w:basedOn w:val="DefaultParagraphFont"/>
    <w:link w:val="Title"/>
    <w:uiPriority w:val="10"/>
    <w:rsid w:val="003608E3"/>
    <w:rPr>
      <w:rFonts w:ascii="Open Sans" w:eastAsia="MS Mincho" w:hAnsi="Open Sans" w:cs="Arial"/>
      <w:b/>
      <w:bCs/>
      <w:kern w:val="28"/>
      <w:sz w:val="32"/>
      <w:szCs w:val="32"/>
    </w:rPr>
  </w:style>
  <w:style w:type="paragraph" w:styleId="FootnoteText">
    <w:name w:val="footnote text"/>
    <w:basedOn w:val="Normal"/>
    <w:link w:val="FootnoteTextChar"/>
    <w:uiPriority w:val="99"/>
    <w:unhideWhenUsed/>
    <w:locked/>
    <w:rsid w:val="003608E3"/>
    <w:pPr>
      <w:spacing w:before="0" w:after="0"/>
      <w:ind w:left="284" w:hanging="284"/>
    </w:pPr>
    <w:rPr>
      <w:rFonts w:asciiTheme="minorHAnsi" w:eastAsiaTheme="minorHAnsi" w:hAnsiTheme="minorHAnsi" w:cstheme="minorBidi"/>
      <w:sz w:val="20"/>
      <w:szCs w:val="20"/>
      <w:lang w:val="en-GB" w:eastAsia="en-US"/>
    </w:rPr>
  </w:style>
  <w:style w:type="character" w:customStyle="1" w:styleId="FootnoteTextChar">
    <w:name w:val="Footnote Text Char"/>
    <w:basedOn w:val="DefaultParagraphFont"/>
    <w:link w:val="FootnoteText"/>
    <w:uiPriority w:val="99"/>
    <w:rsid w:val="003608E3"/>
    <w:rPr>
      <w:rFonts w:asciiTheme="minorHAnsi" w:eastAsiaTheme="minorHAnsi" w:hAnsiTheme="minorHAnsi" w:cstheme="minorBidi"/>
      <w:lang w:val="en-GB" w:eastAsia="en-US"/>
    </w:rPr>
  </w:style>
  <w:style w:type="character" w:styleId="FootnoteReference">
    <w:name w:val="footnote reference"/>
    <w:basedOn w:val="DefaultParagraphFont"/>
    <w:uiPriority w:val="99"/>
    <w:unhideWhenUsed/>
    <w:locked/>
    <w:rsid w:val="003608E3"/>
    <w:rPr>
      <w:vertAlign w:val="superscript"/>
    </w:rPr>
  </w:style>
  <w:style w:type="paragraph" w:styleId="Revision">
    <w:name w:val="Revision"/>
    <w:hidden/>
    <w:uiPriority w:val="99"/>
    <w:semiHidden/>
    <w:rsid w:val="003608E3"/>
    <w:pPr>
      <w:ind w:left="284" w:hanging="284"/>
    </w:pPr>
    <w:rPr>
      <w:rFonts w:asciiTheme="minorHAnsi" w:eastAsiaTheme="minorHAnsi" w:hAnsiTheme="minorHAnsi" w:cstheme="minorBidi"/>
      <w:sz w:val="22"/>
      <w:szCs w:val="22"/>
      <w:lang w:val="en-GB" w:eastAsia="en-US"/>
    </w:rPr>
  </w:style>
  <w:style w:type="paragraph" w:customStyle="1" w:styleId="NumberedParagraph">
    <w:name w:val="Numbered Paragraph"/>
    <w:basedOn w:val="Normal"/>
    <w:qFormat/>
    <w:rsid w:val="003608E3"/>
    <w:pPr>
      <w:tabs>
        <w:tab w:val="num" w:pos="720"/>
      </w:tabs>
      <w:ind w:left="720" w:hanging="720"/>
    </w:pPr>
    <w:rPr>
      <w:rFonts w:eastAsia="Times New Roman" w:cs="Open Sans"/>
      <w:spacing w:val="-5"/>
      <w:lang w:eastAsia="en-US"/>
    </w:rPr>
  </w:style>
  <w:style w:type="paragraph" w:customStyle="1" w:styleId="ListLevel1">
    <w:name w:val="List Level 1"/>
    <w:basedOn w:val="ListParagraph"/>
    <w:qFormat/>
    <w:rsid w:val="003608E3"/>
    <w:pPr>
      <w:widowControl w:val="0"/>
      <w:numPr>
        <w:numId w:val="23"/>
      </w:numPr>
      <w:tabs>
        <w:tab w:val="left" w:pos="797"/>
        <w:tab w:val="left" w:pos="798"/>
      </w:tabs>
      <w:autoSpaceDE w:val="0"/>
      <w:autoSpaceDN w:val="0"/>
      <w:spacing w:line="300" w:lineRule="exact"/>
    </w:pPr>
    <w:rPr>
      <w:rFonts w:eastAsia="Times New Roman" w:cs="Open Sans"/>
      <w:szCs w:val="20"/>
      <w:lang w:eastAsia="en-US"/>
    </w:rPr>
  </w:style>
  <w:style w:type="paragraph" w:customStyle="1" w:styleId="ListLevel2">
    <w:name w:val="List Level 2"/>
    <w:basedOn w:val="ListLevel1"/>
    <w:qFormat/>
    <w:rsid w:val="003608E3"/>
    <w:pPr>
      <w:numPr>
        <w:ilvl w:val="1"/>
      </w:numPr>
      <w:tabs>
        <w:tab w:val="clear" w:pos="797"/>
        <w:tab w:val="clear" w:pos="798"/>
        <w:tab w:val="num" w:pos="360"/>
        <w:tab w:val="left" w:pos="1276"/>
      </w:tabs>
    </w:pPr>
  </w:style>
  <w:style w:type="character" w:customStyle="1" w:styleId="A17">
    <w:name w:val="A17"/>
    <w:uiPriority w:val="99"/>
    <w:rsid w:val="003608E3"/>
    <w:rPr>
      <w:rFonts w:cs="Open Sans"/>
      <w:color w:val="000000"/>
      <w:sz w:val="8"/>
      <w:szCs w:val="8"/>
    </w:rPr>
  </w:style>
  <w:style w:type="paragraph" w:customStyle="1" w:styleId="paragraph">
    <w:name w:val="paragraph"/>
    <w:basedOn w:val="Normal"/>
    <w:rsid w:val="003608E3"/>
    <w:pPr>
      <w:spacing w:before="100" w:beforeAutospacing="1" w:after="100" w:afterAutospacing="1"/>
      <w:ind w:left="284" w:hanging="284"/>
    </w:pPr>
    <w:rPr>
      <w:rFonts w:ascii="Times New Roman" w:eastAsia="Times New Roman" w:hAnsi="Times New Roman"/>
    </w:rPr>
  </w:style>
  <w:style w:type="character" w:customStyle="1" w:styleId="normaltextrun">
    <w:name w:val="normaltextrun"/>
    <w:basedOn w:val="DefaultParagraphFont"/>
    <w:rsid w:val="003608E3"/>
  </w:style>
  <w:style w:type="character" w:customStyle="1" w:styleId="eop">
    <w:name w:val="eop"/>
    <w:basedOn w:val="DefaultParagraphFont"/>
    <w:rsid w:val="003608E3"/>
  </w:style>
  <w:style w:type="character" w:customStyle="1" w:styleId="superscript">
    <w:name w:val="superscript"/>
    <w:basedOn w:val="DefaultParagraphFont"/>
    <w:rsid w:val="00360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3.xml"/></Relationships>
</file>

<file path=word/_rels/endnotes.xml.rels><?xml version="1.0" encoding="UTF-8" standalone="yes"?>
<Relationships xmlns="http://schemas.openxmlformats.org/package/2006/relationships"><Relationship Id="rId1" Type="http://schemas.openxmlformats.org/officeDocument/2006/relationships/hyperlink" Target="http://www.border.gov.au/ReportsandPublications/Documents/reviews-and-inquiries/independent-review-incidents-christmas-island-villawood-full.pdf#search=hawke%20williams%20re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australianhrc.sharepoint.com/sites/intranet/AHRCTemplateHub/Commission/AHRC%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58FDF5B15A5C74091762EB145641BD2" ma:contentTypeVersion="933" ma:contentTypeDescription="Create a new document." ma:contentTypeScope="" ma:versionID="24e408e43e503ee034f4864087d272c3">
  <xsd:schema xmlns:xsd="http://www.w3.org/2001/XMLSchema" xmlns:xs="http://www.w3.org/2001/XMLSchema" xmlns:p="http://schemas.microsoft.com/office/2006/metadata/properties" xmlns:ns2="0544bb73-b9b2-4315-b463-f353efb89b0b" xmlns:ns3="6500fe01-343b-4fb9-a1b0-68ac19d62e01" xmlns:ns4="57f1fb52-79b9-4278-9d54-1e5db41bfcda" xmlns:ns5="ccf9782b-c747-4be8-886f-341168625564" targetNamespace="http://schemas.microsoft.com/office/2006/metadata/properties" ma:root="true" ma:fieldsID="bbfd1e4bed3832449d53dea8463e314f" ns2:_="" ns3:_="" ns4:_="" ns5:_="">
    <xsd:import namespace="0544bb73-b9b2-4315-b463-f353efb89b0b"/>
    <xsd:import namespace="6500fe01-343b-4fb9-a1b0-68ac19d62e01"/>
    <xsd:import namespace="57f1fb52-79b9-4278-9d54-1e5db41bfcda"/>
    <xsd:import namespace="ccf9782b-c747-4be8-886f-341168625564"/>
    <xsd:element name="properties">
      <xsd:complexType>
        <xsd:sequence>
          <xsd:element name="documentManagement">
            <xsd:complexType>
              <xsd:all>
                <xsd:element ref="ns2:Report_x0020_No_x002e_" minOccurs="0"/>
                <xsd:element ref="ns3:Divider" minOccurs="0"/>
                <xsd:element ref="ns4:Subdivider" minOccurs="0"/>
                <xsd:element ref="ns3:TaxCatchAll" minOccurs="0"/>
                <xsd:element ref="ns3:TaxCatchAllLabel" minOccurs="0"/>
                <xsd:element ref="ns3:_dlc_DocId" minOccurs="0"/>
                <xsd:element ref="ns3:_dlc_DocIdUrl" minOccurs="0"/>
                <xsd:element ref="ns3:_dlc_DocIdPersistId"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4:SharedWithUsers" minOccurs="0"/>
                <xsd:element ref="ns4:SharedWithDetails" minOccurs="0"/>
                <xsd:element ref="ns3:TaxKeywordTaxHTField" minOccurs="0"/>
                <xsd:element ref="ns2:Tabled" minOccurs="0"/>
                <xsd:element ref="ns2:Reportstatus" minOccurs="0"/>
                <xsd:element ref="ns2:PublishedonAHRCwebsite" minOccurs="0"/>
                <xsd:element ref="ns2:Transmissiondate" minOccurs="0"/>
                <xsd:element ref="ns2:Tablingdate" minOccurs="0"/>
                <xsd:element ref="ns2:MediaServiceAutoKeyPoints" minOccurs="0"/>
                <xsd:element ref="ns2:MediaServiceKeyPoints" minOccurs="0"/>
                <xsd:element ref="ns2:Reportsubject" minOccurs="0"/>
                <xsd:element ref="ns2:Subject_x0020_descrip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4bb73-b9b2-4315-b463-f353efb89b0b" elementFormDefault="qualified">
    <xsd:import namespace="http://schemas.microsoft.com/office/2006/documentManagement/types"/>
    <xsd:import namespace="http://schemas.microsoft.com/office/infopath/2007/PartnerControls"/>
    <xsd:element name="Report_x0020_No_x002e_" ma:index="1" nillable="true" ma:displayName="Report No." ma:internalName="Report_x0020_No_x002e_">
      <xsd:simpleType>
        <xsd:restriction base="dms:Number"/>
      </xsd:simpleType>
    </xsd:element>
    <xsd:element name="Tabled" ma:index="28" nillable="true" ma:displayName="Tabled" ma:format="Dropdown" ma:internalName="Tabled">
      <xsd:simpleType>
        <xsd:restriction base="dms:Choice">
          <xsd:enumeration value="Yes"/>
          <xsd:enumeration value="No - new act"/>
          <xsd:enumeration value="Pending"/>
        </xsd:restriction>
      </xsd:simpleType>
    </xsd:element>
    <xsd:element name="Reportstatus" ma:index="29" nillable="true" ma:displayName="Report status" ma:format="Dropdown" ma:indexed="true" ma:internalName="Reportstatus">
      <xsd:simpleType>
        <xsd:restriction base="dms:Choice">
          <xsd:enumeration value="Approval from President"/>
          <xsd:enumeration value="Received final proof from desktopper"/>
          <xsd:enumeration value="Sent to printer"/>
          <xsd:enumeration value="Transmitted to Attorney-General"/>
        </xsd:restriction>
      </xsd:simpleType>
    </xsd:element>
    <xsd:element name="PublishedonAHRCwebsite" ma:index="30" nillable="true" ma:displayName="Published on AHRC website" ma:default="1" ma:format="Dropdown" ma:internalName="PublishedonAHRCwebsite">
      <xsd:simpleType>
        <xsd:restriction base="dms:Boolean"/>
      </xsd:simpleType>
    </xsd:element>
    <xsd:element name="Transmissiondate" ma:index="31" nillable="true" ma:displayName="Transmission date" ma:format="DateOnly" ma:internalName="Transmissiondate">
      <xsd:simpleType>
        <xsd:restriction base="dms:DateTime"/>
      </xsd:simpleType>
    </xsd:element>
    <xsd:element name="Tablingdate" ma:index="32" nillable="true" ma:displayName="Tabling date" ma:format="DateOnly" ma:internalName="Tablingdate">
      <xsd:simpleType>
        <xsd:restriction base="dms:DateTim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Reportsubject" ma:index="36" nillable="true" ma:displayName="Report subject " ma:format="Dropdown" ma:internalName="Reportsubject">
      <xsd:complexType>
        <xsd:complexContent>
          <xsd:extension base="dms:MultiChoiceFillIn">
            <xsd:sequence>
              <xsd:element name="Value" maxOccurs="unbounded" minOccurs="0" nillable="true">
                <xsd:simpleType>
                  <xsd:union memberTypes="dms:Text">
                    <xsd:simpleType>
                      <xsd:restriction base="dms:Choice">
                        <xsd:enumeration value="ICCPR Art 1"/>
                        <xsd:enumeration value="ICCPR Art 2"/>
                        <xsd:enumeration value="ICCPR Art 3"/>
                        <xsd:enumeration value="ICCPR Art 4"/>
                        <xsd:enumeration value="ICCPR Art 5"/>
                        <xsd:enumeration value="ICCPR Art 6"/>
                        <xsd:enumeration value="ICCPR Art 7"/>
                        <xsd:enumeration value="ICCPR Art 8"/>
                        <xsd:enumeration value="ICCPR Art 9"/>
                        <xsd:enumeration value="ICCPR Art 10"/>
                        <xsd:enumeration value="ICCPR Art 11"/>
                        <xsd:enumeration value="ICCPR Art 12"/>
                        <xsd:enumeration value="ICCPR Art 13"/>
                        <xsd:enumeration value="ICCPR Art 14"/>
                        <xsd:enumeration value="ICCPR Art 15"/>
                        <xsd:enumeration value="ICCPR Art 16"/>
                        <xsd:enumeration value="ICCPR Art 17"/>
                        <xsd:enumeration value="ICCPR Art 18"/>
                        <xsd:enumeration value="ICCPR Art 19"/>
                        <xsd:enumeration value="ICCPR Art 20"/>
                        <xsd:enumeration value="ICCPR Art 21"/>
                        <xsd:enumeration value="ICCPR Art 22"/>
                        <xsd:enumeration value="ICCPR Art 23"/>
                        <xsd:enumeration value="ICCPR Art 24"/>
                        <xsd:enumeration value="ICCPR Art 25"/>
                        <xsd:enumeration value="ICCPR Art 26"/>
                        <xsd:enumeration value="ICCPR Art 27"/>
                        <xsd:enumeration value="ILO 111 Crim Record"/>
                        <xsd:enumeration value="ILO 111 Political Opinion"/>
                        <xsd:enumeration value="ILO 111 Religion"/>
                        <xsd:enumeration value="ILO 111 Sexual Preference"/>
                        <xsd:enumeration value="ILO 111 Social Origin"/>
                        <xsd:enumeration value="ILO 111 Trade Union"/>
                        <xsd:enumeration value="ILO 111 General"/>
                        <xsd:enumeration value="ILO 111 Disability"/>
                        <xsd:enumeration value="ILO 111 Age"/>
                        <xsd:enumeration value="CRPD"/>
                        <xsd:enumeration value="Religion Declaration"/>
                        <xsd:enumeration value="Other"/>
                        <xsd:enumeration value="CRC"/>
                      </xsd:restriction>
                    </xsd:simpleType>
                  </xsd:union>
                </xsd:simpleType>
              </xsd:element>
            </xsd:sequence>
          </xsd:extension>
        </xsd:complexContent>
      </xsd:complexType>
    </xsd:element>
    <xsd:element name="Subject_x0020_description" ma:index="37" nillable="true" ma:displayName="Subject description" ma:description="Enter a short subject tag eg. arbitrary detention, indefinite detention, use of force" ma:internalName="Subject_x0020_description">
      <xsd:simpleType>
        <xsd:restriction base="dms:Text">
          <xsd:maxLength value="255"/>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Divider" ma:index="2" nillable="true" ma:displayName="Divider" ma:format="Dropdown" ma:internalName="Divider">
      <xsd:simpleType>
        <xsd:union memberTypes="dms:Text">
          <xsd:simpleType>
            <xsd:restriction base="dms:Choice">
              <xsd:enumeration value="-"/>
            </xsd:restriction>
          </xsd:simpleType>
        </xsd:union>
      </xsd:simpleType>
    </xsd:element>
    <xsd:element name="TaxCatchAll" ma:index="6" nillable="true" ma:displayName="Taxonomy Catch All Column" ma:hidden="true" ma:list="{edef69be-0e46-40c7-ae13-0e62df689cd6}" ma:internalName="TaxCatchAll" ma:showField="CatchAllData" ma:web="9ec753ee-f2dc-4e9b-bec0-d0fb1166dd49">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edef69be-0e46-40c7-ae13-0e62df689cd6}" ma:internalName="TaxCatchAllLabel" ma:readOnly="true" ma:showField="CatchAllDataLabel" ma:web="9ec753ee-f2dc-4e9b-bec0-d0fb1166dd4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27"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f1fb52-79b9-4278-9d54-1e5db41bfcda" elementFormDefault="qualified">
    <xsd:import namespace="http://schemas.microsoft.com/office/2006/documentManagement/types"/>
    <xsd:import namespace="http://schemas.microsoft.com/office/infopath/2007/PartnerControls"/>
    <xsd:element name="Subdivider" ma:index="3" nillable="true" ma:displayName="Subdivider" ma:format="Dropdown" ma:internalName="Subdivider">
      <xsd:simpleType>
        <xsd:union memberTypes="dms:Text">
          <xsd:simpleType>
            <xsd:restriction base="dms:Choice">
              <xsd:enumeration value="-"/>
            </xsd:restriction>
          </xsd:simpleType>
        </xsd:unio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f9782b-c747-4be8-886f-341168625564"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ma:index="3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975c5ac6-a0cc-43ed-b850-4a2ae59237b6"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6500fe01-343b-4fb9-a1b0-68ac19d62e01" xsi:nil="true"/>
    <TaxKeywordTaxHTField xmlns="6500fe01-343b-4fb9-a1b0-68ac19d62e01">
      <Terms xmlns="http://schemas.microsoft.com/office/infopath/2007/PartnerControls"/>
    </TaxKeywordTaxHTField>
    <_dlc_DocId xmlns="6500fe01-343b-4fb9-a1b0-68ac19d62e01">DGE6U7RJ2EFV-5382029-11410</_dlc_DocId>
    <_dlc_DocIdUrl xmlns="6500fe01-343b-4fb9-a1b0-68ac19d62e01">
      <Url>https://australianhrc.sharepoint.com/sites/LegalServicesWorkspace/_layouts/15/DocIdRedir.aspx?ID=DGE6U7RJ2EFV-5382029-11410</Url>
      <Description>DGE6U7RJ2EFV-5382029-11410</Description>
    </_dlc_DocIdUrl>
    <Divider xmlns="6500fe01-343b-4fb9-a1b0-68ac19d62e01">Draft report</Divider>
    <Reportstatus xmlns="0544bb73-b9b2-4315-b463-f353efb89b0b" xsi:nil="true"/>
    <Report_x0020_No_x002e_ xmlns="0544bb73-b9b2-4315-b463-f353efb89b0b" xsi:nil="true"/>
    <Reportsubject xmlns="0544bb73-b9b2-4315-b463-f353efb89b0b" xsi:nil="true"/>
    <Subject_x0020_description xmlns="0544bb73-b9b2-4315-b463-f353efb89b0b" xsi:nil="true"/>
    <Tabled xmlns="0544bb73-b9b2-4315-b463-f353efb89b0b" xsi:nil="true"/>
    <PublishedonAHRCwebsite xmlns="0544bb73-b9b2-4315-b463-f353efb89b0b">true</PublishedonAHRCwebsite>
    <Tablingdate xmlns="0544bb73-b9b2-4315-b463-f353efb89b0b" xsi:nil="true"/>
    <Subdivider xmlns="57f1fb52-79b9-4278-9d54-1e5db41bfcda" xsi:nil="true"/>
    <Transmissiondate xmlns="0544bb73-b9b2-4315-b463-f353efb89b0b"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473B95D2-846C-4010-968C-95D452DE77A3}">
  <ds:schemaRefs>
    <ds:schemaRef ds:uri="http://schemas.microsoft.com/sharepoint/events"/>
  </ds:schemaRefs>
</ds:datastoreItem>
</file>

<file path=customXml/itemProps2.xml><?xml version="1.0" encoding="utf-8"?>
<ds:datastoreItem xmlns:ds="http://schemas.openxmlformats.org/officeDocument/2006/customXml" ds:itemID="{F4B148FE-328C-47E5-82BD-9F4FAB7A7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4bb73-b9b2-4315-b463-f353efb89b0b"/>
    <ds:schemaRef ds:uri="6500fe01-343b-4fb9-a1b0-68ac19d62e01"/>
    <ds:schemaRef ds:uri="57f1fb52-79b9-4278-9d54-1e5db41bfcda"/>
    <ds:schemaRef ds:uri="ccf9782b-c747-4be8-886f-34116862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352C10-2325-43C8-85E1-6835753AE36B}">
  <ds:schemaRefs>
    <ds:schemaRef ds:uri="http://schemas.openxmlformats.org/officeDocument/2006/bibliography"/>
  </ds:schemaRefs>
</ds:datastoreItem>
</file>

<file path=customXml/itemProps4.xml><?xml version="1.0" encoding="utf-8"?>
<ds:datastoreItem xmlns:ds="http://schemas.openxmlformats.org/officeDocument/2006/customXml" ds:itemID="{4BDDF253-407C-4B63-9535-3D5A37A3560F}">
  <ds:schemaRefs>
    <ds:schemaRef ds:uri="Microsoft.SharePoint.Taxonomy.ContentTypeSync"/>
  </ds:schemaRefs>
</ds:datastoreItem>
</file>

<file path=customXml/itemProps5.xml><?xml version="1.0" encoding="utf-8"?>
<ds:datastoreItem xmlns:ds="http://schemas.openxmlformats.org/officeDocument/2006/customXml" ds:itemID="{DE2ACD7C-2BA9-47F9-8579-76DB6345E23F}">
  <ds:schemaRefs>
    <ds:schemaRef ds:uri="http://schemas.microsoft.com/office/2006/metadata/properties"/>
    <ds:schemaRef ds:uri="http://schemas.microsoft.com/office/infopath/2007/PartnerControls"/>
    <ds:schemaRef ds:uri="6500fe01-343b-4fb9-a1b0-68ac19d62e01"/>
    <ds:schemaRef ds:uri="0544bb73-b9b2-4315-b463-f353efb89b0b"/>
    <ds:schemaRef ds:uri="57f1fb52-79b9-4278-9d54-1e5db41bfcda"/>
  </ds:schemaRefs>
</ds:datastoreItem>
</file>

<file path=customXml/itemProps6.xml><?xml version="1.0" encoding="utf-8"?>
<ds:datastoreItem xmlns:ds="http://schemas.openxmlformats.org/officeDocument/2006/customXml" ds:itemID="{B9FC7259-9D65-4F8E-88DF-B5C3B3A0C7DE}">
  <ds:schemaRefs>
    <ds:schemaRef ds:uri="http://schemas.microsoft.com/sharepoint/v3/contenttype/forms"/>
  </ds:schemaRefs>
</ds:datastoreItem>
</file>

<file path=customXml/itemProps7.xml><?xml version="1.0" encoding="utf-8"?>
<ds:datastoreItem xmlns:ds="http://schemas.openxmlformats.org/officeDocument/2006/customXml" ds:itemID="{4FD7C5B9-7685-4CA8-85D4-D3B7075DC73B}">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AHRC%20Report%20Template.dotx</Template>
  <TotalTime>137</TotalTime>
  <Pages>36</Pages>
  <Words>8822</Words>
  <Characters>50292</Characters>
  <Application>Microsoft Office Word</Application>
  <DocSecurity>0</DocSecurity>
  <Lines>419</Lines>
  <Paragraphs>117</Paragraphs>
  <ScaleCrop>false</ScaleCrop>
  <HeadingPairs>
    <vt:vector size="2" baseType="variant">
      <vt:variant>
        <vt:lpstr>Title</vt:lpstr>
      </vt:variant>
      <vt:variant>
        <vt:i4>1</vt:i4>
      </vt:variant>
    </vt:vector>
  </HeadingPairs>
  <TitlesOfParts>
    <vt:vector size="1" baseType="lpstr">
      <vt:lpstr/>
    </vt:vector>
  </TitlesOfParts>
  <Company>Human Rights and Equal Opportunity Commission</Company>
  <LinksUpToDate>false</LinksUpToDate>
  <CharactersWithSpaces>58997</CharactersWithSpaces>
  <SharedDoc>false</SharedDoc>
  <HLinks>
    <vt:vector size="24" baseType="variant">
      <vt:variant>
        <vt:i4>1703995</vt:i4>
      </vt:variant>
      <vt:variant>
        <vt:i4>20</vt:i4>
      </vt:variant>
      <vt:variant>
        <vt:i4>0</vt:i4>
      </vt:variant>
      <vt:variant>
        <vt:i4>5</vt:i4>
      </vt:variant>
      <vt:variant>
        <vt:lpwstr/>
      </vt:variant>
      <vt:variant>
        <vt:lpwstr>_Toc515289374</vt:lpwstr>
      </vt:variant>
      <vt:variant>
        <vt:i4>1703995</vt:i4>
      </vt:variant>
      <vt:variant>
        <vt:i4>14</vt:i4>
      </vt:variant>
      <vt:variant>
        <vt:i4>0</vt:i4>
      </vt:variant>
      <vt:variant>
        <vt:i4>5</vt:i4>
      </vt:variant>
      <vt:variant>
        <vt:lpwstr/>
      </vt:variant>
      <vt:variant>
        <vt:lpwstr>_Toc515289373</vt:lpwstr>
      </vt:variant>
      <vt:variant>
        <vt:i4>1703995</vt:i4>
      </vt:variant>
      <vt:variant>
        <vt:i4>8</vt:i4>
      </vt:variant>
      <vt:variant>
        <vt:i4>0</vt:i4>
      </vt:variant>
      <vt:variant>
        <vt:i4>5</vt:i4>
      </vt:variant>
      <vt:variant>
        <vt:lpwstr/>
      </vt:variant>
      <vt:variant>
        <vt:lpwstr>_Toc515289372</vt:lpwstr>
      </vt:variant>
      <vt:variant>
        <vt:i4>1703995</vt:i4>
      </vt:variant>
      <vt:variant>
        <vt:i4>2</vt:i4>
      </vt:variant>
      <vt:variant>
        <vt:i4>0</vt:i4>
      </vt:variant>
      <vt:variant>
        <vt:i4>5</vt:i4>
      </vt:variant>
      <vt:variant>
        <vt:lpwstr/>
      </vt:variant>
      <vt:variant>
        <vt:lpwstr>_Toc515289371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Alliott</dc:creator>
  <cp:keywords/>
  <cp:lastModifiedBy>Peter Alliott</cp:lastModifiedBy>
  <cp:revision>55</cp:revision>
  <cp:lastPrinted>1900-12-31T13:00:00Z</cp:lastPrinted>
  <dcterms:created xsi:type="dcterms:W3CDTF">2023-12-21T02:25:00Z</dcterms:created>
  <dcterms:modified xsi:type="dcterms:W3CDTF">2024-01-08T00:42:00Z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0x010100258FDF5B15A5C74091762EB145641BD2</vt:lpwstr>
  </property>
  <property fmtid="{D5CDD505-2E9C-101B-9397-08002B2CF9AE}" pid="3" name="_dlc_DocIdItemGuid">
    <vt:lpwstr>9a761a1f-6709-487a-a55d-3cc83257938f</vt:lpwstr>
  </property>
  <property fmtid="{D5CDD505-2E9C-101B-9397-08002B2CF9AE}" pid="4" name="TaxKeyword">
    <vt:lpwstr/>
  </property>
</Properties>
</file>