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A7" w:rsidRPr="006D7572" w:rsidRDefault="004343C1" w:rsidP="00354235">
      <w:pPr>
        <w:jc w:val="center"/>
        <w:rPr>
          <w:rFonts w:cs="Arial"/>
          <w:b/>
        </w:rPr>
      </w:pPr>
      <w:r>
        <w:rPr>
          <w:rFonts w:cs="Arial"/>
          <w:b/>
          <w:noProof/>
        </w:rPr>
        <w:drawing>
          <wp:inline distT="0" distB="0" distL="0" distR="0">
            <wp:extent cx="4471531" cy="1701800"/>
            <wp:effectExtent l="0" t="0" r="5715" b="0"/>
            <wp:docPr id="1" name="Picture 1" descr="S:\External Projects\Rights &amp; Freedoms. Projects. HRT 13.14\14.15 Rights and responsibilities\Logos\Rights and Responsibilites 2014\RightsResponsibilities20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Projects\Rights &amp; Freedoms. Projects. HRT 13.14\14.15 Rights and responsibilities\Logos\Rights and Responsibilites 2014\RightsResponsibilities2014-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5234" cy="1707015"/>
                    </a:xfrm>
                    <a:prstGeom prst="rect">
                      <a:avLst/>
                    </a:prstGeom>
                    <a:noFill/>
                    <a:ln>
                      <a:noFill/>
                    </a:ln>
                  </pic:spPr>
                </pic:pic>
              </a:graphicData>
            </a:graphic>
          </wp:inline>
        </w:drawing>
      </w:r>
    </w:p>
    <w:p w:rsidR="00BB43A7" w:rsidRPr="00BF4486" w:rsidRDefault="00343816" w:rsidP="00BF4486">
      <w:pPr>
        <w:jc w:val="center"/>
        <w:rPr>
          <w:rFonts w:cs="Arial"/>
          <w:b/>
          <w:sz w:val="28"/>
          <w:szCs w:val="28"/>
        </w:rPr>
      </w:pPr>
      <w:r w:rsidRPr="00235017">
        <w:rPr>
          <w:rFonts w:cs="Arial"/>
          <w:b/>
          <w:sz w:val="28"/>
          <w:szCs w:val="28"/>
        </w:rPr>
        <w:t>Discussion Paper</w:t>
      </w:r>
    </w:p>
    <w:p w:rsidR="00343816" w:rsidRPr="00290A7C" w:rsidRDefault="00343816" w:rsidP="00343816">
      <w:pPr>
        <w:pStyle w:val="Title"/>
        <w:rPr>
          <w:sz w:val="28"/>
          <w:szCs w:val="28"/>
        </w:rPr>
      </w:pPr>
      <w:r w:rsidRPr="00290A7C">
        <w:rPr>
          <w:sz w:val="28"/>
          <w:szCs w:val="28"/>
        </w:rPr>
        <w:t>Tim Wilson</w:t>
      </w:r>
    </w:p>
    <w:p w:rsidR="00343816" w:rsidRPr="006D7572" w:rsidRDefault="00343816" w:rsidP="00343816">
      <w:pPr>
        <w:pStyle w:val="Title"/>
        <w:rPr>
          <w:sz w:val="24"/>
          <w:szCs w:val="24"/>
        </w:rPr>
      </w:pPr>
      <w:r w:rsidRPr="00290A7C">
        <w:rPr>
          <w:sz w:val="28"/>
          <w:szCs w:val="28"/>
        </w:rPr>
        <w:t>Human Rights Commissioner</w:t>
      </w:r>
    </w:p>
    <w:p w:rsidR="00BF4486" w:rsidRDefault="00BF4486" w:rsidP="008C0CB8">
      <w:pPr>
        <w:rPr>
          <w:rFonts w:cs="Arial"/>
        </w:rPr>
      </w:pPr>
    </w:p>
    <w:p w:rsidR="00140E89" w:rsidRDefault="00353692" w:rsidP="008C0CB8">
      <w:pPr>
        <w:rPr>
          <w:rFonts w:cs="Arial"/>
        </w:rPr>
      </w:pPr>
      <w:r>
        <w:rPr>
          <w:rFonts w:cs="Arial"/>
        </w:rPr>
        <w:t>Australia</w:t>
      </w:r>
      <w:r w:rsidR="00A41E4D">
        <w:rPr>
          <w:rFonts w:cs="Arial"/>
        </w:rPr>
        <w:t>’s</w:t>
      </w:r>
      <w:r>
        <w:rPr>
          <w:rFonts w:cs="Arial"/>
        </w:rPr>
        <w:t xml:space="preserve"> </w:t>
      </w:r>
      <w:r w:rsidR="00BB43A7" w:rsidRPr="006D7572">
        <w:rPr>
          <w:rFonts w:cs="Arial"/>
        </w:rPr>
        <w:t>Human Rights Commissioner</w:t>
      </w:r>
      <w:r w:rsidR="005F76AC">
        <w:rPr>
          <w:rFonts w:cs="Arial"/>
        </w:rPr>
        <w:t>, Tim Wilson</w:t>
      </w:r>
      <w:r w:rsidR="00452624">
        <w:rPr>
          <w:rFonts w:cs="Arial"/>
        </w:rPr>
        <w:t>,</w:t>
      </w:r>
      <w:r w:rsidR="005F76AC">
        <w:rPr>
          <w:rFonts w:cs="Arial"/>
        </w:rPr>
        <w:t xml:space="preserve"> is</w:t>
      </w:r>
      <w:r w:rsidR="00BB43A7" w:rsidRPr="006D7572">
        <w:rPr>
          <w:rFonts w:cs="Arial"/>
        </w:rPr>
        <w:t xml:space="preserve"> </w:t>
      </w:r>
      <w:r w:rsidR="00A41E4D">
        <w:rPr>
          <w:rFonts w:cs="Arial"/>
        </w:rPr>
        <w:t>conducting</w:t>
      </w:r>
      <w:r w:rsidR="00BB43A7" w:rsidRPr="006D7572">
        <w:rPr>
          <w:rFonts w:cs="Arial"/>
        </w:rPr>
        <w:t xml:space="preserve"> </w:t>
      </w:r>
      <w:r w:rsidR="008B6C66">
        <w:rPr>
          <w:rFonts w:cs="Arial"/>
        </w:rPr>
        <w:t xml:space="preserve">a </w:t>
      </w:r>
      <w:r w:rsidR="00BB43A7" w:rsidRPr="006D7572">
        <w:rPr>
          <w:rFonts w:cs="Arial"/>
        </w:rPr>
        <w:t xml:space="preserve">national consultation </w:t>
      </w:r>
      <w:r w:rsidR="005525A0">
        <w:rPr>
          <w:rFonts w:cs="Arial"/>
        </w:rPr>
        <w:t>about</w:t>
      </w:r>
      <w:r w:rsidR="005525A0" w:rsidRPr="006D7572">
        <w:rPr>
          <w:rFonts w:cs="Arial"/>
        </w:rPr>
        <w:t xml:space="preserve"> </w:t>
      </w:r>
      <w:r w:rsidR="00455112">
        <w:rPr>
          <w:rFonts w:cs="Arial"/>
        </w:rPr>
        <w:t xml:space="preserve">how </w:t>
      </w:r>
      <w:r w:rsidR="008E7E5F">
        <w:rPr>
          <w:rFonts w:cs="Arial"/>
        </w:rPr>
        <w:t>effectively</w:t>
      </w:r>
      <w:r w:rsidR="00A41E4D">
        <w:rPr>
          <w:rFonts w:cs="Arial"/>
        </w:rPr>
        <w:t xml:space="preserve"> we protect </w:t>
      </w:r>
      <w:r w:rsidR="00455112">
        <w:rPr>
          <w:rFonts w:cs="Arial"/>
        </w:rPr>
        <w:t xml:space="preserve">people’s </w:t>
      </w:r>
      <w:r w:rsidR="00452624">
        <w:rPr>
          <w:rFonts w:cs="Arial"/>
        </w:rPr>
        <w:t xml:space="preserve">human </w:t>
      </w:r>
      <w:r w:rsidR="00455112">
        <w:rPr>
          <w:rFonts w:cs="Arial"/>
        </w:rPr>
        <w:t>rights and freedoms</w:t>
      </w:r>
      <w:r w:rsidR="003D4570" w:rsidRPr="006D7572">
        <w:rPr>
          <w:rFonts w:cs="Arial"/>
        </w:rPr>
        <w:t xml:space="preserve"> in Australia</w:t>
      </w:r>
      <w:r w:rsidR="002E148C">
        <w:rPr>
          <w:rFonts w:cs="Arial"/>
        </w:rPr>
        <w:t>.</w:t>
      </w:r>
      <w:r w:rsidR="005525A0">
        <w:rPr>
          <w:rFonts w:cs="Arial"/>
        </w:rPr>
        <w:t xml:space="preserve"> </w:t>
      </w:r>
      <w:r w:rsidR="0052009C">
        <w:rPr>
          <w:rFonts w:cs="Arial"/>
        </w:rPr>
        <w:t>The consultation will focus</w:t>
      </w:r>
      <w:r w:rsidR="002A30E1">
        <w:rPr>
          <w:rFonts w:cs="Arial"/>
        </w:rPr>
        <w:t xml:space="preserve"> on </w:t>
      </w:r>
      <w:r w:rsidR="008E7E5F">
        <w:rPr>
          <w:rFonts w:cs="Arial"/>
        </w:rPr>
        <w:t xml:space="preserve">building understanding and improved protection of our fundamental </w:t>
      </w:r>
      <w:r w:rsidR="00452624">
        <w:rPr>
          <w:rFonts w:cs="Arial"/>
        </w:rPr>
        <w:t xml:space="preserve">human </w:t>
      </w:r>
      <w:r w:rsidR="008E7E5F">
        <w:rPr>
          <w:rFonts w:cs="Arial"/>
        </w:rPr>
        <w:t xml:space="preserve">rights, freedoms and </w:t>
      </w:r>
      <w:r w:rsidR="002A30E1">
        <w:rPr>
          <w:rFonts w:cs="Arial"/>
        </w:rPr>
        <w:t>responsibilities</w:t>
      </w:r>
      <w:r w:rsidR="00F254BE">
        <w:rPr>
          <w:rFonts w:cs="Arial"/>
        </w:rPr>
        <w:t>.</w:t>
      </w:r>
    </w:p>
    <w:p w:rsidR="004023CE" w:rsidRPr="006D7572" w:rsidRDefault="0052009C" w:rsidP="008C0CB8">
      <w:pPr>
        <w:rPr>
          <w:rFonts w:cs="Arial"/>
        </w:rPr>
      </w:pPr>
      <w:r>
        <w:rPr>
          <w:rFonts w:cs="Arial"/>
        </w:rPr>
        <w:t xml:space="preserve">Past </w:t>
      </w:r>
      <w:r w:rsidR="00140E89">
        <w:rPr>
          <w:rFonts w:cs="Arial"/>
        </w:rPr>
        <w:t>consultations</w:t>
      </w:r>
      <w:r w:rsidR="008E7E5F">
        <w:rPr>
          <w:rFonts w:cs="Arial"/>
        </w:rPr>
        <w:t xml:space="preserve">, such as the National Human Rights Consultation under the previous </w:t>
      </w:r>
      <w:r w:rsidR="005F76AC">
        <w:rPr>
          <w:rFonts w:cs="Arial"/>
        </w:rPr>
        <w:t xml:space="preserve">federal </w:t>
      </w:r>
      <w:r w:rsidR="008E7E5F">
        <w:rPr>
          <w:rFonts w:cs="Arial"/>
        </w:rPr>
        <w:t>government,</w:t>
      </w:r>
      <w:r w:rsidR="00140E89">
        <w:rPr>
          <w:rFonts w:cs="Arial"/>
        </w:rPr>
        <w:t xml:space="preserve"> </w:t>
      </w:r>
      <w:r w:rsidR="00AC3651">
        <w:rPr>
          <w:rFonts w:cs="Arial"/>
        </w:rPr>
        <w:t>have tended to focus mainly</w:t>
      </w:r>
      <w:r w:rsidR="00140E89">
        <w:rPr>
          <w:rFonts w:cs="Arial"/>
        </w:rPr>
        <w:t xml:space="preserve"> on what government should do to protect human rights. </w:t>
      </w:r>
      <w:r w:rsidR="00AC3651">
        <w:rPr>
          <w:rFonts w:cs="Arial"/>
        </w:rPr>
        <w:t>T</w:t>
      </w:r>
      <w:r w:rsidR="005C722B">
        <w:rPr>
          <w:rFonts w:cs="Arial"/>
        </w:rPr>
        <w:t xml:space="preserve">his consultation </w:t>
      </w:r>
      <w:r w:rsidR="005F76AC">
        <w:rPr>
          <w:rFonts w:cs="Arial"/>
        </w:rPr>
        <w:t>aims</w:t>
      </w:r>
      <w:r w:rsidR="00AC3651">
        <w:rPr>
          <w:rFonts w:cs="Arial"/>
        </w:rPr>
        <w:t xml:space="preserve"> to go beyond this </w:t>
      </w:r>
      <w:r w:rsidR="00113276">
        <w:rPr>
          <w:rFonts w:cs="Arial"/>
        </w:rPr>
        <w:t xml:space="preserve">objective </w:t>
      </w:r>
      <w:r w:rsidR="00AC3651">
        <w:rPr>
          <w:rFonts w:cs="Arial"/>
        </w:rPr>
        <w:t>and</w:t>
      </w:r>
      <w:r>
        <w:rPr>
          <w:rFonts w:cs="Arial"/>
        </w:rPr>
        <w:t xml:space="preserve"> identify where there are restrictions on rights and freedoms</w:t>
      </w:r>
      <w:r w:rsidR="00115AA8">
        <w:rPr>
          <w:rFonts w:cs="Arial"/>
        </w:rPr>
        <w:t xml:space="preserve"> </w:t>
      </w:r>
      <w:r w:rsidR="009F2274">
        <w:rPr>
          <w:rFonts w:cs="Arial"/>
        </w:rPr>
        <w:t>that are disproportionate to the harm to be prevented</w:t>
      </w:r>
      <w:r w:rsidR="00115AA8">
        <w:rPr>
          <w:rFonts w:cs="Arial"/>
        </w:rPr>
        <w:t>.</w:t>
      </w:r>
      <w:r>
        <w:rPr>
          <w:rFonts w:cs="Arial"/>
        </w:rPr>
        <w:t xml:space="preserve"> </w:t>
      </w:r>
      <w:r w:rsidR="009F2274">
        <w:rPr>
          <w:rFonts w:cs="Arial"/>
        </w:rPr>
        <w:t>Importantly</w:t>
      </w:r>
      <w:r>
        <w:rPr>
          <w:rFonts w:cs="Arial"/>
        </w:rPr>
        <w:t xml:space="preserve">, the consultation seeks to identify where </w:t>
      </w:r>
      <w:r w:rsidR="00F254BE">
        <w:rPr>
          <w:rFonts w:cs="Arial"/>
        </w:rPr>
        <w:t xml:space="preserve">people are </w:t>
      </w:r>
      <w:r>
        <w:rPr>
          <w:rFonts w:cs="Arial"/>
        </w:rPr>
        <w:t xml:space="preserve">advancing </w:t>
      </w:r>
      <w:r w:rsidR="00F254BE">
        <w:rPr>
          <w:rFonts w:cs="Arial"/>
        </w:rPr>
        <w:t xml:space="preserve">their </w:t>
      </w:r>
      <w:r>
        <w:rPr>
          <w:rFonts w:cs="Arial"/>
        </w:rPr>
        <w:t>rights and freedoms through community-based and voluntary programs.</w:t>
      </w:r>
    </w:p>
    <w:p w:rsidR="00BB43A7" w:rsidRPr="006D7572" w:rsidRDefault="001F1CA4" w:rsidP="008C0CB8">
      <w:pPr>
        <w:pStyle w:val="Heading1"/>
        <w:numPr>
          <w:ilvl w:val="0"/>
          <w:numId w:val="0"/>
        </w:numPr>
        <w:rPr>
          <w:rFonts w:cs="Arial"/>
          <w:sz w:val="24"/>
          <w:szCs w:val="24"/>
        </w:rPr>
      </w:pPr>
      <w:r w:rsidRPr="006D7572">
        <w:rPr>
          <w:rFonts w:cs="Arial"/>
          <w:sz w:val="24"/>
          <w:szCs w:val="24"/>
        </w:rPr>
        <w:t>W</w:t>
      </w:r>
      <w:r w:rsidR="00BB43A7" w:rsidRPr="006D7572">
        <w:rPr>
          <w:rFonts w:cs="Arial"/>
          <w:sz w:val="24"/>
          <w:szCs w:val="24"/>
        </w:rPr>
        <w:t>hat are human rights</w:t>
      </w:r>
      <w:r w:rsidR="00115AA8">
        <w:rPr>
          <w:rFonts w:cs="Arial"/>
          <w:sz w:val="24"/>
          <w:szCs w:val="24"/>
        </w:rPr>
        <w:t xml:space="preserve"> and freedoms</w:t>
      </w:r>
      <w:r w:rsidR="00BB43A7" w:rsidRPr="006D7572">
        <w:rPr>
          <w:rFonts w:cs="Arial"/>
          <w:sz w:val="24"/>
          <w:szCs w:val="24"/>
        </w:rPr>
        <w:t>?</w:t>
      </w:r>
    </w:p>
    <w:p w:rsidR="00F45AC1" w:rsidRPr="006D7572" w:rsidRDefault="00927CC0" w:rsidP="00F45AC1">
      <w:pPr>
        <w:rPr>
          <w:rFonts w:cs="Arial"/>
          <w:lang w:val="en"/>
        </w:rPr>
      </w:pPr>
      <w:r w:rsidRPr="006D7572">
        <w:rPr>
          <w:rFonts w:cs="Arial"/>
          <w:lang w:val="en"/>
        </w:rPr>
        <w:t xml:space="preserve">Human </w:t>
      </w:r>
      <w:r w:rsidRPr="006D7572">
        <w:rPr>
          <w:rFonts w:cs="Arial"/>
        </w:rPr>
        <w:t>rights</w:t>
      </w:r>
      <w:r w:rsidR="00115AA8">
        <w:rPr>
          <w:rFonts w:cs="Arial"/>
        </w:rPr>
        <w:t xml:space="preserve"> and freedoms</w:t>
      </w:r>
      <w:r w:rsidRPr="006D7572">
        <w:rPr>
          <w:rFonts w:cs="Arial"/>
          <w:lang w:val="en"/>
        </w:rPr>
        <w:t xml:space="preserve"> </w:t>
      </w:r>
      <w:r w:rsidR="00115AA8">
        <w:rPr>
          <w:rFonts w:cs="Arial"/>
          <w:lang w:val="en"/>
        </w:rPr>
        <w:t>are basic standards of treatment</w:t>
      </w:r>
      <w:r w:rsidR="008612EF">
        <w:rPr>
          <w:rFonts w:cs="Arial"/>
          <w:lang w:val="en"/>
        </w:rPr>
        <w:t xml:space="preserve"> that everyone </w:t>
      </w:r>
      <w:r w:rsidR="005F76AC">
        <w:rPr>
          <w:rFonts w:cs="Arial"/>
          <w:lang w:val="en"/>
        </w:rPr>
        <w:t>enjoys</w:t>
      </w:r>
      <w:r w:rsidR="008612EF">
        <w:rPr>
          <w:rFonts w:cs="Arial"/>
          <w:lang w:val="en"/>
        </w:rPr>
        <w:t>.</w:t>
      </w:r>
      <w:r w:rsidR="00115AA8">
        <w:rPr>
          <w:rFonts w:cs="Arial"/>
          <w:lang w:val="en"/>
        </w:rPr>
        <w:t xml:space="preserve"> </w:t>
      </w:r>
      <w:r w:rsidR="005C6F30">
        <w:rPr>
          <w:rFonts w:cs="Arial"/>
          <w:lang w:val="en"/>
        </w:rPr>
        <w:t>They</w:t>
      </w:r>
      <w:r w:rsidR="005F76AC">
        <w:rPr>
          <w:rFonts w:cs="Arial"/>
          <w:lang w:val="en"/>
        </w:rPr>
        <w:t xml:space="preserve"> are universal. </w:t>
      </w:r>
      <w:r w:rsidR="0052009C">
        <w:rPr>
          <w:rFonts w:cs="Arial"/>
          <w:lang w:val="en"/>
        </w:rPr>
        <w:t xml:space="preserve">Everyone has them. </w:t>
      </w:r>
      <w:r w:rsidR="00F45AC1">
        <w:rPr>
          <w:rFonts w:cs="Arial"/>
        </w:rPr>
        <w:t xml:space="preserve">Human rights </w:t>
      </w:r>
      <w:r w:rsidR="00F45AC1" w:rsidRPr="006D7572">
        <w:rPr>
          <w:rFonts w:cs="Arial"/>
        </w:rPr>
        <w:t>recognise</w:t>
      </w:r>
      <w:r w:rsidR="00F45AC1" w:rsidRPr="006D7572">
        <w:rPr>
          <w:rFonts w:cs="Arial"/>
          <w:lang w:val="en"/>
        </w:rPr>
        <w:t xml:space="preserve"> the inherent value of each person, regardless of their background, where they live, what they look like, what they think or what they believe. </w:t>
      </w:r>
      <w:r w:rsidR="00F45AC1">
        <w:rPr>
          <w:rFonts w:cs="Arial"/>
          <w:lang w:val="en"/>
        </w:rPr>
        <w:t>They</w:t>
      </w:r>
      <w:r w:rsidR="00F45AC1" w:rsidRPr="006D7572">
        <w:rPr>
          <w:rFonts w:cs="Arial"/>
          <w:lang w:val="en"/>
        </w:rPr>
        <w:t xml:space="preserve"> affect ‘everyone, everywhere, everyday’.</w:t>
      </w:r>
      <w:r w:rsidR="00F45AC1" w:rsidRPr="00A41E4D">
        <w:rPr>
          <w:rFonts w:cs="Arial"/>
          <w:lang w:val="en"/>
        </w:rPr>
        <w:t xml:space="preserve"> </w:t>
      </w:r>
    </w:p>
    <w:p w:rsidR="00FD6B95" w:rsidRDefault="00B01CB7" w:rsidP="00B01CB7">
      <w:pPr>
        <w:rPr>
          <w:rStyle w:val="oneclick-link"/>
        </w:rPr>
      </w:pPr>
      <w:r>
        <w:rPr>
          <w:rStyle w:val="oneclick-link"/>
        </w:rPr>
        <w:t>Freedoms are focused on liberty and the ability to express your</w:t>
      </w:r>
      <w:r w:rsidR="00410370">
        <w:rPr>
          <w:rStyle w:val="oneclick-link"/>
        </w:rPr>
        <w:t xml:space="preserve"> rights</w:t>
      </w:r>
      <w:r>
        <w:rPr>
          <w:rStyle w:val="oneclick-link"/>
        </w:rPr>
        <w:t xml:space="preserve"> without</w:t>
      </w:r>
      <w:r>
        <w:t xml:space="preserve"> </w:t>
      </w:r>
      <w:r>
        <w:rPr>
          <w:rStyle w:val="oneclick-link"/>
        </w:rPr>
        <w:t>external</w:t>
      </w:r>
      <w:r>
        <w:t xml:space="preserve"> </w:t>
      </w:r>
      <w:r>
        <w:rPr>
          <w:rStyle w:val="oneclick-link"/>
        </w:rPr>
        <w:t>control or</w:t>
      </w:r>
      <w:r>
        <w:t xml:space="preserve"> </w:t>
      </w:r>
      <w:r>
        <w:rPr>
          <w:rStyle w:val="oneclick-link"/>
        </w:rPr>
        <w:t xml:space="preserve">interference. </w:t>
      </w:r>
      <w:r w:rsidR="00F45AC1">
        <w:rPr>
          <w:rStyle w:val="oneclick-link"/>
        </w:rPr>
        <w:t xml:space="preserve">The most commonly identified </w:t>
      </w:r>
      <w:r>
        <w:rPr>
          <w:rStyle w:val="oneclick-link"/>
        </w:rPr>
        <w:t xml:space="preserve">freedoms </w:t>
      </w:r>
      <w:r w:rsidR="00F45AC1">
        <w:rPr>
          <w:rStyle w:val="oneclick-link"/>
        </w:rPr>
        <w:t>are</w:t>
      </w:r>
      <w:r w:rsidR="00FD6B95">
        <w:rPr>
          <w:rStyle w:val="oneclick-link"/>
        </w:rPr>
        <w:t>:</w:t>
      </w:r>
      <w:r>
        <w:rPr>
          <w:rStyle w:val="oneclick-link"/>
        </w:rPr>
        <w:t xml:space="preserve"> </w:t>
      </w:r>
    </w:p>
    <w:p w:rsidR="00FD6B95" w:rsidRPr="00113276" w:rsidRDefault="001D5BDE" w:rsidP="00FD6B95">
      <w:pPr>
        <w:pStyle w:val="ListParagraph"/>
        <w:numPr>
          <w:ilvl w:val="0"/>
          <w:numId w:val="42"/>
        </w:numPr>
        <w:rPr>
          <w:rStyle w:val="oneclick-link"/>
        </w:rPr>
      </w:pPr>
      <w:r w:rsidRPr="00113276">
        <w:rPr>
          <w:rStyle w:val="oneclick-link"/>
        </w:rPr>
        <w:t>freedom of opinion or</w:t>
      </w:r>
      <w:r w:rsidR="00FD6B95" w:rsidRPr="00113276">
        <w:rPr>
          <w:rStyle w:val="oneclick-link"/>
        </w:rPr>
        <w:t xml:space="preserve"> expression</w:t>
      </w:r>
      <w:r w:rsidR="00B01CB7" w:rsidRPr="00113276">
        <w:rPr>
          <w:rStyle w:val="oneclick-link"/>
        </w:rPr>
        <w:t xml:space="preserve"> </w:t>
      </w:r>
    </w:p>
    <w:p w:rsidR="001D5BDE" w:rsidRPr="00113276" w:rsidRDefault="001D5BDE" w:rsidP="001D5BDE">
      <w:pPr>
        <w:pStyle w:val="ListParagraph"/>
        <w:numPr>
          <w:ilvl w:val="0"/>
          <w:numId w:val="42"/>
        </w:numPr>
        <w:rPr>
          <w:rStyle w:val="oneclick-link"/>
        </w:rPr>
      </w:pPr>
      <w:r w:rsidRPr="00113276">
        <w:rPr>
          <w:rStyle w:val="oneclick-link"/>
        </w:rPr>
        <w:t>freedom of thought, conscience or religious worship</w:t>
      </w:r>
    </w:p>
    <w:p w:rsidR="003A6828" w:rsidRPr="00113276" w:rsidRDefault="00FD6B95" w:rsidP="00410370">
      <w:pPr>
        <w:pStyle w:val="ListParagraph"/>
        <w:numPr>
          <w:ilvl w:val="0"/>
          <w:numId w:val="42"/>
        </w:numPr>
        <w:rPr>
          <w:rStyle w:val="oneclick-link"/>
        </w:rPr>
      </w:pPr>
      <w:r w:rsidRPr="00113276">
        <w:rPr>
          <w:rStyle w:val="oneclick-link"/>
        </w:rPr>
        <w:t xml:space="preserve">freedom of </w:t>
      </w:r>
      <w:r w:rsidR="00B01CB7" w:rsidRPr="00113276">
        <w:rPr>
          <w:rStyle w:val="oneclick-link"/>
        </w:rPr>
        <w:t>association</w:t>
      </w:r>
      <w:r w:rsidRPr="00113276">
        <w:rPr>
          <w:rStyle w:val="oneclick-link"/>
        </w:rPr>
        <w:t xml:space="preserve"> </w:t>
      </w:r>
      <w:r w:rsidR="001D5BDE" w:rsidRPr="00113276">
        <w:rPr>
          <w:rStyle w:val="oneclick-link"/>
        </w:rPr>
        <w:t>or</w:t>
      </w:r>
      <w:r w:rsidR="00410370" w:rsidRPr="00113276">
        <w:rPr>
          <w:rStyle w:val="oneclick-link"/>
        </w:rPr>
        <w:t xml:space="preserve"> </w:t>
      </w:r>
      <w:r w:rsidR="003A6828" w:rsidRPr="00113276">
        <w:rPr>
          <w:rStyle w:val="oneclick-link"/>
        </w:rPr>
        <w:t>peaceful assembly</w:t>
      </w:r>
    </w:p>
    <w:p w:rsidR="00B01CB7" w:rsidRPr="00113276" w:rsidRDefault="007C260D" w:rsidP="00FD6B95">
      <w:pPr>
        <w:pStyle w:val="ListParagraph"/>
        <w:numPr>
          <w:ilvl w:val="0"/>
          <w:numId w:val="42"/>
        </w:numPr>
      </w:pPr>
      <w:proofErr w:type="gramStart"/>
      <w:r w:rsidRPr="00113276">
        <w:rPr>
          <w:rStyle w:val="oneclick-link"/>
        </w:rPr>
        <w:t>freedom</w:t>
      </w:r>
      <w:proofErr w:type="gramEnd"/>
      <w:r w:rsidRPr="00113276">
        <w:rPr>
          <w:rStyle w:val="oneclick-link"/>
        </w:rPr>
        <w:t xml:space="preserve"> from arbitrary detention</w:t>
      </w:r>
      <w:r w:rsidR="003A6828" w:rsidRPr="00113276">
        <w:rPr>
          <w:rStyle w:val="oneclick-link"/>
        </w:rPr>
        <w:t>.</w:t>
      </w:r>
    </w:p>
    <w:p w:rsidR="00927CC0" w:rsidRPr="006D7572" w:rsidRDefault="00462A8C" w:rsidP="008C0CB8">
      <w:pPr>
        <w:rPr>
          <w:rFonts w:cs="Arial"/>
          <w:lang w:val="en"/>
        </w:rPr>
      </w:pPr>
      <w:r w:rsidRPr="006D7572">
        <w:rPr>
          <w:rFonts w:cs="Arial"/>
          <w:lang w:val="en"/>
        </w:rPr>
        <w:t>Rights and freedoms</w:t>
      </w:r>
      <w:r w:rsidR="00927CC0" w:rsidRPr="006D7572">
        <w:rPr>
          <w:rFonts w:cs="Arial"/>
          <w:lang w:val="en"/>
        </w:rPr>
        <w:t xml:space="preserve"> are </w:t>
      </w:r>
      <w:r w:rsidR="00927CC0" w:rsidRPr="006D7572">
        <w:rPr>
          <w:rFonts w:cs="Arial"/>
        </w:rPr>
        <w:t>based</w:t>
      </w:r>
      <w:r w:rsidR="00927CC0" w:rsidRPr="006D7572">
        <w:rPr>
          <w:rFonts w:cs="Arial"/>
          <w:lang w:val="en"/>
        </w:rPr>
        <w:t xml:space="preserve"> on principles of dignity, equality</w:t>
      </w:r>
      <w:r w:rsidR="0052009C">
        <w:rPr>
          <w:rFonts w:cs="Arial"/>
          <w:lang w:val="en"/>
        </w:rPr>
        <w:t xml:space="preserve"> before the law</w:t>
      </w:r>
      <w:r w:rsidR="00927CC0" w:rsidRPr="006D7572">
        <w:rPr>
          <w:rFonts w:cs="Arial"/>
          <w:lang w:val="en"/>
        </w:rPr>
        <w:t xml:space="preserve"> and mutual respect, which are shared across cultures, religions and philosophies. They are about being treated fairly, treating others fairly and having the ability to make genuine choices in our daily lives.</w:t>
      </w:r>
      <w:r w:rsidR="00A41E4D">
        <w:rPr>
          <w:rFonts w:cs="Arial"/>
          <w:lang w:val="en"/>
        </w:rPr>
        <w:t xml:space="preserve"> </w:t>
      </w:r>
      <w:r w:rsidR="00A41E4D" w:rsidRPr="006D7572">
        <w:rPr>
          <w:rFonts w:cs="Arial"/>
          <w:lang w:val="en"/>
        </w:rPr>
        <w:t>Respect for human rights</w:t>
      </w:r>
      <w:r w:rsidR="0052009C">
        <w:rPr>
          <w:rFonts w:cs="Arial"/>
          <w:lang w:val="en"/>
        </w:rPr>
        <w:t xml:space="preserve"> underpins the </w:t>
      </w:r>
      <w:r w:rsidR="0052009C">
        <w:rPr>
          <w:rFonts w:cs="Arial"/>
          <w:lang w:val="en"/>
        </w:rPr>
        <w:lastRenderedPageBreak/>
        <w:t>democratic processes of our society and is the cornerstone of a society that respects individuals and voluntary c</w:t>
      </w:r>
      <w:r w:rsidR="00410370">
        <w:rPr>
          <w:rFonts w:cs="Arial"/>
          <w:lang w:val="en"/>
        </w:rPr>
        <w:t>ommunity collaboration.</w:t>
      </w:r>
    </w:p>
    <w:p w:rsidR="0052009C" w:rsidRDefault="0052009C" w:rsidP="008C0CB8">
      <w:pPr>
        <w:rPr>
          <w:rFonts w:cs="Arial"/>
          <w:lang w:val="en"/>
        </w:rPr>
      </w:pPr>
      <w:r>
        <w:rPr>
          <w:rFonts w:cs="Arial"/>
          <w:lang w:val="en"/>
        </w:rPr>
        <w:t xml:space="preserve">Human rights </w:t>
      </w:r>
      <w:r w:rsidR="007041C1">
        <w:rPr>
          <w:rFonts w:cs="Arial"/>
          <w:lang w:val="en"/>
        </w:rPr>
        <w:t xml:space="preserve">and freedoms </w:t>
      </w:r>
      <w:r>
        <w:rPr>
          <w:rFonts w:cs="Arial"/>
          <w:lang w:val="en"/>
        </w:rPr>
        <w:t xml:space="preserve">have evolved </w:t>
      </w:r>
      <w:r w:rsidR="009F2274">
        <w:rPr>
          <w:rFonts w:cs="Arial"/>
          <w:lang w:val="en"/>
        </w:rPr>
        <w:t>from</w:t>
      </w:r>
      <w:r>
        <w:rPr>
          <w:rFonts w:cs="Arial"/>
          <w:lang w:val="en"/>
        </w:rPr>
        <w:t xml:space="preserve"> political, social and cultural movements over </w:t>
      </w:r>
      <w:r w:rsidR="009F2274">
        <w:rPr>
          <w:rFonts w:cs="Arial"/>
          <w:lang w:val="en"/>
        </w:rPr>
        <w:t>thousands</w:t>
      </w:r>
      <w:r>
        <w:rPr>
          <w:rFonts w:cs="Arial"/>
          <w:lang w:val="en"/>
        </w:rPr>
        <w:t xml:space="preserve"> of years. The idea of rights existed in ancient societies, but the modern understanding of human rights </w:t>
      </w:r>
      <w:r w:rsidR="005C6F30">
        <w:rPr>
          <w:rFonts w:cs="Arial"/>
          <w:lang w:val="en"/>
        </w:rPr>
        <w:t>evolves from</w:t>
      </w:r>
      <w:r>
        <w:rPr>
          <w:rFonts w:cs="Arial"/>
          <w:lang w:val="en"/>
        </w:rPr>
        <w:t xml:space="preserve"> documents such as:</w:t>
      </w:r>
    </w:p>
    <w:p w:rsidR="0052009C" w:rsidRDefault="0052009C" w:rsidP="00410370">
      <w:pPr>
        <w:pStyle w:val="ListParagraph"/>
        <w:numPr>
          <w:ilvl w:val="0"/>
          <w:numId w:val="42"/>
        </w:numPr>
        <w:rPr>
          <w:rFonts w:cs="Arial"/>
          <w:lang w:val="en"/>
        </w:rPr>
      </w:pPr>
      <w:r>
        <w:rPr>
          <w:rFonts w:cs="Arial"/>
          <w:lang w:val="en"/>
        </w:rPr>
        <w:t>T</w:t>
      </w:r>
      <w:r w:rsidRPr="0052009C">
        <w:rPr>
          <w:rFonts w:cs="Arial"/>
          <w:lang w:val="en"/>
        </w:rPr>
        <w:t xml:space="preserve">he </w:t>
      </w:r>
      <w:r w:rsidRPr="005C722B">
        <w:rPr>
          <w:rFonts w:cs="Arial"/>
          <w:i/>
          <w:lang w:val="en"/>
        </w:rPr>
        <w:t xml:space="preserve">Magna </w:t>
      </w:r>
      <w:proofErr w:type="spellStart"/>
      <w:r w:rsidRPr="005C722B">
        <w:rPr>
          <w:rFonts w:cs="Arial"/>
          <w:i/>
          <w:lang w:val="en"/>
        </w:rPr>
        <w:t>Carta</w:t>
      </w:r>
      <w:proofErr w:type="spellEnd"/>
      <w:r w:rsidRPr="0052009C">
        <w:rPr>
          <w:rFonts w:cs="Arial"/>
          <w:lang w:val="en"/>
        </w:rPr>
        <w:t xml:space="preserve"> (the Great Charter) </w:t>
      </w:r>
      <w:r>
        <w:rPr>
          <w:rFonts w:cs="Arial"/>
          <w:lang w:val="en"/>
        </w:rPr>
        <w:t>of 1215</w:t>
      </w:r>
      <w:r w:rsidR="005C722B">
        <w:rPr>
          <w:rFonts w:cs="Arial"/>
          <w:lang w:val="en"/>
        </w:rPr>
        <w:t>,</w:t>
      </w:r>
      <w:r>
        <w:rPr>
          <w:rFonts w:cs="Arial"/>
          <w:lang w:val="en"/>
        </w:rPr>
        <w:t xml:space="preserve"> </w:t>
      </w:r>
      <w:r w:rsidRPr="0052009C">
        <w:rPr>
          <w:rFonts w:cs="Arial"/>
          <w:lang w:val="en"/>
        </w:rPr>
        <w:t xml:space="preserve">which </w:t>
      </w:r>
      <w:r>
        <w:rPr>
          <w:rFonts w:cs="Arial"/>
          <w:lang w:val="en"/>
        </w:rPr>
        <w:t>subjected King</w:t>
      </w:r>
      <w:r w:rsidR="009F2274">
        <w:rPr>
          <w:rFonts w:cs="Arial"/>
          <w:lang w:val="en"/>
        </w:rPr>
        <w:t xml:space="preserve"> John</w:t>
      </w:r>
      <w:r>
        <w:rPr>
          <w:rFonts w:cs="Arial"/>
          <w:lang w:val="en"/>
        </w:rPr>
        <w:t xml:space="preserve"> to the rule of law.</w:t>
      </w:r>
    </w:p>
    <w:p w:rsidR="0052009C" w:rsidRDefault="0052009C" w:rsidP="002D313B">
      <w:pPr>
        <w:pStyle w:val="ListParagraph"/>
        <w:numPr>
          <w:ilvl w:val="0"/>
          <w:numId w:val="41"/>
        </w:numPr>
        <w:rPr>
          <w:rFonts w:cs="Arial"/>
          <w:lang w:val="en"/>
        </w:rPr>
      </w:pPr>
      <w:r w:rsidRPr="0052009C">
        <w:rPr>
          <w:rFonts w:cs="Arial"/>
          <w:lang w:val="en"/>
        </w:rPr>
        <w:t xml:space="preserve">The 1688 </w:t>
      </w:r>
      <w:r w:rsidRPr="005C722B">
        <w:rPr>
          <w:rFonts w:cs="Arial"/>
          <w:i/>
          <w:lang w:val="en"/>
        </w:rPr>
        <w:t>English Bill of Rights</w:t>
      </w:r>
      <w:r w:rsidRPr="0052009C">
        <w:rPr>
          <w:rFonts w:cs="Arial"/>
          <w:lang w:val="en"/>
        </w:rPr>
        <w:t xml:space="preserve"> that </w:t>
      </w:r>
      <w:r w:rsidRPr="00DC661D">
        <w:rPr>
          <w:rFonts w:cs="Arial"/>
        </w:rPr>
        <w:t>universalised</w:t>
      </w:r>
      <w:r w:rsidRPr="0052009C">
        <w:rPr>
          <w:rFonts w:cs="Arial"/>
          <w:lang w:val="en"/>
        </w:rPr>
        <w:t xml:space="preserve"> many of the principles of </w:t>
      </w:r>
      <w:r w:rsidR="005C722B">
        <w:rPr>
          <w:rFonts w:cs="Arial"/>
          <w:lang w:val="en"/>
        </w:rPr>
        <w:t xml:space="preserve">the </w:t>
      </w:r>
      <w:r w:rsidRPr="0052009C">
        <w:rPr>
          <w:rFonts w:cs="Arial"/>
          <w:lang w:val="en"/>
        </w:rPr>
        <w:t xml:space="preserve">Magna </w:t>
      </w:r>
      <w:proofErr w:type="spellStart"/>
      <w:r w:rsidRPr="0052009C">
        <w:rPr>
          <w:rFonts w:cs="Arial"/>
          <w:lang w:val="en"/>
        </w:rPr>
        <w:t>Carta</w:t>
      </w:r>
      <w:proofErr w:type="spellEnd"/>
      <w:r w:rsidRPr="0052009C">
        <w:rPr>
          <w:rFonts w:cs="Arial"/>
          <w:lang w:val="en"/>
        </w:rPr>
        <w:t xml:space="preserve"> so they applied to all individuals.</w:t>
      </w:r>
    </w:p>
    <w:p w:rsidR="0052009C" w:rsidRDefault="0052009C" w:rsidP="002D313B">
      <w:pPr>
        <w:pStyle w:val="ListParagraph"/>
        <w:numPr>
          <w:ilvl w:val="0"/>
          <w:numId w:val="41"/>
        </w:numPr>
        <w:rPr>
          <w:rFonts w:cs="Arial"/>
          <w:lang w:val="en"/>
        </w:rPr>
      </w:pPr>
      <w:r w:rsidRPr="0052009C">
        <w:rPr>
          <w:rFonts w:cs="Arial"/>
          <w:lang w:val="en"/>
        </w:rPr>
        <w:t>The United States of America</w:t>
      </w:r>
      <w:r w:rsidRPr="00104907">
        <w:rPr>
          <w:rFonts w:cs="Arial"/>
          <w:lang w:val="en"/>
        </w:rPr>
        <w:t>’</w:t>
      </w:r>
      <w:r w:rsidR="005C722B">
        <w:rPr>
          <w:rFonts w:cs="Arial"/>
          <w:lang w:val="en"/>
        </w:rPr>
        <w:t>s</w:t>
      </w:r>
      <w:r w:rsidRPr="00FD0A47">
        <w:rPr>
          <w:rFonts w:cs="Arial"/>
          <w:lang w:val="en"/>
        </w:rPr>
        <w:t xml:space="preserve"> </w:t>
      </w:r>
      <w:r w:rsidRPr="005C722B">
        <w:rPr>
          <w:rFonts w:cs="Arial"/>
          <w:i/>
          <w:lang w:val="en"/>
        </w:rPr>
        <w:t>Declaration of Independence</w:t>
      </w:r>
      <w:r w:rsidRPr="00FD0A47">
        <w:rPr>
          <w:rFonts w:cs="Arial"/>
          <w:lang w:val="en"/>
        </w:rPr>
        <w:t xml:space="preserve"> </w:t>
      </w:r>
      <w:r w:rsidR="005C722B">
        <w:rPr>
          <w:rFonts w:cs="Arial"/>
          <w:lang w:val="en"/>
        </w:rPr>
        <w:t xml:space="preserve">in </w:t>
      </w:r>
      <w:r w:rsidR="005C722B" w:rsidRPr="00FD0A47">
        <w:rPr>
          <w:rFonts w:cs="Arial"/>
          <w:lang w:val="en"/>
        </w:rPr>
        <w:t>1776</w:t>
      </w:r>
      <w:r w:rsidR="005C722B">
        <w:rPr>
          <w:rFonts w:cs="Arial"/>
          <w:lang w:val="en"/>
        </w:rPr>
        <w:t xml:space="preserve"> </w:t>
      </w:r>
      <w:r w:rsidRPr="002C4516">
        <w:rPr>
          <w:rFonts w:cs="Arial"/>
          <w:lang w:val="en"/>
        </w:rPr>
        <w:t>that asserted that all people are created equ</w:t>
      </w:r>
      <w:r w:rsidRPr="006E06D6">
        <w:rPr>
          <w:rFonts w:cs="Arial"/>
          <w:lang w:val="en"/>
        </w:rPr>
        <w:t xml:space="preserve">al and </w:t>
      </w:r>
      <w:proofErr w:type="gramStart"/>
      <w:r w:rsidR="005C722B">
        <w:rPr>
          <w:rFonts w:cs="Arial"/>
          <w:lang w:val="en"/>
        </w:rPr>
        <w:t>have</w:t>
      </w:r>
      <w:proofErr w:type="gramEnd"/>
      <w:r w:rsidR="005C722B">
        <w:rPr>
          <w:rFonts w:cs="Arial"/>
          <w:lang w:val="en"/>
        </w:rPr>
        <w:t xml:space="preserve"> rights to ‘</w:t>
      </w:r>
      <w:r w:rsidRPr="0052009C">
        <w:rPr>
          <w:rFonts w:cs="Arial"/>
          <w:lang w:val="en"/>
        </w:rPr>
        <w:t>life, liber</w:t>
      </w:r>
      <w:r w:rsidR="005C722B">
        <w:rPr>
          <w:rFonts w:cs="Arial"/>
          <w:lang w:val="en"/>
        </w:rPr>
        <w:t>ty and the pursuit of happiness</w:t>
      </w:r>
      <w:r w:rsidR="00E51090">
        <w:rPr>
          <w:rFonts w:cs="Arial"/>
          <w:lang w:val="en"/>
        </w:rPr>
        <w:t xml:space="preserve">’, and the subsequent </w:t>
      </w:r>
      <w:r w:rsidR="00D22257">
        <w:rPr>
          <w:rFonts w:cs="Arial"/>
          <w:i/>
          <w:lang w:val="en"/>
        </w:rPr>
        <w:t>Constitution of the United States</w:t>
      </w:r>
      <w:r w:rsidR="00E51090">
        <w:rPr>
          <w:rFonts w:cs="Arial"/>
          <w:lang w:val="en"/>
        </w:rPr>
        <w:t xml:space="preserve"> (1787) and </w:t>
      </w:r>
      <w:r w:rsidR="00E51090" w:rsidRPr="00410370">
        <w:rPr>
          <w:rFonts w:cs="Arial"/>
          <w:i/>
          <w:lang w:val="en"/>
        </w:rPr>
        <w:t>Bill of Rights</w:t>
      </w:r>
      <w:r w:rsidR="00E51090">
        <w:rPr>
          <w:rFonts w:cs="Arial"/>
          <w:lang w:val="en"/>
        </w:rPr>
        <w:t xml:space="preserve"> (1791)</w:t>
      </w:r>
      <w:r w:rsidR="00D22257">
        <w:rPr>
          <w:rFonts w:cs="Arial"/>
          <w:lang w:val="en"/>
        </w:rPr>
        <w:t>.</w:t>
      </w:r>
    </w:p>
    <w:p w:rsidR="00E51090" w:rsidRDefault="00E51090" w:rsidP="002D313B">
      <w:pPr>
        <w:pStyle w:val="ListParagraph"/>
        <w:numPr>
          <w:ilvl w:val="0"/>
          <w:numId w:val="41"/>
        </w:numPr>
        <w:rPr>
          <w:rFonts w:cs="Arial"/>
          <w:lang w:val="en"/>
        </w:rPr>
      </w:pPr>
      <w:r>
        <w:rPr>
          <w:rFonts w:cs="Arial"/>
          <w:lang w:val="en"/>
        </w:rPr>
        <w:t xml:space="preserve">The </w:t>
      </w:r>
      <w:r>
        <w:rPr>
          <w:rFonts w:cs="Arial"/>
          <w:i/>
          <w:lang w:val="en"/>
        </w:rPr>
        <w:t>Declaration of the Rights of Man and of the Citizen</w:t>
      </w:r>
      <w:r>
        <w:rPr>
          <w:rFonts w:cs="Arial"/>
          <w:lang w:val="en"/>
        </w:rPr>
        <w:t xml:space="preserve"> in France in 1789</w:t>
      </w:r>
      <w:r w:rsidR="00506DE5">
        <w:rPr>
          <w:rFonts w:cs="Arial"/>
          <w:lang w:val="en"/>
        </w:rPr>
        <w:t>,</w:t>
      </w:r>
      <w:r>
        <w:rPr>
          <w:rFonts w:cs="Arial"/>
          <w:lang w:val="en"/>
        </w:rPr>
        <w:t xml:space="preserve"> which proclaimed that all citizens are to be guaranteed the rights to liberty, property, security and resistance to oppres</w:t>
      </w:r>
      <w:r w:rsidR="007041C1">
        <w:rPr>
          <w:rFonts w:cs="Arial"/>
          <w:lang w:val="en"/>
        </w:rPr>
        <w:t>sion.</w:t>
      </w:r>
    </w:p>
    <w:p w:rsidR="007041C1" w:rsidRPr="000635B6" w:rsidRDefault="007041C1" w:rsidP="007041C1">
      <w:pPr>
        <w:rPr>
          <w:rFonts w:cs="Arial"/>
        </w:rPr>
      </w:pPr>
      <w:r>
        <w:rPr>
          <w:rFonts w:cs="Arial"/>
        </w:rPr>
        <w:t xml:space="preserve">The concept of human rights and freedoms </w:t>
      </w:r>
      <w:r w:rsidR="00F45AC1">
        <w:rPr>
          <w:rFonts w:cs="Arial"/>
        </w:rPr>
        <w:t xml:space="preserve">also </w:t>
      </w:r>
      <w:r>
        <w:rPr>
          <w:rFonts w:cs="Arial"/>
        </w:rPr>
        <w:t>evolved through philosophical movements, such as the Enlightenment of the 17</w:t>
      </w:r>
      <w:r w:rsidRPr="002D313B">
        <w:rPr>
          <w:rFonts w:cs="Arial"/>
          <w:vertAlign w:val="superscript"/>
        </w:rPr>
        <w:t>th</w:t>
      </w:r>
      <w:r>
        <w:rPr>
          <w:rFonts w:cs="Arial"/>
        </w:rPr>
        <w:t xml:space="preserve"> and 18</w:t>
      </w:r>
      <w:r w:rsidRPr="002D313B">
        <w:rPr>
          <w:rFonts w:cs="Arial"/>
          <w:vertAlign w:val="superscript"/>
        </w:rPr>
        <w:t>th</w:t>
      </w:r>
      <w:r>
        <w:rPr>
          <w:rFonts w:cs="Arial"/>
        </w:rPr>
        <w:t xml:space="preserve"> centuries. </w:t>
      </w:r>
      <w:r w:rsidR="00232E63">
        <w:rPr>
          <w:rFonts w:cs="Arial"/>
          <w:lang w:val="en"/>
        </w:rPr>
        <w:t xml:space="preserve">This </w:t>
      </w:r>
      <w:proofErr w:type="spellStart"/>
      <w:r w:rsidR="005C6F30">
        <w:rPr>
          <w:rFonts w:cs="Arial"/>
          <w:lang w:val="en"/>
        </w:rPr>
        <w:t>emphasised</w:t>
      </w:r>
      <w:proofErr w:type="spellEnd"/>
      <w:r w:rsidR="00F45AC1">
        <w:rPr>
          <w:rFonts w:cs="Arial"/>
          <w:lang w:val="en"/>
        </w:rPr>
        <w:t xml:space="preserve"> </w:t>
      </w:r>
      <w:r w:rsidR="00232E63">
        <w:rPr>
          <w:rFonts w:cs="Arial"/>
          <w:lang w:val="en"/>
        </w:rPr>
        <w:t>that p</w:t>
      </w:r>
      <w:r w:rsidRPr="00096158">
        <w:rPr>
          <w:rFonts w:cs="Arial"/>
          <w:lang w:val="en"/>
        </w:rPr>
        <w:t>eople</w:t>
      </w:r>
      <w:r w:rsidRPr="00096158">
        <w:rPr>
          <w:rFonts w:cs="Arial"/>
        </w:rPr>
        <w:t xml:space="preserve"> </w:t>
      </w:r>
      <w:r w:rsidR="00232E63">
        <w:rPr>
          <w:rFonts w:cs="Arial"/>
        </w:rPr>
        <w:t xml:space="preserve">should </w:t>
      </w:r>
      <w:r w:rsidRPr="00096158">
        <w:rPr>
          <w:rFonts w:cs="Arial"/>
        </w:rPr>
        <w:t xml:space="preserve">be able to pursue their own </w:t>
      </w:r>
      <w:r>
        <w:rPr>
          <w:rFonts w:cs="Arial"/>
        </w:rPr>
        <w:t xml:space="preserve">opportunities, </w:t>
      </w:r>
      <w:r w:rsidRPr="00096158">
        <w:rPr>
          <w:rFonts w:cs="Arial"/>
        </w:rPr>
        <w:t>activities</w:t>
      </w:r>
      <w:r>
        <w:rPr>
          <w:rFonts w:cs="Arial"/>
        </w:rPr>
        <w:t xml:space="preserve"> and enterprise free from unnecessary interference</w:t>
      </w:r>
      <w:r w:rsidR="00232E63">
        <w:rPr>
          <w:rFonts w:cs="Arial"/>
        </w:rPr>
        <w:t xml:space="preserve"> and </w:t>
      </w:r>
      <w:r w:rsidR="00B6056E">
        <w:rPr>
          <w:rFonts w:cs="Arial"/>
        </w:rPr>
        <w:t xml:space="preserve">free from </w:t>
      </w:r>
      <w:r w:rsidRPr="00096158">
        <w:rPr>
          <w:rFonts w:cs="Arial"/>
        </w:rPr>
        <w:t xml:space="preserve">the potential abuse of power by </w:t>
      </w:r>
      <w:r w:rsidR="00232E63">
        <w:rPr>
          <w:rFonts w:cs="Arial"/>
        </w:rPr>
        <w:t xml:space="preserve">the monarchy or </w:t>
      </w:r>
      <w:r w:rsidRPr="00096158">
        <w:rPr>
          <w:rFonts w:cs="Arial"/>
        </w:rPr>
        <w:t>government.</w:t>
      </w:r>
      <w:r>
        <w:rPr>
          <w:rFonts w:cs="Arial"/>
        </w:rPr>
        <w:t xml:space="preserve"> </w:t>
      </w:r>
    </w:p>
    <w:p w:rsidR="00176D5D" w:rsidRPr="006D7572" w:rsidRDefault="0052009C" w:rsidP="00176D5D">
      <w:pPr>
        <w:rPr>
          <w:rFonts w:cs="Arial"/>
        </w:rPr>
      </w:pPr>
      <w:r w:rsidRPr="00232E63">
        <w:rPr>
          <w:rFonts w:cs="Arial"/>
          <w:lang w:val="en"/>
        </w:rPr>
        <w:t xml:space="preserve">The 1948 </w:t>
      </w:r>
      <w:r w:rsidRPr="00232E63">
        <w:rPr>
          <w:rFonts w:cs="Arial"/>
          <w:i/>
          <w:lang w:val="en"/>
        </w:rPr>
        <w:t>Universal Declaration of Human Rights</w:t>
      </w:r>
      <w:r w:rsidRPr="00232E63">
        <w:rPr>
          <w:rFonts w:cs="Arial"/>
          <w:lang w:val="en"/>
        </w:rPr>
        <w:t xml:space="preserve"> </w:t>
      </w:r>
      <w:r w:rsidRPr="00232E63">
        <w:rPr>
          <w:rFonts w:cs="Arial"/>
        </w:rPr>
        <w:t>internationalised</w:t>
      </w:r>
      <w:r w:rsidRPr="00232E63">
        <w:rPr>
          <w:rFonts w:cs="Arial"/>
          <w:lang w:val="en"/>
        </w:rPr>
        <w:t xml:space="preserve"> the idea of human rights </w:t>
      </w:r>
      <w:r w:rsidR="005C722B" w:rsidRPr="00232E63">
        <w:rPr>
          <w:rFonts w:cs="Arial"/>
          <w:lang w:val="en"/>
        </w:rPr>
        <w:t xml:space="preserve">to all people in the world, </w:t>
      </w:r>
      <w:r w:rsidRPr="00232E63">
        <w:rPr>
          <w:rFonts w:cs="Arial"/>
          <w:lang w:val="en"/>
        </w:rPr>
        <w:t>particularly after the</w:t>
      </w:r>
      <w:r w:rsidR="00DC661D" w:rsidRPr="00232E63">
        <w:rPr>
          <w:rFonts w:cs="Arial"/>
          <w:lang w:val="en"/>
        </w:rPr>
        <w:t xml:space="preserve"> atrocities</w:t>
      </w:r>
      <w:r w:rsidRPr="00232E63">
        <w:rPr>
          <w:rFonts w:cs="Arial"/>
          <w:lang w:val="en"/>
        </w:rPr>
        <w:t xml:space="preserve"> of </w:t>
      </w:r>
      <w:r w:rsidR="00DC661D" w:rsidRPr="00232E63">
        <w:rPr>
          <w:rFonts w:cs="Arial"/>
          <w:lang w:val="en"/>
        </w:rPr>
        <w:t xml:space="preserve">the </w:t>
      </w:r>
      <w:r w:rsidRPr="00232E63">
        <w:rPr>
          <w:rFonts w:cs="Arial"/>
          <w:lang w:val="en"/>
        </w:rPr>
        <w:t xml:space="preserve">Nazi and </w:t>
      </w:r>
      <w:r w:rsidR="00DC661D" w:rsidRPr="00232E63">
        <w:rPr>
          <w:rFonts w:cs="Arial"/>
          <w:lang w:val="en"/>
        </w:rPr>
        <w:t>fascist</w:t>
      </w:r>
      <w:r w:rsidRPr="00232E63">
        <w:rPr>
          <w:rFonts w:cs="Arial"/>
          <w:lang w:val="en"/>
        </w:rPr>
        <w:t xml:space="preserve"> regimes and World War</w:t>
      </w:r>
      <w:r w:rsidR="00DC661D" w:rsidRPr="00232E63">
        <w:rPr>
          <w:rFonts w:cs="Arial"/>
          <w:lang w:val="en"/>
        </w:rPr>
        <w:t xml:space="preserve"> II</w:t>
      </w:r>
      <w:r w:rsidRPr="00232E63">
        <w:rPr>
          <w:rFonts w:cs="Arial"/>
          <w:lang w:val="en"/>
        </w:rPr>
        <w:t xml:space="preserve">. </w:t>
      </w:r>
      <w:r w:rsidR="00176D5D">
        <w:rPr>
          <w:rFonts w:cs="Arial"/>
        </w:rPr>
        <w:t xml:space="preserve"> It</w:t>
      </w:r>
      <w:r w:rsidR="00176D5D" w:rsidRPr="006D7572">
        <w:rPr>
          <w:rFonts w:cs="Arial"/>
        </w:rPr>
        <w:t xml:space="preserve"> </w:t>
      </w:r>
      <w:r w:rsidR="00176D5D">
        <w:rPr>
          <w:rFonts w:cs="Arial"/>
        </w:rPr>
        <w:t>provides that</w:t>
      </w:r>
      <w:r w:rsidR="00176D5D" w:rsidRPr="006D7572">
        <w:rPr>
          <w:rFonts w:cs="Arial"/>
        </w:rPr>
        <w:t xml:space="preserve"> all people are born </w:t>
      </w:r>
      <w:r w:rsidR="00176D5D">
        <w:rPr>
          <w:rFonts w:cs="Arial"/>
        </w:rPr>
        <w:t>free and equal. R</w:t>
      </w:r>
      <w:r w:rsidR="00176D5D" w:rsidRPr="006D7572">
        <w:rPr>
          <w:rFonts w:cs="Arial"/>
        </w:rPr>
        <w:t>ights</w:t>
      </w:r>
      <w:r w:rsidR="00176D5D">
        <w:rPr>
          <w:rFonts w:cs="Arial"/>
        </w:rPr>
        <w:t xml:space="preserve"> and freedoms</w:t>
      </w:r>
      <w:r w:rsidR="00176D5D" w:rsidRPr="006D7572">
        <w:rPr>
          <w:rFonts w:cs="Arial"/>
        </w:rPr>
        <w:t xml:space="preserve"> are universal (held by everyone) and inalienable (exist whether they are recognised by governments or not).</w:t>
      </w:r>
    </w:p>
    <w:p w:rsidR="00F3353B" w:rsidRPr="00F3353B" w:rsidRDefault="00F3353B" w:rsidP="00F3353B">
      <w:pPr>
        <w:rPr>
          <w:rFonts w:cs="Arial"/>
          <w:lang w:val="en"/>
        </w:rPr>
      </w:pPr>
      <w:r>
        <w:rPr>
          <w:rFonts w:cs="Arial"/>
          <w:lang w:val="en"/>
        </w:rPr>
        <w:t xml:space="preserve">Since 1948, </w:t>
      </w:r>
      <w:r w:rsidRPr="00F3353B">
        <w:rPr>
          <w:rFonts w:cs="Arial"/>
          <w:lang w:val="en"/>
        </w:rPr>
        <w:t xml:space="preserve">human rights </w:t>
      </w:r>
      <w:r w:rsidR="00232E63">
        <w:rPr>
          <w:rFonts w:cs="Arial"/>
          <w:lang w:val="en"/>
        </w:rPr>
        <w:t>have</w:t>
      </w:r>
      <w:r w:rsidR="00452624">
        <w:rPr>
          <w:rFonts w:cs="Arial"/>
          <w:lang w:val="en"/>
        </w:rPr>
        <w:t xml:space="preserve"> also</w:t>
      </w:r>
      <w:r w:rsidR="00232E63">
        <w:rPr>
          <w:rFonts w:cs="Arial"/>
          <w:lang w:val="en"/>
        </w:rPr>
        <w:t xml:space="preserve"> been</w:t>
      </w:r>
      <w:r w:rsidRPr="00F3353B">
        <w:rPr>
          <w:rFonts w:cs="Arial"/>
          <w:lang w:val="en"/>
        </w:rPr>
        <w:t xml:space="preserve"> </w:t>
      </w:r>
      <w:r w:rsidR="00AC4102">
        <w:rPr>
          <w:rFonts w:cs="Arial"/>
          <w:lang w:val="en"/>
        </w:rPr>
        <w:t>expressed in the form</w:t>
      </w:r>
      <w:r w:rsidRPr="00F3353B">
        <w:rPr>
          <w:rFonts w:cs="Arial"/>
          <w:lang w:val="en"/>
        </w:rPr>
        <w:t xml:space="preserve"> of </w:t>
      </w:r>
      <w:r w:rsidR="00452624">
        <w:rPr>
          <w:rFonts w:cs="Arial"/>
          <w:lang w:val="en"/>
        </w:rPr>
        <w:t xml:space="preserve">international </w:t>
      </w:r>
      <w:r w:rsidRPr="00F3353B">
        <w:rPr>
          <w:rFonts w:cs="Arial"/>
          <w:lang w:val="en"/>
        </w:rPr>
        <w:t xml:space="preserve">treaties, customary international law, general principles and other sources of international law. International human </w:t>
      </w:r>
      <w:r w:rsidR="00452624">
        <w:rPr>
          <w:rFonts w:cs="Arial"/>
          <w:lang w:val="en"/>
        </w:rPr>
        <w:t xml:space="preserve">rights treaties outline </w:t>
      </w:r>
      <w:r w:rsidR="00CC4002">
        <w:rPr>
          <w:rFonts w:cs="Arial"/>
          <w:lang w:val="en"/>
        </w:rPr>
        <w:t>obligations of g</w:t>
      </w:r>
      <w:r w:rsidRPr="00F3353B">
        <w:rPr>
          <w:rFonts w:cs="Arial"/>
          <w:lang w:val="en"/>
        </w:rPr>
        <w:t>overnments to act in certain ways or to refrain from certain acts, in order to promote and protect human rights and fundamental freedoms of individuals or groups.</w:t>
      </w:r>
    </w:p>
    <w:p w:rsidR="007D1C13" w:rsidRPr="006D7572" w:rsidRDefault="007D1C13">
      <w:pPr>
        <w:rPr>
          <w:lang w:val="en"/>
        </w:rPr>
      </w:pPr>
      <w:r w:rsidRPr="006D7572">
        <w:rPr>
          <w:lang w:val="en"/>
        </w:rPr>
        <w:t>Australia has agreed to uphold and respect the</w:t>
      </w:r>
      <w:r w:rsidR="007F7937">
        <w:rPr>
          <w:lang w:val="en"/>
        </w:rPr>
        <w:t xml:space="preserve"> </w:t>
      </w:r>
      <w:r w:rsidR="00DC5B0E">
        <w:rPr>
          <w:lang w:val="en"/>
        </w:rPr>
        <w:t>seven</w:t>
      </w:r>
      <w:r w:rsidR="007F7937">
        <w:rPr>
          <w:lang w:val="en"/>
        </w:rPr>
        <w:t xml:space="preserve"> main</w:t>
      </w:r>
      <w:r w:rsidRPr="006D7572">
        <w:rPr>
          <w:lang w:val="en"/>
        </w:rPr>
        <w:t xml:space="preserve"> </w:t>
      </w:r>
      <w:r w:rsidR="00947A7D">
        <w:rPr>
          <w:lang w:val="en"/>
        </w:rPr>
        <w:t xml:space="preserve">international </w:t>
      </w:r>
      <w:r w:rsidRPr="006D7572">
        <w:rPr>
          <w:lang w:val="en"/>
        </w:rPr>
        <w:t>human rights treaties</w:t>
      </w:r>
      <w:r w:rsidR="007F7937">
        <w:rPr>
          <w:lang w:val="en"/>
        </w:rPr>
        <w:t>, namely</w:t>
      </w:r>
      <w:r w:rsidR="0052009C">
        <w:rPr>
          <w:lang w:val="en"/>
        </w:rPr>
        <w:t xml:space="preserve"> the</w:t>
      </w:r>
      <w:r w:rsidRPr="006D7572">
        <w:rPr>
          <w:lang w:val="en"/>
        </w:rPr>
        <w:t>:</w:t>
      </w:r>
    </w:p>
    <w:p w:rsidR="007D1C13" w:rsidRPr="006D7572" w:rsidRDefault="003A4521" w:rsidP="00B6056E">
      <w:pPr>
        <w:pStyle w:val="ListParagraph"/>
        <w:numPr>
          <w:ilvl w:val="0"/>
          <w:numId w:val="41"/>
        </w:numPr>
        <w:rPr>
          <w:rFonts w:cs="Arial"/>
          <w:i/>
          <w:lang w:val="en"/>
        </w:rPr>
      </w:pPr>
      <w:hyperlink r:id="rId10" w:history="1">
        <w:r w:rsidR="007D1C13" w:rsidRPr="006D7572">
          <w:rPr>
            <w:rFonts w:cs="Arial"/>
            <w:i/>
            <w:lang w:val="en"/>
          </w:rPr>
          <w:t>International Covenant on Civil and Political Rights</w:t>
        </w:r>
      </w:hyperlink>
    </w:p>
    <w:p w:rsidR="007D1C13" w:rsidRPr="006D7572" w:rsidRDefault="003A4521" w:rsidP="00B6056E">
      <w:pPr>
        <w:pStyle w:val="ListParagraph"/>
        <w:numPr>
          <w:ilvl w:val="0"/>
          <w:numId w:val="41"/>
        </w:numPr>
        <w:rPr>
          <w:rFonts w:cs="Arial"/>
          <w:i/>
          <w:lang w:val="en"/>
        </w:rPr>
      </w:pPr>
      <w:hyperlink r:id="rId11" w:history="1">
        <w:r w:rsidR="007D1C13" w:rsidRPr="006D7572">
          <w:rPr>
            <w:rFonts w:cs="Arial"/>
            <w:i/>
            <w:lang w:val="en"/>
          </w:rPr>
          <w:t>International Covenant on Economic, Social and Cultural Rights</w:t>
        </w:r>
      </w:hyperlink>
    </w:p>
    <w:p w:rsidR="007D1C13" w:rsidRPr="006D7572" w:rsidRDefault="000635B6" w:rsidP="00B6056E">
      <w:pPr>
        <w:pStyle w:val="ListParagraph"/>
        <w:numPr>
          <w:ilvl w:val="0"/>
          <w:numId w:val="41"/>
        </w:numPr>
        <w:rPr>
          <w:rFonts w:cs="Arial"/>
          <w:i/>
          <w:lang w:val="en"/>
        </w:rPr>
      </w:pPr>
      <w:r w:rsidRPr="000635B6">
        <w:rPr>
          <w:i/>
        </w:rPr>
        <w:t xml:space="preserve">International </w:t>
      </w:r>
      <w:hyperlink r:id="rId12" w:history="1">
        <w:r w:rsidR="007D1C13" w:rsidRPr="006D7572">
          <w:rPr>
            <w:rFonts w:cs="Arial"/>
            <w:i/>
            <w:lang w:val="en"/>
          </w:rPr>
          <w:t>Convention on the Elimination of All Forms of Racial Discrimination</w:t>
        </w:r>
      </w:hyperlink>
    </w:p>
    <w:p w:rsidR="007D1C13" w:rsidRPr="006D7572" w:rsidRDefault="003A4521" w:rsidP="00B6056E">
      <w:pPr>
        <w:pStyle w:val="ListParagraph"/>
        <w:numPr>
          <w:ilvl w:val="0"/>
          <w:numId w:val="41"/>
        </w:numPr>
        <w:rPr>
          <w:rFonts w:cs="Arial"/>
          <w:i/>
          <w:lang w:val="en"/>
        </w:rPr>
      </w:pPr>
      <w:hyperlink r:id="rId13" w:history="1">
        <w:r w:rsidR="007D1C13" w:rsidRPr="006D7572">
          <w:rPr>
            <w:rFonts w:cs="Arial"/>
            <w:i/>
            <w:lang w:val="en"/>
          </w:rPr>
          <w:t>Convention on the Elimination of All Forms of Discrimination against Women</w:t>
        </w:r>
      </w:hyperlink>
    </w:p>
    <w:p w:rsidR="007D1C13" w:rsidRPr="006D7572" w:rsidRDefault="003A4521" w:rsidP="00B6056E">
      <w:pPr>
        <w:pStyle w:val="ListParagraph"/>
        <w:numPr>
          <w:ilvl w:val="0"/>
          <w:numId w:val="41"/>
        </w:numPr>
        <w:rPr>
          <w:rFonts w:cs="Arial"/>
          <w:i/>
          <w:lang w:val="en"/>
        </w:rPr>
      </w:pPr>
      <w:hyperlink r:id="rId14" w:history="1">
        <w:r w:rsidR="007D1C13" w:rsidRPr="006D7572">
          <w:rPr>
            <w:rFonts w:cs="Arial"/>
            <w:i/>
            <w:lang w:val="en"/>
          </w:rPr>
          <w:t>Convention Against Torture and Other Cruel, Inhuman or Degrading Treatment or Punishment</w:t>
        </w:r>
      </w:hyperlink>
      <w:r w:rsidR="00C04E2A" w:rsidRPr="006D7572">
        <w:rPr>
          <w:rFonts w:cs="Arial"/>
          <w:lang w:val="en"/>
        </w:rPr>
        <w:t xml:space="preserve"> </w:t>
      </w:r>
    </w:p>
    <w:p w:rsidR="007D1C13" w:rsidRPr="006D7572" w:rsidRDefault="003A4521" w:rsidP="00B6056E">
      <w:pPr>
        <w:pStyle w:val="ListParagraph"/>
        <w:numPr>
          <w:ilvl w:val="0"/>
          <w:numId w:val="41"/>
        </w:numPr>
        <w:rPr>
          <w:rFonts w:cs="Arial"/>
          <w:i/>
          <w:lang w:val="en"/>
        </w:rPr>
      </w:pPr>
      <w:hyperlink r:id="rId15" w:history="1">
        <w:r w:rsidR="007D1C13" w:rsidRPr="006D7572">
          <w:rPr>
            <w:rFonts w:cs="Arial"/>
            <w:i/>
            <w:lang w:val="en"/>
          </w:rPr>
          <w:t>Convention on the Rights of the Child</w:t>
        </w:r>
      </w:hyperlink>
    </w:p>
    <w:p w:rsidR="007A4F55" w:rsidRPr="00D57BE5" w:rsidRDefault="003A4521" w:rsidP="00B6056E">
      <w:pPr>
        <w:pStyle w:val="ListParagraph"/>
        <w:numPr>
          <w:ilvl w:val="0"/>
          <w:numId w:val="41"/>
        </w:numPr>
        <w:rPr>
          <w:rFonts w:cs="Arial"/>
          <w:i/>
          <w:lang w:val="en"/>
        </w:rPr>
      </w:pPr>
      <w:hyperlink r:id="rId16" w:history="1">
        <w:r w:rsidR="007D1C13" w:rsidRPr="006D7572">
          <w:rPr>
            <w:rFonts w:cs="Arial"/>
            <w:i/>
            <w:lang w:val="en"/>
          </w:rPr>
          <w:t>Convention on the Rights of Persons with Disabilities</w:t>
        </w:r>
      </w:hyperlink>
      <w:r w:rsidR="007D1C13" w:rsidRPr="006D7572">
        <w:rPr>
          <w:rFonts w:cs="Arial"/>
          <w:i/>
          <w:lang w:val="en"/>
        </w:rPr>
        <w:t>.</w:t>
      </w:r>
    </w:p>
    <w:p w:rsidR="004422F8" w:rsidRPr="00806013" w:rsidRDefault="004422F8" w:rsidP="00806013">
      <w:pPr>
        <w:pStyle w:val="Heading1"/>
        <w:numPr>
          <w:ilvl w:val="0"/>
          <w:numId w:val="0"/>
        </w:numPr>
        <w:rPr>
          <w:rFonts w:cs="Arial"/>
          <w:sz w:val="24"/>
          <w:szCs w:val="24"/>
        </w:rPr>
      </w:pPr>
      <w:r w:rsidRPr="00806013">
        <w:rPr>
          <w:rFonts w:cs="Arial"/>
          <w:sz w:val="24"/>
          <w:szCs w:val="24"/>
        </w:rPr>
        <w:lastRenderedPageBreak/>
        <w:t>Rights</w:t>
      </w:r>
      <w:r w:rsidRPr="00806013">
        <w:rPr>
          <w:sz w:val="24"/>
          <w:szCs w:val="24"/>
        </w:rPr>
        <w:t xml:space="preserve"> </w:t>
      </w:r>
      <w:r w:rsidRPr="00806013">
        <w:rPr>
          <w:i/>
          <w:sz w:val="24"/>
          <w:szCs w:val="24"/>
        </w:rPr>
        <w:t>and</w:t>
      </w:r>
      <w:r w:rsidRPr="00806013">
        <w:rPr>
          <w:sz w:val="24"/>
          <w:szCs w:val="24"/>
        </w:rPr>
        <w:t xml:space="preserve"> responsibilities</w:t>
      </w:r>
    </w:p>
    <w:p w:rsidR="0052009C" w:rsidRDefault="004422F8" w:rsidP="00F014E8">
      <w:pPr>
        <w:shd w:val="clear" w:color="auto" w:fill="FFFFFF"/>
        <w:spacing w:before="180" w:after="100" w:afterAutospacing="1"/>
      </w:pPr>
      <w:r>
        <w:t>The exercise of rights and freedoms is not absolute</w:t>
      </w:r>
      <w:r w:rsidR="007F7937">
        <w:t>.</w:t>
      </w:r>
      <w:r>
        <w:t xml:space="preserve"> </w:t>
      </w:r>
      <w:r w:rsidR="007F7937">
        <w:t>L</w:t>
      </w:r>
      <w:r>
        <w:t xml:space="preserve">imits on rights have been established to ensure individuals do not harm others when </w:t>
      </w:r>
      <w:r w:rsidR="00452624">
        <w:t xml:space="preserve">exercising </w:t>
      </w:r>
      <w:r>
        <w:t>their own rights. This means that h</w:t>
      </w:r>
      <w:r w:rsidRPr="00915055">
        <w:t>uman rights must be exercised responsibly and with respect for the reciprocal rights of others.</w:t>
      </w:r>
      <w:r>
        <w:t xml:space="preserve"> </w:t>
      </w:r>
    </w:p>
    <w:p w:rsidR="0052009C" w:rsidRDefault="00211C1F" w:rsidP="00F014E8">
      <w:pPr>
        <w:shd w:val="clear" w:color="auto" w:fill="FFFFFF"/>
        <w:spacing w:before="180" w:after="100" w:afterAutospacing="1"/>
      </w:pPr>
      <w:r>
        <w:t>I</w:t>
      </w:r>
      <w:r w:rsidR="0052009C">
        <w:t>ndividuals have a responsibility to exercise their freedoms with respect for others</w:t>
      </w:r>
      <w:r w:rsidR="00AC4102">
        <w:t>,</w:t>
      </w:r>
      <w:r w:rsidR="0052009C">
        <w:t xml:space="preserve"> and to accept that society and the community</w:t>
      </w:r>
      <w:r w:rsidR="00701D5F">
        <w:t xml:space="preserve"> will hold people accountable</w:t>
      </w:r>
      <w:r w:rsidR="0052009C">
        <w:t xml:space="preserve"> for how they exercise their freedoms.</w:t>
      </w:r>
    </w:p>
    <w:p w:rsidR="004422F8" w:rsidRDefault="004422F8" w:rsidP="00F014E8">
      <w:pPr>
        <w:shd w:val="clear" w:color="auto" w:fill="FFFFFF"/>
        <w:spacing w:before="180" w:after="100" w:afterAutospacing="1"/>
      </w:pPr>
      <w:r>
        <w:t>Where rights are expressed in international treaties, the exercise of some human rights may also carry ‘special duties and responsibilities’.</w:t>
      </w:r>
      <w:r>
        <w:rPr>
          <w:rStyle w:val="EndnoteReference"/>
        </w:rPr>
        <w:endnoteReference w:id="1"/>
      </w:r>
      <w:r>
        <w:t xml:space="preserve"> Notably, any measure that limits a human right must be ‘necessary, reasonable and proportionate and</w:t>
      </w:r>
      <w:proofErr w:type="gramStart"/>
      <w:r>
        <w:t>…[</w:t>
      </w:r>
      <w:proofErr w:type="gramEnd"/>
      <w:r>
        <w:t>have] adequate safeguards against abuse’.</w:t>
      </w:r>
      <w:r>
        <w:rPr>
          <w:rStyle w:val="EndnoteReference"/>
        </w:rPr>
        <w:endnoteReference w:id="2"/>
      </w:r>
    </w:p>
    <w:p w:rsidR="004422F8" w:rsidRDefault="00176D5D" w:rsidP="001C4C5D">
      <w:pPr>
        <w:shd w:val="clear" w:color="auto" w:fill="FFFFFF"/>
        <w:spacing w:before="180" w:after="100" w:afterAutospacing="1"/>
      </w:pPr>
      <w:r>
        <w:t>L</w:t>
      </w:r>
      <w:r w:rsidR="004422F8">
        <w:t>imits on rights ha</w:t>
      </w:r>
      <w:r>
        <w:t>ve</w:t>
      </w:r>
      <w:r w:rsidR="004422F8">
        <w:t xml:space="preserve"> two dimensions: first, there are limits on the extent to which governments may restrict the human rights of indiv</w:t>
      </w:r>
      <w:r w:rsidR="009A7875">
        <w:t>iduals; and second, limits</w:t>
      </w:r>
      <w:r w:rsidR="004422F8">
        <w:t xml:space="preserve"> guide individuals about the point at which their rights may affect others’ rights or values.</w:t>
      </w:r>
      <w:r w:rsidR="004422F8">
        <w:rPr>
          <w:rStyle w:val="EndnoteReference"/>
        </w:rPr>
        <w:endnoteReference w:id="3"/>
      </w:r>
    </w:p>
    <w:p w:rsidR="004422F8" w:rsidRPr="0058678F" w:rsidRDefault="004422F8" w:rsidP="00F014E8">
      <w:pPr>
        <w:shd w:val="clear" w:color="auto" w:fill="FFFFFF"/>
        <w:spacing w:before="180" w:after="100" w:afterAutospacing="1"/>
        <w:rPr>
          <w:b/>
          <w:i/>
        </w:rPr>
      </w:pPr>
      <w:r w:rsidRPr="0058678F">
        <w:rPr>
          <w:b/>
        </w:rPr>
        <w:t>The Australian context –</w:t>
      </w:r>
      <w:r w:rsidRPr="0058678F">
        <w:rPr>
          <w:b/>
          <w:i/>
        </w:rPr>
        <w:t xml:space="preserve"> Rights &amp; Responsibilities 2014</w:t>
      </w:r>
    </w:p>
    <w:p w:rsidR="004422F8" w:rsidRDefault="00E915BD" w:rsidP="00145D67">
      <w:pPr>
        <w:shd w:val="clear" w:color="auto" w:fill="FFFFFF"/>
        <w:spacing w:before="180" w:after="100" w:afterAutospacing="1"/>
      </w:pPr>
      <w:r>
        <w:t>H</w:t>
      </w:r>
      <w:r w:rsidR="004422F8">
        <w:t>uman rights are protected</w:t>
      </w:r>
      <w:r>
        <w:t xml:space="preserve"> in Australia through a myriad of</w:t>
      </w:r>
      <w:r w:rsidR="004422F8">
        <w:t xml:space="preserve"> federal, state and territory laws, </w:t>
      </w:r>
      <w:r>
        <w:t>policies and practice, as well as through the</w:t>
      </w:r>
      <w:r w:rsidR="004422F8">
        <w:t xml:space="preserve"> common law </w:t>
      </w:r>
      <w:r>
        <w:t xml:space="preserve">(that is, </w:t>
      </w:r>
      <w:r w:rsidR="004422F8">
        <w:t>decisions</w:t>
      </w:r>
      <w:r>
        <w:t xml:space="preserve"> of the courts)</w:t>
      </w:r>
      <w:r w:rsidR="00701D5F">
        <w:t xml:space="preserve"> and</w:t>
      </w:r>
      <w:r w:rsidR="0052009C">
        <w:t xml:space="preserve"> culture</w:t>
      </w:r>
      <w:r w:rsidR="004422F8">
        <w:t>.</w:t>
      </w:r>
      <w:r w:rsidR="004422F8">
        <w:rPr>
          <w:rStyle w:val="EndnoteReference"/>
        </w:rPr>
        <w:endnoteReference w:id="4"/>
      </w:r>
      <w:r w:rsidR="004422F8">
        <w:t xml:space="preserve"> </w:t>
      </w:r>
      <w:r w:rsidR="0052009C">
        <w:t xml:space="preserve">Australia </w:t>
      </w:r>
      <w:r>
        <w:t xml:space="preserve">has not fully implemented all of its </w:t>
      </w:r>
      <w:r w:rsidR="0052009C">
        <w:t xml:space="preserve">commitments in </w:t>
      </w:r>
      <w:r>
        <w:t xml:space="preserve">international human rights </w:t>
      </w:r>
      <w:r w:rsidR="0052009C">
        <w:t>treaties</w:t>
      </w:r>
      <w:r>
        <w:t>, such as through a constitutional or statutory charter of human rights at the national level.</w:t>
      </w:r>
      <w:r>
        <w:rPr>
          <w:rStyle w:val="EndnoteReference"/>
        </w:rPr>
        <w:endnoteReference w:id="5"/>
      </w:r>
    </w:p>
    <w:p w:rsidR="00E915BD" w:rsidRDefault="004422F8" w:rsidP="00670590">
      <w:pPr>
        <w:shd w:val="clear" w:color="auto" w:fill="FFFFFF"/>
        <w:spacing w:before="180" w:after="100" w:afterAutospacing="1"/>
      </w:pPr>
      <w:r>
        <w:t>At the federal level, the</w:t>
      </w:r>
      <w:r w:rsidRPr="004C0FD5">
        <w:t xml:space="preserve"> </w:t>
      </w:r>
      <w:r w:rsidRPr="004C0FD5">
        <w:rPr>
          <w:i/>
        </w:rPr>
        <w:t>Human Rights (Parliamentary Scrutiny) Act 2011</w:t>
      </w:r>
      <w:r w:rsidRPr="004C0FD5">
        <w:t xml:space="preserve"> </w:t>
      </w:r>
      <w:r>
        <w:t xml:space="preserve">provides a mechanism to </w:t>
      </w:r>
      <w:r w:rsidR="00E915BD">
        <w:t xml:space="preserve">consider whether any new </w:t>
      </w:r>
      <w:r w:rsidR="00F55FAB">
        <w:t xml:space="preserve">legislation </w:t>
      </w:r>
      <w:r w:rsidR="00E915BD">
        <w:t xml:space="preserve">is compatible </w:t>
      </w:r>
      <w:r w:rsidR="00F55FAB">
        <w:t>with human rights</w:t>
      </w:r>
      <w:r w:rsidR="00E915BD">
        <w:t>.</w:t>
      </w:r>
      <w:r w:rsidR="00F55FAB">
        <w:t xml:space="preserve"> </w:t>
      </w:r>
      <w:proofErr w:type="gramStart"/>
      <w:r w:rsidR="002D313B" w:rsidRPr="00CC6F5E">
        <w:t>A</w:t>
      </w:r>
      <w:r w:rsidR="00C21046">
        <w:t>n assessment</w:t>
      </w:r>
      <w:r w:rsidR="002D313B" w:rsidRPr="00CC6F5E">
        <w:t xml:space="preserve"> </w:t>
      </w:r>
      <w:r w:rsidR="00C21046">
        <w:t>of</w:t>
      </w:r>
      <w:r w:rsidR="00E915BD" w:rsidRPr="00CC6F5E">
        <w:t xml:space="preserve"> whether</w:t>
      </w:r>
      <w:r w:rsidR="002D313B" w:rsidRPr="00CC6F5E">
        <w:t xml:space="preserve"> legislation is compatible with human rights</w:t>
      </w:r>
      <w:r w:rsidR="00E915BD" w:rsidRPr="00CC6F5E">
        <w:t xml:space="preserve"> or not</w:t>
      </w:r>
      <w:r w:rsidR="004964EA" w:rsidRPr="00CC6F5E">
        <w:t xml:space="preserve"> </w:t>
      </w:r>
      <w:r w:rsidR="00701D5F">
        <w:t>is undertaken</w:t>
      </w:r>
      <w:r w:rsidR="00E915BD" w:rsidRPr="00CC6F5E">
        <w:t xml:space="preserve"> by a Joint</w:t>
      </w:r>
      <w:r w:rsidRPr="00CC6F5E">
        <w:t xml:space="preserve"> Parliamentary Committee on Human Rights (Joint Committee).</w:t>
      </w:r>
      <w:proofErr w:type="gramEnd"/>
      <w:r w:rsidRPr="00CC6F5E">
        <w:rPr>
          <w:rStyle w:val="EndnoteReference"/>
        </w:rPr>
        <w:endnoteReference w:id="6"/>
      </w:r>
    </w:p>
    <w:p w:rsidR="0052009C" w:rsidRDefault="004422F8" w:rsidP="00670590">
      <w:pPr>
        <w:shd w:val="clear" w:color="auto" w:fill="FFFFFF"/>
        <w:spacing w:before="180" w:after="100" w:afterAutospacing="1"/>
      </w:pPr>
      <w:r>
        <w:t xml:space="preserve">Recent reports from the Joint Committee </w:t>
      </w:r>
      <w:r w:rsidR="00670590">
        <w:t xml:space="preserve">indicate </w:t>
      </w:r>
      <w:r>
        <w:t>that legislati</w:t>
      </w:r>
      <w:r w:rsidR="006C36D1">
        <w:t>ve proposals</w:t>
      </w:r>
      <w:r>
        <w:t xml:space="preserve"> </w:t>
      </w:r>
      <w:r w:rsidR="006C36D1">
        <w:t>do occasionally have</w:t>
      </w:r>
      <w:r>
        <w:t xml:space="preserve"> the potential to erode human rights protections</w:t>
      </w:r>
      <w:r w:rsidR="006C36D1">
        <w:t>. This is particularly through the erosion of the right to a fair trial and guarantees of procedural fairness, and the right to privacy</w:t>
      </w:r>
      <w:r>
        <w:t>.</w:t>
      </w:r>
      <w:r>
        <w:rPr>
          <w:rStyle w:val="EndnoteReference"/>
        </w:rPr>
        <w:endnoteReference w:id="7"/>
      </w:r>
    </w:p>
    <w:p w:rsidR="00670590" w:rsidRPr="00670590" w:rsidRDefault="00C94303" w:rsidP="00670590">
      <w:pPr>
        <w:shd w:val="clear" w:color="auto" w:fill="FFFFFF"/>
        <w:spacing w:before="180" w:after="100" w:afterAutospacing="1"/>
      </w:pPr>
      <w:r>
        <w:t>Consequently,</w:t>
      </w:r>
      <w:r w:rsidR="00FD05D3">
        <w:t xml:space="preserve"> </w:t>
      </w:r>
      <w:r w:rsidR="00FD05D3" w:rsidRPr="00FD05D3">
        <w:rPr>
          <w:i/>
        </w:rPr>
        <w:t>Rights &amp; Responsibilities 2014</w:t>
      </w:r>
      <w:r w:rsidR="00670590" w:rsidRPr="009D62F5">
        <w:t xml:space="preserve"> </w:t>
      </w:r>
      <w:r w:rsidR="00FD05D3">
        <w:t xml:space="preserve">is </w:t>
      </w:r>
      <w:r w:rsidR="00FF077E">
        <w:t>seeking to examine</w:t>
      </w:r>
      <w:r w:rsidR="00670590">
        <w:t xml:space="preserve"> whether </w:t>
      </w:r>
      <w:r w:rsidR="0052009C">
        <w:t xml:space="preserve">Australia’s different levels of </w:t>
      </w:r>
      <w:r w:rsidR="00670590">
        <w:t>government, through the enactment of legislation an</w:t>
      </w:r>
      <w:r w:rsidR="00C21046">
        <w:t>d implementation of policies, are</w:t>
      </w:r>
      <w:r w:rsidR="00670590">
        <w:t xml:space="preserve"> unnecessarily limiting the capacity of individuals to exercise their</w:t>
      </w:r>
      <w:r w:rsidR="00670590" w:rsidRPr="009D62F5">
        <w:t xml:space="preserve"> human rights</w:t>
      </w:r>
      <w:r w:rsidR="00670590">
        <w:t xml:space="preserve">, and/or undermining the role of </w:t>
      </w:r>
      <w:r w:rsidR="00670590" w:rsidRPr="009D62F5">
        <w:t>civil society to d</w:t>
      </w:r>
      <w:r w:rsidR="00670590">
        <w:t>etermine restrictions on human</w:t>
      </w:r>
      <w:r w:rsidR="00670590" w:rsidRPr="009D62F5">
        <w:t xml:space="preserve"> rights in accordance </w:t>
      </w:r>
      <w:r w:rsidR="00670590">
        <w:t>with social norms and conventions</w:t>
      </w:r>
      <w:r w:rsidR="00670590" w:rsidRPr="009D62F5">
        <w:t>.</w:t>
      </w:r>
    </w:p>
    <w:p w:rsidR="00E96FA4" w:rsidRDefault="0052009C" w:rsidP="003B2239">
      <w:pPr>
        <w:rPr>
          <w:rFonts w:cs="Arial"/>
        </w:rPr>
      </w:pPr>
      <w:r>
        <w:rPr>
          <w:rFonts w:cs="Arial"/>
        </w:rPr>
        <w:t>This consultation will engage</w:t>
      </w:r>
      <w:r w:rsidR="00211C1F">
        <w:rPr>
          <w:rFonts w:cs="Arial"/>
        </w:rPr>
        <w:t>,</w:t>
      </w:r>
      <w:r>
        <w:rPr>
          <w:rFonts w:cs="Arial"/>
        </w:rPr>
        <w:t xml:space="preserve"> </w:t>
      </w:r>
      <w:r w:rsidR="00211C1F">
        <w:rPr>
          <w:rFonts w:cs="Arial"/>
        </w:rPr>
        <w:t>at</w:t>
      </w:r>
      <w:r>
        <w:rPr>
          <w:rFonts w:cs="Arial"/>
        </w:rPr>
        <w:t xml:space="preserve"> a</w:t>
      </w:r>
      <w:r w:rsidR="006C36D1">
        <w:rPr>
          <w:rFonts w:cs="Arial"/>
        </w:rPr>
        <w:t xml:space="preserve"> community level</w:t>
      </w:r>
      <w:r w:rsidR="00211C1F">
        <w:rPr>
          <w:rFonts w:cs="Arial"/>
        </w:rPr>
        <w:t>,</w:t>
      </w:r>
      <w:r w:rsidR="006C36D1">
        <w:rPr>
          <w:rFonts w:cs="Arial"/>
        </w:rPr>
        <w:t xml:space="preserve"> </w:t>
      </w:r>
      <w:r>
        <w:rPr>
          <w:rFonts w:cs="Arial"/>
        </w:rPr>
        <w:t>the attitudes of Australians about</w:t>
      </w:r>
      <w:r w:rsidR="006C36D1">
        <w:rPr>
          <w:rFonts w:cs="Arial"/>
        </w:rPr>
        <w:t>:</w:t>
      </w:r>
    </w:p>
    <w:p w:rsidR="003B2239" w:rsidRDefault="008C5414" w:rsidP="00F1096C">
      <w:pPr>
        <w:pStyle w:val="ListParagraph"/>
        <w:numPr>
          <w:ilvl w:val="0"/>
          <w:numId w:val="41"/>
        </w:numPr>
        <w:rPr>
          <w:rFonts w:cs="Arial"/>
        </w:rPr>
      </w:pPr>
      <w:r>
        <w:rPr>
          <w:rFonts w:cs="Arial"/>
        </w:rPr>
        <w:t>h</w:t>
      </w:r>
      <w:r w:rsidR="003B2239" w:rsidRPr="006D7572">
        <w:rPr>
          <w:rFonts w:cs="Arial"/>
        </w:rPr>
        <w:t xml:space="preserve">ow </w:t>
      </w:r>
      <w:r w:rsidR="00DF1B3F">
        <w:rPr>
          <w:rFonts w:cs="Arial"/>
        </w:rPr>
        <w:t xml:space="preserve">well </w:t>
      </w:r>
      <w:r w:rsidR="003B2239" w:rsidRPr="006D7572">
        <w:rPr>
          <w:rFonts w:cs="Arial"/>
        </w:rPr>
        <w:t xml:space="preserve">rights </w:t>
      </w:r>
      <w:r w:rsidR="003B2239">
        <w:rPr>
          <w:rFonts w:cs="Arial"/>
        </w:rPr>
        <w:t xml:space="preserve">and freedoms </w:t>
      </w:r>
      <w:r w:rsidR="006C36D1">
        <w:rPr>
          <w:rFonts w:cs="Arial"/>
        </w:rPr>
        <w:t xml:space="preserve">are </w:t>
      </w:r>
      <w:r w:rsidR="003B2239">
        <w:rPr>
          <w:rFonts w:cs="Arial"/>
        </w:rPr>
        <w:t xml:space="preserve">protected </w:t>
      </w:r>
      <w:r w:rsidR="003B2239" w:rsidRPr="006D7572">
        <w:rPr>
          <w:rFonts w:cs="Arial"/>
        </w:rPr>
        <w:t>in Australia</w:t>
      </w:r>
    </w:p>
    <w:p w:rsidR="003B2239" w:rsidRDefault="008C5414" w:rsidP="00F1096C">
      <w:pPr>
        <w:pStyle w:val="ListParagraph"/>
        <w:numPr>
          <w:ilvl w:val="0"/>
          <w:numId w:val="41"/>
        </w:numPr>
        <w:rPr>
          <w:rFonts w:cs="Arial"/>
        </w:rPr>
      </w:pPr>
      <w:r>
        <w:rPr>
          <w:rFonts w:cs="Arial"/>
        </w:rPr>
        <w:t>e</w:t>
      </w:r>
      <w:r w:rsidR="00A128C3">
        <w:rPr>
          <w:rFonts w:cs="Arial"/>
        </w:rPr>
        <w:t>xamples of legislation</w:t>
      </w:r>
      <w:r w:rsidR="003B2239">
        <w:rPr>
          <w:rFonts w:cs="Arial"/>
        </w:rPr>
        <w:t xml:space="preserve">, policies and practices by governments that unduly restrict the exercise of </w:t>
      </w:r>
      <w:r w:rsidR="00A128C3">
        <w:rPr>
          <w:rFonts w:cs="Arial"/>
        </w:rPr>
        <w:t xml:space="preserve">human </w:t>
      </w:r>
      <w:r w:rsidR="003B2239">
        <w:rPr>
          <w:rFonts w:cs="Arial"/>
        </w:rPr>
        <w:t>rights and freedoms</w:t>
      </w:r>
    </w:p>
    <w:p w:rsidR="00DF1B3F" w:rsidRPr="00DF1B3F" w:rsidRDefault="008C5414" w:rsidP="00F1096C">
      <w:pPr>
        <w:pStyle w:val="ListParagraph"/>
        <w:numPr>
          <w:ilvl w:val="0"/>
          <w:numId w:val="41"/>
        </w:numPr>
        <w:rPr>
          <w:rFonts w:cs="Arial"/>
        </w:rPr>
      </w:pPr>
      <w:proofErr w:type="gramStart"/>
      <w:r>
        <w:rPr>
          <w:rFonts w:cs="Arial"/>
        </w:rPr>
        <w:lastRenderedPageBreak/>
        <w:t>w</w:t>
      </w:r>
      <w:r w:rsidR="00DF1B3F">
        <w:rPr>
          <w:rFonts w:cs="Arial"/>
        </w:rPr>
        <w:t>hat</w:t>
      </w:r>
      <w:proofErr w:type="gramEnd"/>
      <w:r w:rsidR="00DF1B3F">
        <w:rPr>
          <w:rFonts w:cs="Arial"/>
        </w:rPr>
        <w:t xml:space="preserve"> </w:t>
      </w:r>
      <w:r w:rsidR="0052009C">
        <w:rPr>
          <w:rFonts w:cs="Arial"/>
        </w:rPr>
        <w:t xml:space="preserve">is being done, and what </w:t>
      </w:r>
      <w:r w:rsidR="00DF1B3F">
        <w:rPr>
          <w:rFonts w:cs="Arial"/>
        </w:rPr>
        <w:t>more should be done</w:t>
      </w:r>
      <w:r w:rsidR="0052009C">
        <w:rPr>
          <w:rFonts w:cs="Arial"/>
        </w:rPr>
        <w:t>,</w:t>
      </w:r>
      <w:r w:rsidR="00DF1B3F">
        <w:rPr>
          <w:rFonts w:cs="Arial"/>
        </w:rPr>
        <w:t xml:space="preserve"> to promote a culture of respect for rights and </w:t>
      </w:r>
      <w:r w:rsidR="001B4A18">
        <w:rPr>
          <w:rFonts w:cs="Arial"/>
        </w:rPr>
        <w:t>responsibilities.</w:t>
      </w:r>
    </w:p>
    <w:p w:rsidR="00A128C3" w:rsidRDefault="0052009C" w:rsidP="003B2239">
      <w:pPr>
        <w:rPr>
          <w:rFonts w:cs="Arial"/>
        </w:rPr>
      </w:pPr>
      <w:r>
        <w:rPr>
          <w:rFonts w:cs="Arial"/>
        </w:rPr>
        <w:t xml:space="preserve">A </w:t>
      </w:r>
      <w:r w:rsidR="001B4A18">
        <w:rPr>
          <w:rFonts w:cs="Arial"/>
        </w:rPr>
        <w:t xml:space="preserve">particular </w:t>
      </w:r>
      <w:r>
        <w:rPr>
          <w:rFonts w:cs="Arial"/>
        </w:rPr>
        <w:t xml:space="preserve">focus of the consultation will be on </w:t>
      </w:r>
      <w:r w:rsidR="001B4A18">
        <w:rPr>
          <w:rFonts w:cs="Arial"/>
        </w:rPr>
        <w:t xml:space="preserve">building a culture of respect for rights and responsibilities among the Australian community. </w:t>
      </w:r>
      <w:r>
        <w:rPr>
          <w:rFonts w:cs="Arial"/>
        </w:rPr>
        <w:t xml:space="preserve">The consultation is interested in learning </w:t>
      </w:r>
      <w:r w:rsidR="00834B9E" w:rsidRPr="00834B9E">
        <w:rPr>
          <w:rFonts w:cs="Arial"/>
        </w:rPr>
        <w:t xml:space="preserve">about </w:t>
      </w:r>
      <w:r w:rsidR="00755793">
        <w:rPr>
          <w:rFonts w:cs="Arial"/>
        </w:rPr>
        <w:t>initiatives</w:t>
      </w:r>
      <w:r w:rsidR="006544AB">
        <w:rPr>
          <w:rFonts w:cs="Arial"/>
        </w:rPr>
        <w:t xml:space="preserve"> </w:t>
      </w:r>
      <w:r w:rsidR="001B4A18">
        <w:rPr>
          <w:rFonts w:cs="Arial"/>
        </w:rPr>
        <w:t xml:space="preserve">at the local and community level </w:t>
      </w:r>
      <w:r w:rsidR="00755793">
        <w:rPr>
          <w:rFonts w:cs="Arial"/>
        </w:rPr>
        <w:t>that advance rights and freedoms, and the responsible exercise of these</w:t>
      </w:r>
      <w:r w:rsidR="006544AB" w:rsidRPr="00185A1C">
        <w:rPr>
          <w:rFonts w:cs="Arial"/>
        </w:rPr>
        <w:t xml:space="preserve">. </w:t>
      </w:r>
      <w:r w:rsidR="001B4A18" w:rsidRPr="00185A1C">
        <w:rPr>
          <w:rFonts w:cs="Arial"/>
        </w:rPr>
        <w:t xml:space="preserve">This </w:t>
      </w:r>
      <w:r w:rsidR="008C5414" w:rsidRPr="00185A1C">
        <w:rPr>
          <w:rFonts w:cs="Arial"/>
        </w:rPr>
        <w:t>might be through developing</w:t>
      </w:r>
      <w:r w:rsidR="001B4A18" w:rsidRPr="00185A1C">
        <w:rPr>
          <w:rFonts w:cs="Arial"/>
        </w:rPr>
        <w:t xml:space="preserve"> </w:t>
      </w:r>
      <w:r w:rsidR="00834B9E" w:rsidRPr="00185A1C">
        <w:rPr>
          <w:rFonts w:cs="Arial"/>
        </w:rPr>
        <w:t xml:space="preserve">voluntary codes of </w:t>
      </w:r>
      <w:r w:rsidR="00185A1C" w:rsidRPr="00185A1C">
        <w:rPr>
          <w:rFonts w:cs="Arial"/>
        </w:rPr>
        <w:t>conduct and p</w:t>
      </w:r>
      <w:r w:rsidR="005D067E" w:rsidRPr="00185A1C">
        <w:rPr>
          <w:rFonts w:cs="Arial"/>
        </w:rPr>
        <w:t>ractice</w:t>
      </w:r>
      <w:r w:rsidR="00834B9E" w:rsidRPr="00185A1C">
        <w:rPr>
          <w:rFonts w:cs="Arial"/>
        </w:rPr>
        <w:t xml:space="preserve">, </w:t>
      </w:r>
      <w:r w:rsidR="00185A1C" w:rsidRPr="00185A1C">
        <w:rPr>
          <w:rFonts w:cs="Arial"/>
        </w:rPr>
        <w:t>service provision</w:t>
      </w:r>
      <w:r w:rsidR="00C94303">
        <w:rPr>
          <w:rFonts w:cs="Arial"/>
        </w:rPr>
        <w:t>,</w:t>
      </w:r>
      <w:r w:rsidR="00185A1C" w:rsidRPr="00185A1C">
        <w:rPr>
          <w:rFonts w:cs="Arial"/>
        </w:rPr>
        <w:t xml:space="preserve"> sporting </w:t>
      </w:r>
      <w:r w:rsidR="00002377">
        <w:rPr>
          <w:rFonts w:cs="Arial"/>
        </w:rPr>
        <w:t>events or other community-based education activities</w:t>
      </w:r>
      <w:r w:rsidR="006544AB" w:rsidRPr="00185A1C">
        <w:rPr>
          <w:rFonts w:cs="Arial"/>
        </w:rPr>
        <w:t>.</w:t>
      </w:r>
    </w:p>
    <w:p w:rsidR="00BB41D0" w:rsidRDefault="0052009C" w:rsidP="00BB41D0">
      <w:pPr>
        <w:rPr>
          <w:rFonts w:cs="Arial"/>
        </w:rPr>
      </w:pPr>
      <w:r>
        <w:rPr>
          <w:rFonts w:cs="Arial"/>
        </w:rPr>
        <w:t>The consultation will</w:t>
      </w:r>
      <w:r w:rsidR="004A4FAD">
        <w:rPr>
          <w:rFonts w:cs="Arial"/>
        </w:rPr>
        <w:t xml:space="preserve"> focus discussions on </w:t>
      </w:r>
      <w:r w:rsidR="001B4A18">
        <w:rPr>
          <w:rFonts w:cs="Arial"/>
        </w:rPr>
        <w:t xml:space="preserve">some of the key rights and freedoms that have traditionally underpinned our </w:t>
      </w:r>
      <w:r w:rsidR="004A4FAD">
        <w:rPr>
          <w:rFonts w:cs="Arial"/>
        </w:rPr>
        <w:t>liberal democracy in Austral</w:t>
      </w:r>
      <w:r w:rsidR="002671E4">
        <w:rPr>
          <w:rFonts w:cs="Arial"/>
        </w:rPr>
        <w:t xml:space="preserve">ia. </w:t>
      </w:r>
      <w:r w:rsidR="00BB41D0">
        <w:rPr>
          <w:rFonts w:cs="Arial"/>
        </w:rPr>
        <w:t>These include:</w:t>
      </w:r>
    </w:p>
    <w:p w:rsidR="00BB41D0" w:rsidRPr="00211C1F" w:rsidRDefault="00BB41D0" w:rsidP="00F1096C">
      <w:pPr>
        <w:pStyle w:val="ListParagraph"/>
        <w:numPr>
          <w:ilvl w:val="0"/>
          <w:numId w:val="41"/>
        </w:numPr>
      </w:pPr>
      <w:r w:rsidRPr="00211C1F">
        <w:rPr>
          <w:rFonts w:cs="Arial"/>
        </w:rPr>
        <w:t xml:space="preserve">the right to </w:t>
      </w:r>
      <w:r w:rsidR="00F1096C">
        <w:rPr>
          <w:rStyle w:val="oneclick-link"/>
        </w:rPr>
        <w:t>freedom of expression</w:t>
      </w:r>
    </w:p>
    <w:p w:rsidR="00BB41D0" w:rsidRDefault="00BB41D0" w:rsidP="00F1096C">
      <w:pPr>
        <w:pStyle w:val="ListParagraph"/>
        <w:numPr>
          <w:ilvl w:val="0"/>
          <w:numId w:val="41"/>
        </w:numPr>
        <w:rPr>
          <w:rFonts w:cs="Arial"/>
        </w:rPr>
      </w:pPr>
      <w:r>
        <w:rPr>
          <w:rFonts w:cs="Arial"/>
        </w:rPr>
        <w:t xml:space="preserve">the right to </w:t>
      </w:r>
      <w:r w:rsidR="00211C1F">
        <w:rPr>
          <w:rStyle w:val="oneclick-link"/>
        </w:rPr>
        <w:t xml:space="preserve">freedom of </w:t>
      </w:r>
      <w:r w:rsidR="00F1096C">
        <w:rPr>
          <w:rStyle w:val="oneclick-link"/>
        </w:rPr>
        <w:t xml:space="preserve">thought, </w:t>
      </w:r>
      <w:r w:rsidR="00211C1F">
        <w:rPr>
          <w:rStyle w:val="oneclick-link"/>
        </w:rPr>
        <w:t xml:space="preserve">conscience </w:t>
      </w:r>
      <w:r w:rsidR="00F1096C">
        <w:rPr>
          <w:rStyle w:val="oneclick-link"/>
        </w:rPr>
        <w:t>and religious worship</w:t>
      </w:r>
    </w:p>
    <w:p w:rsidR="00BB41D0" w:rsidRDefault="00BB41D0" w:rsidP="00F1096C">
      <w:pPr>
        <w:pStyle w:val="ListParagraph"/>
        <w:numPr>
          <w:ilvl w:val="0"/>
          <w:numId w:val="41"/>
        </w:numPr>
        <w:rPr>
          <w:rFonts w:cs="Arial"/>
        </w:rPr>
      </w:pPr>
      <w:r>
        <w:rPr>
          <w:rFonts w:cs="Arial"/>
        </w:rPr>
        <w:t>the right to freedom of association</w:t>
      </w:r>
    </w:p>
    <w:p w:rsidR="002671E4" w:rsidRDefault="00BB41D0" w:rsidP="00F1096C">
      <w:pPr>
        <w:pStyle w:val="ListParagraph"/>
        <w:numPr>
          <w:ilvl w:val="0"/>
          <w:numId w:val="41"/>
        </w:numPr>
        <w:rPr>
          <w:rFonts w:cs="Arial"/>
        </w:rPr>
      </w:pPr>
      <w:proofErr w:type="gramStart"/>
      <w:r>
        <w:rPr>
          <w:rFonts w:cs="Arial"/>
        </w:rPr>
        <w:t>property</w:t>
      </w:r>
      <w:proofErr w:type="gramEnd"/>
      <w:r>
        <w:rPr>
          <w:rFonts w:cs="Arial"/>
        </w:rPr>
        <w:t xml:space="preserve"> rights.</w:t>
      </w:r>
    </w:p>
    <w:p w:rsidR="001E566F" w:rsidRPr="006D7572" w:rsidRDefault="005717F6" w:rsidP="008C0CB8">
      <w:pPr>
        <w:rPr>
          <w:rFonts w:cs="Arial"/>
        </w:rPr>
      </w:pPr>
      <w:r w:rsidRPr="00E2628F">
        <w:rPr>
          <w:rFonts w:cs="Arial"/>
          <w:b/>
        </w:rPr>
        <w:t>Appendix A</w:t>
      </w:r>
      <w:r w:rsidR="007C260D">
        <w:rPr>
          <w:rFonts w:cs="Arial"/>
          <w:b/>
        </w:rPr>
        <w:t xml:space="preserve"> </w:t>
      </w:r>
      <w:r w:rsidR="007C260D">
        <w:rPr>
          <w:rFonts w:cs="Arial"/>
        </w:rPr>
        <w:t>provides an overview of these key rights, and examples of how they are currently impacted upon in Australia</w:t>
      </w:r>
      <w:r>
        <w:rPr>
          <w:rFonts w:cs="Arial"/>
        </w:rPr>
        <w:t>.</w:t>
      </w:r>
    </w:p>
    <w:p w:rsidR="0097281B" w:rsidRPr="006D7572" w:rsidRDefault="0097281B" w:rsidP="008C0CB8">
      <w:pPr>
        <w:pStyle w:val="Heading1"/>
        <w:numPr>
          <w:ilvl w:val="0"/>
          <w:numId w:val="0"/>
        </w:numPr>
        <w:rPr>
          <w:rFonts w:cs="Arial"/>
          <w:sz w:val="24"/>
          <w:szCs w:val="24"/>
        </w:rPr>
      </w:pPr>
      <w:r w:rsidRPr="006D7572">
        <w:rPr>
          <w:rFonts w:cs="Arial"/>
          <w:sz w:val="24"/>
          <w:szCs w:val="24"/>
        </w:rPr>
        <w:t xml:space="preserve">How can you participate in </w:t>
      </w:r>
      <w:r w:rsidR="00290A7C">
        <w:rPr>
          <w:rFonts w:cs="Arial"/>
          <w:i/>
          <w:sz w:val="24"/>
          <w:szCs w:val="24"/>
        </w:rPr>
        <w:t>Rights &amp;</w:t>
      </w:r>
      <w:r w:rsidR="00CE06BF" w:rsidRPr="00321D8E">
        <w:rPr>
          <w:rFonts w:cs="Arial"/>
          <w:i/>
          <w:sz w:val="24"/>
          <w:szCs w:val="24"/>
        </w:rPr>
        <w:t xml:space="preserve"> Responsibilities 2014</w:t>
      </w:r>
      <w:r w:rsidRPr="006D7572">
        <w:rPr>
          <w:rFonts w:cs="Arial"/>
          <w:sz w:val="24"/>
          <w:szCs w:val="24"/>
        </w:rPr>
        <w:t>?</w:t>
      </w:r>
    </w:p>
    <w:p w:rsidR="0097281B" w:rsidRPr="00F67BAF" w:rsidRDefault="0052009C" w:rsidP="006B5B51">
      <w:pPr>
        <w:rPr>
          <w:rFonts w:cs="Arial"/>
        </w:rPr>
      </w:pPr>
      <w:r>
        <w:rPr>
          <w:rFonts w:cs="Arial"/>
        </w:rPr>
        <w:t>Consultations will be held</w:t>
      </w:r>
      <w:r w:rsidR="001B4A18">
        <w:rPr>
          <w:rFonts w:cs="Arial"/>
        </w:rPr>
        <w:t xml:space="preserve"> across Australia </w:t>
      </w:r>
      <w:r w:rsidR="0097281B" w:rsidRPr="006D7572">
        <w:rPr>
          <w:rFonts w:cs="Arial"/>
        </w:rPr>
        <w:t>between August and December 2014</w:t>
      </w:r>
      <w:r w:rsidR="00F67BAF">
        <w:rPr>
          <w:rFonts w:cs="Arial"/>
        </w:rPr>
        <w:t xml:space="preserve">. </w:t>
      </w:r>
      <w:r>
        <w:rPr>
          <w:rFonts w:cs="Arial"/>
        </w:rPr>
        <w:t>There will be a specific</w:t>
      </w:r>
      <w:r w:rsidR="00AC4102">
        <w:rPr>
          <w:rFonts w:cs="Arial"/>
        </w:rPr>
        <w:t xml:space="preserve"> focus on everyday Australians – </w:t>
      </w:r>
      <w:r w:rsidR="00F67BAF">
        <w:rPr>
          <w:rFonts w:cs="Arial"/>
        </w:rPr>
        <w:t xml:space="preserve">people in Australia from all walks of life, whether they live in our cities, the suburbs, or regional, rural or remote Australia. </w:t>
      </w:r>
      <w:r>
        <w:rPr>
          <w:rFonts w:cs="Arial"/>
        </w:rPr>
        <w:t xml:space="preserve">Similarly, the consultations will engage community groups and civil society, such as </w:t>
      </w:r>
      <w:r w:rsidR="0097281B" w:rsidRPr="00F67BAF">
        <w:rPr>
          <w:rFonts w:cs="Arial"/>
        </w:rPr>
        <w:t>chambers of commerce</w:t>
      </w:r>
      <w:r w:rsidR="00F67BAF">
        <w:rPr>
          <w:rFonts w:cs="Arial"/>
        </w:rPr>
        <w:t xml:space="preserve">, </w:t>
      </w:r>
      <w:r w:rsidR="0097281B" w:rsidRPr="00F67BAF">
        <w:rPr>
          <w:rFonts w:cs="Arial"/>
        </w:rPr>
        <w:t>small business associations</w:t>
      </w:r>
      <w:r w:rsidR="00F67BAF">
        <w:rPr>
          <w:rFonts w:cs="Arial"/>
        </w:rPr>
        <w:t xml:space="preserve">, </w:t>
      </w:r>
      <w:r>
        <w:rPr>
          <w:rFonts w:cs="Arial"/>
        </w:rPr>
        <w:t>civic groups (such as Rotary and Lions Clubs</w:t>
      </w:r>
      <w:r w:rsidR="002B4958">
        <w:rPr>
          <w:rFonts w:cs="Arial"/>
        </w:rPr>
        <w:t>)</w:t>
      </w:r>
      <w:r w:rsidR="00F67BAF" w:rsidRPr="00F67BAF">
        <w:rPr>
          <w:rFonts w:cs="Arial"/>
        </w:rPr>
        <w:t xml:space="preserve">, </w:t>
      </w:r>
      <w:r w:rsidR="0097281B" w:rsidRPr="00F67BAF">
        <w:rPr>
          <w:rFonts w:cs="Arial"/>
        </w:rPr>
        <w:t>sporting clubs and associations</w:t>
      </w:r>
      <w:r>
        <w:rPr>
          <w:rFonts w:cs="Arial"/>
        </w:rPr>
        <w:t>, as well as local councils</w:t>
      </w:r>
      <w:r w:rsidR="00F67BAF">
        <w:rPr>
          <w:rFonts w:cs="Arial"/>
        </w:rPr>
        <w:t>.</w:t>
      </w:r>
    </w:p>
    <w:p w:rsidR="0097281B" w:rsidRPr="006D7572" w:rsidRDefault="0097281B" w:rsidP="008C0CB8">
      <w:pPr>
        <w:rPr>
          <w:rFonts w:cs="Arial"/>
        </w:rPr>
      </w:pPr>
      <w:r w:rsidRPr="006D7572">
        <w:rPr>
          <w:rFonts w:cs="Arial"/>
        </w:rPr>
        <w:t>Public events will be advertised in the local media</w:t>
      </w:r>
      <w:r w:rsidR="00F67BAF">
        <w:rPr>
          <w:rFonts w:cs="Arial"/>
        </w:rPr>
        <w:t xml:space="preserve"> and on the Commission’s website</w:t>
      </w:r>
      <w:r w:rsidRPr="006D7572">
        <w:rPr>
          <w:rFonts w:cs="Arial"/>
        </w:rPr>
        <w:t>.</w:t>
      </w:r>
    </w:p>
    <w:p w:rsidR="00BC51DB" w:rsidRDefault="0097281B" w:rsidP="00C94303">
      <w:pPr>
        <w:rPr>
          <w:rStyle w:val="Hyperlink"/>
          <w:rFonts w:cs="Arial"/>
          <w:color w:val="auto"/>
          <w:u w:val="none"/>
        </w:rPr>
      </w:pPr>
      <w:r w:rsidRPr="006D7572">
        <w:rPr>
          <w:rFonts w:cs="Arial"/>
        </w:rPr>
        <w:t>Individuals and organ</w:t>
      </w:r>
      <w:r w:rsidR="00BF2B22">
        <w:rPr>
          <w:rFonts w:cs="Arial"/>
        </w:rPr>
        <w:t>isations are also invited to</w:t>
      </w:r>
      <w:r w:rsidR="00C94303">
        <w:rPr>
          <w:rFonts w:cs="Arial"/>
        </w:rPr>
        <w:t xml:space="preserve"> </w:t>
      </w:r>
      <w:r w:rsidR="00FB3F13" w:rsidRPr="00C94303">
        <w:rPr>
          <w:rFonts w:cs="Arial"/>
        </w:rPr>
        <w:t>participate in</w:t>
      </w:r>
      <w:r w:rsidRPr="00C94303">
        <w:rPr>
          <w:rFonts w:cs="Arial"/>
        </w:rPr>
        <w:t xml:space="preserve"> </w:t>
      </w:r>
      <w:r w:rsidR="00F67BAF" w:rsidRPr="00C94303">
        <w:rPr>
          <w:rFonts w:cs="Arial"/>
        </w:rPr>
        <w:t xml:space="preserve">an </w:t>
      </w:r>
      <w:r w:rsidR="00AC4102">
        <w:rPr>
          <w:rFonts w:cs="Arial"/>
        </w:rPr>
        <w:t>on</w:t>
      </w:r>
      <w:r w:rsidRPr="00C94303">
        <w:rPr>
          <w:rFonts w:cs="Arial"/>
        </w:rPr>
        <w:t>line survey</w:t>
      </w:r>
      <w:r w:rsidR="00FD1A1E">
        <w:rPr>
          <w:rFonts w:cs="Arial"/>
        </w:rPr>
        <w:t xml:space="preserve"> </w:t>
      </w:r>
      <w:r w:rsidR="00FD1A1E" w:rsidRPr="00C94303">
        <w:rPr>
          <w:rFonts w:cs="Arial"/>
        </w:rPr>
        <w:t xml:space="preserve">at </w:t>
      </w:r>
      <w:hyperlink r:id="rId17" w:history="1">
        <w:r w:rsidR="00315174" w:rsidRPr="005C0FDC">
          <w:rPr>
            <w:rStyle w:val="Hyperlink"/>
            <w:rFonts w:cs="Arial"/>
            <w:color w:val="auto"/>
            <w:u w:val="none"/>
          </w:rPr>
          <w:t>http://www.humanrights.gov.au/rights2014</w:t>
        </w:r>
      </w:hyperlink>
      <w:r w:rsidR="00315174" w:rsidRPr="005C0FDC">
        <w:rPr>
          <w:rFonts w:cs="Arial"/>
        </w:rPr>
        <w:t xml:space="preserve"> </w:t>
      </w:r>
      <w:r w:rsidR="00FD1A1E" w:rsidRPr="005C0FDC">
        <w:rPr>
          <w:rFonts w:cs="Arial"/>
        </w:rPr>
        <w:t>or email</w:t>
      </w:r>
      <w:r w:rsidR="006B5B51" w:rsidRPr="005C0FDC">
        <w:rPr>
          <w:rFonts w:cs="Arial"/>
        </w:rPr>
        <w:t xml:space="preserve"> a submission</w:t>
      </w:r>
      <w:r w:rsidR="00FD1A1E" w:rsidRPr="005C0FDC">
        <w:rPr>
          <w:rStyle w:val="Hyperlink"/>
          <w:rFonts w:cs="Arial"/>
          <w:color w:val="auto"/>
          <w:u w:val="none"/>
        </w:rPr>
        <w:t xml:space="preserve"> to </w:t>
      </w:r>
      <w:hyperlink r:id="rId18" w:history="1">
        <w:r w:rsidR="00176D5D" w:rsidRPr="005C0FDC">
          <w:rPr>
            <w:rStyle w:val="Hyperlink"/>
            <w:rFonts w:cs="Arial"/>
            <w:color w:val="auto"/>
            <w:u w:val="none"/>
          </w:rPr>
          <w:t>rights2014@humanrights.gov.au</w:t>
        </w:r>
      </w:hyperlink>
      <w:r w:rsidR="00FD1A1E" w:rsidRPr="00FD1A1E">
        <w:rPr>
          <w:rStyle w:val="Hyperlink"/>
          <w:rFonts w:cs="Arial"/>
          <w:color w:val="auto"/>
          <w:u w:val="none"/>
        </w:rPr>
        <w:t>.</w:t>
      </w:r>
    </w:p>
    <w:p w:rsidR="00176D5D" w:rsidRPr="00FD1A1E" w:rsidRDefault="00176D5D" w:rsidP="00C94303">
      <w:pPr>
        <w:rPr>
          <w:rStyle w:val="Hyperlink"/>
          <w:rFonts w:cs="Arial"/>
          <w:color w:val="auto"/>
          <w:u w:val="none"/>
        </w:rPr>
      </w:pPr>
      <w:r w:rsidRPr="00C50551">
        <w:rPr>
          <w:rFonts w:cs="Arial"/>
          <w:lang w:val="en"/>
        </w:rPr>
        <w:t xml:space="preserve">Please note that when making a submission, you are indicating that you have read and understood the </w:t>
      </w:r>
      <w:r>
        <w:rPr>
          <w:rFonts w:cs="Arial"/>
          <w:lang w:val="en"/>
        </w:rPr>
        <w:t xml:space="preserve">Commission’s Submission Policy which can be found at </w:t>
      </w:r>
      <w:hyperlink r:id="rId19" w:history="1">
        <w:r w:rsidR="003025D0" w:rsidRPr="005C0FDC">
          <w:rPr>
            <w:rStyle w:val="Hyperlink"/>
            <w:rFonts w:cs="Arial"/>
            <w:color w:val="auto"/>
            <w:u w:val="none"/>
          </w:rPr>
          <w:t>https://www.humanrights.gov.au/submission-policy</w:t>
        </w:r>
      </w:hyperlink>
      <w:r w:rsidR="003025D0" w:rsidRPr="005C0FDC">
        <w:rPr>
          <w:rFonts w:cs="Arial"/>
        </w:rPr>
        <w:t>.</w:t>
      </w:r>
    </w:p>
    <w:p w:rsidR="0097281B" w:rsidRPr="006D7572" w:rsidRDefault="007A4F55" w:rsidP="008C0CB8">
      <w:pPr>
        <w:pStyle w:val="Heading1"/>
        <w:numPr>
          <w:ilvl w:val="0"/>
          <w:numId w:val="0"/>
        </w:numPr>
        <w:rPr>
          <w:rFonts w:cs="Arial"/>
          <w:sz w:val="24"/>
          <w:szCs w:val="24"/>
        </w:rPr>
      </w:pPr>
      <w:r w:rsidRPr="006D7572">
        <w:rPr>
          <w:rFonts w:cs="Arial"/>
          <w:sz w:val="24"/>
          <w:szCs w:val="24"/>
        </w:rPr>
        <w:t>What will be</w:t>
      </w:r>
      <w:r w:rsidR="0097281B" w:rsidRPr="006D7572">
        <w:rPr>
          <w:rFonts w:cs="Arial"/>
          <w:sz w:val="24"/>
          <w:szCs w:val="24"/>
        </w:rPr>
        <w:t xml:space="preserve"> the</w:t>
      </w:r>
      <w:r w:rsidRPr="006D7572">
        <w:rPr>
          <w:rFonts w:cs="Arial"/>
          <w:sz w:val="24"/>
          <w:szCs w:val="24"/>
        </w:rPr>
        <w:t xml:space="preserve"> outcome from </w:t>
      </w:r>
      <w:r w:rsidR="00290A7C">
        <w:rPr>
          <w:rFonts w:cs="Arial"/>
          <w:i/>
          <w:sz w:val="24"/>
          <w:szCs w:val="24"/>
        </w:rPr>
        <w:t>Rights &amp;</w:t>
      </w:r>
      <w:r w:rsidR="009E2438" w:rsidRPr="00E470A2">
        <w:rPr>
          <w:rFonts w:cs="Arial"/>
          <w:i/>
          <w:sz w:val="24"/>
          <w:szCs w:val="24"/>
        </w:rPr>
        <w:t xml:space="preserve"> Responsibilities 2014</w:t>
      </w:r>
      <w:r w:rsidR="009E2438" w:rsidRPr="006D7572">
        <w:rPr>
          <w:rFonts w:cs="Arial"/>
          <w:sz w:val="24"/>
          <w:szCs w:val="24"/>
        </w:rPr>
        <w:t>?</w:t>
      </w:r>
    </w:p>
    <w:p w:rsidR="00B46D50" w:rsidRDefault="0097281B" w:rsidP="008C0CB8">
      <w:pPr>
        <w:rPr>
          <w:rFonts w:cs="Arial"/>
        </w:rPr>
      </w:pPr>
      <w:r w:rsidRPr="006D7572">
        <w:rPr>
          <w:rFonts w:cs="Arial"/>
        </w:rPr>
        <w:t xml:space="preserve">Information from </w:t>
      </w:r>
      <w:r w:rsidR="00290A7C">
        <w:rPr>
          <w:rFonts w:cs="Arial"/>
          <w:i/>
        </w:rPr>
        <w:t>Rights &amp;</w:t>
      </w:r>
      <w:r w:rsidR="002642D7" w:rsidRPr="00E470A2">
        <w:rPr>
          <w:rFonts w:cs="Arial"/>
          <w:i/>
        </w:rPr>
        <w:t xml:space="preserve"> Responsibilities 2014</w:t>
      </w:r>
      <w:r w:rsidRPr="006D7572">
        <w:rPr>
          <w:rFonts w:cs="Arial"/>
        </w:rPr>
        <w:t xml:space="preserve"> will be </w:t>
      </w:r>
      <w:r w:rsidR="00B46D50">
        <w:rPr>
          <w:rFonts w:cs="Arial"/>
        </w:rPr>
        <w:t xml:space="preserve">used to inform </w:t>
      </w:r>
      <w:r w:rsidR="00176D5D">
        <w:rPr>
          <w:rFonts w:cs="Arial"/>
        </w:rPr>
        <w:t>the</w:t>
      </w:r>
      <w:r w:rsidR="00B46D50">
        <w:rPr>
          <w:rFonts w:cs="Arial"/>
        </w:rPr>
        <w:t xml:space="preserve"> priorities </w:t>
      </w:r>
      <w:r w:rsidR="00176D5D">
        <w:rPr>
          <w:rFonts w:cs="Arial"/>
        </w:rPr>
        <w:t>of the</w:t>
      </w:r>
      <w:r w:rsidR="00B46D50">
        <w:rPr>
          <w:rFonts w:cs="Arial"/>
        </w:rPr>
        <w:t xml:space="preserve"> Human Rights Commissioner in the coming years. </w:t>
      </w:r>
      <w:r w:rsidR="0052009C">
        <w:rPr>
          <w:rFonts w:cs="Arial"/>
        </w:rPr>
        <w:t>A</w:t>
      </w:r>
      <w:r w:rsidR="00B46D50">
        <w:rPr>
          <w:rFonts w:cs="Arial"/>
        </w:rPr>
        <w:t xml:space="preserve"> public </w:t>
      </w:r>
      <w:r w:rsidR="007C2C27">
        <w:rPr>
          <w:rFonts w:cs="Arial"/>
        </w:rPr>
        <w:t xml:space="preserve">report </w:t>
      </w:r>
      <w:r w:rsidR="0052009C">
        <w:rPr>
          <w:rFonts w:cs="Arial"/>
        </w:rPr>
        <w:t xml:space="preserve">will also be released </w:t>
      </w:r>
      <w:r w:rsidR="007C2C27">
        <w:rPr>
          <w:rFonts w:cs="Arial"/>
        </w:rPr>
        <w:t xml:space="preserve">that </w:t>
      </w:r>
      <w:r w:rsidR="00FB3F13">
        <w:rPr>
          <w:rFonts w:cs="Arial"/>
        </w:rPr>
        <w:t xml:space="preserve">will identify the key issues </w:t>
      </w:r>
      <w:r w:rsidR="00B46D50">
        <w:rPr>
          <w:rFonts w:cs="Arial"/>
        </w:rPr>
        <w:t xml:space="preserve">raised during </w:t>
      </w:r>
      <w:r w:rsidRPr="006D7572">
        <w:rPr>
          <w:rFonts w:cs="Arial"/>
        </w:rPr>
        <w:t>the consultation process</w:t>
      </w:r>
      <w:r w:rsidR="00B46D50">
        <w:rPr>
          <w:rFonts w:cs="Arial"/>
        </w:rPr>
        <w:t>, identify best practice initiatives to promote human rights and freedoms, and</w:t>
      </w:r>
      <w:r w:rsidRPr="006D7572">
        <w:rPr>
          <w:rFonts w:cs="Arial"/>
        </w:rPr>
        <w:t xml:space="preserve"> </w:t>
      </w:r>
      <w:r w:rsidR="00FB3F13">
        <w:rPr>
          <w:rFonts w:cs="Arial"/>
        </w:rPr>
        <w:t>set</w:t>
      </w:r>
      <w:r w:rsidR="007C2C27">
        <w:rPr>
          <w:rFonts w:cs="Arial"/>
        </w:rPr>
        <w:t xml:space="preserve"> out </w:t>
      </w:r>
      <w:r w:rsidR="00A44593">
        <w:rPr>
          <w:rFonts w:cs="Arial"/>
        </w:rPr>
        <w:t>recommendations</w:t>
      </w:r>
      <w:r w:rsidR="00FB3F13">
        <w:rPr>
          <w:rFonts w:cs="Arial"/>
        </w:rPr>
        <w:t xml:space="preserve"> </w:t>
      </w:r>
      <w:r w:rsidR="00B46D50">
        <w:rPr>
          <w:rFonts w:cs="Arial"/>
        </w:rPr>
        <w:t xml:space="preserve">for further </w:t>
      </w:r>
      <w:r w:rsidR="00FB3F13">
        <w:rPr>
          <w:rFonts w:cs="Arial"/>
        </w:rPr>
        <w:t>advanc</w:t>
      </w:r>
      <w:r w:rsidR="00B46D50">
        <w:rPr>
          <w:rFonts w:cs="Arial"/>
        </w:rPr>
        <w:t>ing</w:t>
      </w:r>
      <w:r w:rsidR="00FB3F13">
        <w:rPr>
          <w:rFonts w:cs="Arial"/>
        </w:rPr>
        <w:t xml:space="preserve"> the</w:t>
      </w:r>
      <w:r w:rsidRPr="006D7572">
        <w:rPr>
          <w:rFonts w:cs="Arial"/>
        </w:rPr>
        <w:t xml:space="preserve"> protection and promotion of human rights and freedoms</w:t>
      </w:r>
      <w:r w:rsidR="00AB07A7">
        <w:rPr>
          <w:rFonts w:cs="Arial"/>
        </w:rPr>
        <w:t xml:space="preserve"> in Australia</w:t>
      </w:r>
      <w:r w:rsidRPr="006D7572">
        <w:rPr>
          <w:rFonts w:cs="Arial"/>
        </w:rPr>
        <w:t xml:space="preserve">. </w:t>
      </w:r>
    </w:p>
    <w:p w:rsidR="0097281B" w:rsidRPr="006D7572" w:rsidRDefault="0097281B" w:rsidP="009E2438">
      <w:pPr>
        <w:pStyle w:val="Heading1"/>
        <w:numPr>
          <w:ilvl w:val="0"/>
          <w:numId w:val="0"/>
        </w:numPr>
        <w:rPr>
          <w:rFonts w:cs="Arial"/>
          <w:sz w:val="24"/>
          <w:szCs w:val="24"/>
        </w:rPr>
      </w:pPr>
      <w:r w:rsidRPr="006D7572">
        <w:rPr>
          <w:rFonts w:cs="Arial"/>
          <w:sz w:val="24"/>
          <w:szCs w:val="24"/>
          <w:lang w:val="en"/>
        </w:rPr>
        <w:t xml:space="preserve">Who to </w:t>
      </w:r>
      <w:r w:rsidR="00354235" w:rsidRPr="006D7572">
        <w:rPr>
          <w:rFonts w:cs="Arial"/>
          <w:sz w:val="24"/>
          <w:szCs w:val="24"/>
          <w:lang w:val="en"/>
        </w:rPr>
        <w:t>contact if you have questions</w:t>
      </w:r>
      <w:r w:rsidR="002642D7">
        <w:rPr>
          <w:rFonts w:cs="Arial"/>
          <w:sz w:val="24"/>
          <w:szCs w:val="24"/>
          <w:lang w:val="en"/>
        </w:rPr>
        <w:t>?</w:t>
      </w:r>
    </w:p>
    <w:p w:rsidR="0097281B" w:rsidRDefault="0097281B" w:rsidP="008C0CB8">
      <w:pPr>
        <w:spacing w:before="0" w:after="0"/>
        <w:rPr>
          <w:rFonts w:cs="Arial"/>
          <w:lang w:val="en"/>
        </w:rPr>
      </w:pPr>
      <w:r w:rsidRPr="006D7572">
        <w:rPr>
          <w:rFonts w:cs="Arial"/>
          <w:lang w:val="en"/>
        </w:rPr>
        <w:t>If you have any questions</w:t>
      </w:r>
      <w:r w:rsidR="002642D7">
        <w:rPr>
          <w:rFonts w:cs="Arial"/>
          <w:lang w:val="en"/>
        </w:rPr>
        <w:t xml:space="preserve"> about </w:t>
      </w:r>
      <w:r w:rsidR="00290A7C">
        <w:rPr>
          <w:rFonts w:cs="Arial"/>
          <w:i/>
          <w:lang w:val="en"/>
        </w:rPr>
        <w:t>Rights &amp;</w:t>
      </w:r>
      <w:r w:rsidR="002642D7" w:rsidRPr="00E470A2">
        <w:rPr>
          <w:rFonts w:cs="Arial"/>
          <w:i/>
          <w:lang w:val="en"/>
        </w:rPr>
        <w:t xml:space="preserve"> Responsibilities 2014</w:t>
      </w:r>
      <w:r w:rsidRPr="006D7572">
        <w:rPr>
          <w:rFonts w:cs="Arial"/>
          <w:lang w:val="en"/>
        </w:rPr>
        <w:t>, you can:</w:t>
      </w:r>
    </w:p>
    <w:p w:rsidR="00FD1A1E" w:rsidRPr="006D7572" w:rsidRDefault="00FD1A1E" w:rsidP="008C0CB8">
      <w:pPr>
        <w:spacing w:before="0" w:after="0"/>
        <w:rPr>
          <w:rFonts w:cs="Arial"/>
          <w:lang w:val="en"/>
        </w:rPr>
      </w:pPr>
    </w:p>
    <w:p w:rsidR="0097281B" w:rsidRPr="008B2A47" w:rsidRDefault="00113276" w:rsidP="008C0CB8">
      <w:pPr>
        <w:spacing w:before="0" w:after="0"/>
        <w:rPr>
          <w:rFonts w:cs="Arial"/>
        </w:rPr>
      </w:pPr>
      <w:r>
        <w:rPr>
          <w:rFonts w:cs="Arial"/>
          <w:lang w:val="en"/>
        </w:rPr>
        <w:t>Email:</w:t>
      </w:r>
      <w:r>
        <w:rPr>
          <w:rFonts w:cs="Arial"/>
          <w:lang w:val="en"/>
        </w:rPr>
        <w:tab/>
      </w:r>
      <w:r w:rsidR="0097281B" w:rsidRPr="006D7572">
        <w:rPr>
          <w:rFonts w:cs="Arial"/>
          <w:lang w:val="en"/>
        </w:rPr>
        <w:tab/>
      </w:r>
      <w:r w:rsidR="00D96CFB" w:rsidRPr="00FD1A1E">
        <w:rPr>
          <w:rFonts w:cs="Arial"/>
          <w:lang w:val="en"/>
        </w:rPr>
        <w:t>right</w:t>
      </w:r>
      <w:r w:rsidR="00942F4A" w:rsidRPr="00FD1A1E">
        <w:rPr>
          <w:rFonts w:cs="Arial"/>
          <w:lang w:val="en"/>
        </w:rPr>
        <w:t>s</w:t>
      </w:r>
      <w:r w:rsidR="00D96CFB" w:rsidRPr="00FD1A1E">
        <w:rPr>
          <w:rFonts w:cs="Arial"/>
          <w:lang w:val="en"/>
        </w:rPr>
        <w:t>2014</w:t>
      </w:r>
      <w:hyperlink r:id="rId20" w:history="1">
        <w:r w:rsidR="0097281B" w:rsidRPr="00FD1A1E">
          <w:rPr>
            <w:rStyle w:val="Hyperlink"/>
            <w:rFonts w:cs="Arial"/>
            <w:color w:val="auto"/>
            <w:u w:val="none"/>
          </w:rPr>
          <w:t>@humanrights.gov.au</w:t>
        </w:r>
      </w:hyperlink>
    </w:p>
    <w:p w:rsidR="0097281B" w:rsidRPr="008B2A47" w:rsidRDefault="0097281B" w:rsidP="008C0CB8">
      <w:pPr>
        <w:spacing w:before="0" w:after="0"/>
        <w:rPr>
          <w:rFonts w:cs="Arial"/>
        </w:rPr>
      </w:pPr>
      <w:r w:rsidRPr="008B2A47">
        <w:rPr>
          <w:rFonts w:cs="Arial"/>
        </w:rPr>
        <w:t>Telephone:</w:t>
      </w:r>
      <w:r w:rsidRPr="008B2A47">
        <w:rPr>
          <w:rFonts w:cs="Arial"/>
        </w:rPr>
        <w:tab/>
        <w:t>(02) 9284 9600</w:t>
      </w:r>
    </w:p>
    <w:p w:rsidR="0097281B" w:rsidRPr="008B2A47" w:rsidRDefault="0097281B" w:rsidP="008C0CB8">
      <w:pPr>
        <w:spacing w:before="0" w:after="0"/>
        <w:rPr>
          <w:rFonts w:cs="Arial"/>
        </w:rPr>
      </w:pPr>
      <w:r w:rsidRPr="008B2A47">
        <w:rPr>
          <w:rFonts w:cs="Arial"/>
        </w:rPr>
        <w:t>Fax:</w:t>
      </w:r>
      <w:r w:rsidRPr="008B2A47">
        <w:rPr>
          <w:rFonts w:cs="Arial"/>
        </w:rPr>
        <w:tab/>
      </w:r>
      <w:r w:rsidRPr="008B2A47">
        <w:rPr>
          <w:rFonts w:cs="Arial"/>
        </w:rPr>
        <w:tab/>
        <w:t>(02) 9284 9611</w:t>
      </w:r>
    </w:p>
    <w:p w:rsidR="0097281B" w:rsidRPr="008B2A47" w:rsidRDefault="0097281B" w:rsidP="008C0CB8">
      <w:pPr>
        <w:spacing w:before="0" w:after="0"/>
        <w:rPr>
          <w:rFonts w:cs="Arial"/>
        </w:rPr>
      </w:pPr>
    </w:p>
    <w:p w:rsidR="0097281B" w:rsidRPr="008B2A47" w:rsidRDefault="0097281B" w:rsidP="008C0CB8">
      <w:pPr>
        <w:spacing w:before="0" w:after="0"/>
        <w:rPr>
          <w:rFonts w:cs="Arial"/>
          <w:b/>
          <w:lang w:val="en"/>
        </w:rPr>
      </w:pPr>
      <w:r w:rsidRPr="008B2A47">
        <w:rPr>
          <w:rFonts w:cs="Arial"/>
        </w:rPr>
        <w:t xml:space="preserve">For detailed and up to date information about the Australian Human Rights Commission, please visit the website at </w:t>
      </w:r>
      <w:hyperlink r:id="rId21" w:history="1">
        <w:r w:rsidRPr="008B2A47">
          <w:rPr>
            <w:rStyle w:val="Hyperlink"/>
            <w:rFonts w:cs="Arial"/>
            <w:color w:val="auto"/>
            <w:u w:val="none"/>
          </w:rPr>
          <w:t>www.humanrights.gov.au</w:t>
        </w:r>
      </w:hyperlink>
      <w:r w:rsidR="00B06CEF" w:rsidRPr="008B2A47">
        <w:rPr>
          <w:rFonts w:cs="Arial"/>
        </w:rPr>
        <w:t>.</w:t>
      </w:r>
    </w:p>
    <w:p w:rsidR="00797E16" w:rsidRDefault="00797E16">
      <w:pPr>
        <w:spacing w:before="0" w:after="0"/>
        <w:rPr>
          <w:rFonts w:cs="Arial"/>
          <w:b/>
        </w:rPr>
      </w:pPr>
    </w:p>
    <w:p w:rsidR="00185A1C" w:rsidRDefault="00185A1C">
      <w:pPr>
        <w:spacing w:before="0" w:after="0"/>
        <w:rPr>
          <w:rFonts w:cs="Arial"/>
          <w:b/>
        </w:rPr>
      </w:pPr>
      <w:r>
        <w:rPr>
          <w:rFonts w:cs="Arial"/>
          <w:b/>
        </w:rPr>
        <w:br w:type="page"/>
      </w:r>
    </w:p>
    <w:p w:rsidR="00185A1C" w:rsidRDefault="00185A1C" w:rsidP="00185A1C">
      <w:pPr>
        <w:pStyle w:val="Heading1"/>
        <w:numPr>
          <w:ilvl w:val="0"/>
          <w:numId w:val="0"/>
        </w:numPr>
        <w:ind w:left="851" w:hanging="851"/>
        <w:rPr>
          <w:rFonts w:cs="Arial"/>
          <w:sz w:val="24"/>
          <w:szCs w:val="24"/>
          <w:lang w:val="en"/>
        </w:rPr>
      </w:pPr>
      <w:r>
        <w:rPr>
          <w:rFonts w:cs="Arial"/>
          <w:sz w:val="24"/>
          <w:szCs w:val="24"/>
          <w:lang w:val="en"/>
        </w:rPr>
        <w:lastRenderedPageBreak/>
        <w:t>Appendix A</w:t>
      </w:r>
    </w:p>
    <w:p w:rsidR="00185A1C" w:rsidRPr="00943ACB" w:rsidRDefault="00185A1C" w:rsidP="00185A1C">
      <w:pPr>
        <w:pStyle w:val="Heading1"/>
        <w:numPr>
          <w:ilvl w:val="0"/>
          <w:numId w:val="0"/>
        </w:numPr>
        <w:ind w:left="851" w:hanging="851"/>
        <w:rPr>
          <w:sz w:val="24"/>
          <w:szCs w:val="24"/>
        </w:rPr>
      </w:pPr>
      <w:r>
        <w:rPr>
          <w:rFonts w:cs="Arial"/>
          <w:sz w:val="24"/>
          <w:szCs w:val="24"/>
          <w:lang w:val="en"/>
        </w:rPr>
        <w:t>Right to f</w:t>
      </w:r>
      <w:r w:rsidRPr="00B06CEF">
        <w:rPr>
          <w:rFonts w:cs="Arial"/>
          <w:sz w:val="24"/>
          <w:szCs w:val="24"/>
          <w:lang w:val="en"/>
        </w:rPr>
        <w:t>reedom</w:t>
      </w:r>
      <w:r w:rsidRPr="00B06CEF">
        <w:rPr>
          <w:sz w:val="24"/>
          <w:szCs w:val="24"/>
        </w:rPr>
        <w:t xml:space="preserve"> of expression</w:t>
      </w:r>
      <w:r>
        <w:rPr>
          <w:rStyle w:val="EndnoteReference"/>
          <w:rFonts w:cs="Arial"/>
        </w:rPr>
        <w:endnoteReference w:id="8"/>
      </w:r>
    </w:p>
    <w:p w:rsidR="00185A1C" w:rsidRDefault="00185A1C" w:rsidP="00185A1C">
      <w:pPr>
        <w:rPr>
          <w:rFonts w:cs="Arial"/>
        </w:rPr>
      </w:pPr>
      <w:r>
        <w:rPr>
          <w:rFonts w:cs="Arial"/>
        </w:rPr>
        <w:t xml:space="preserve">The right to freedom of </w:t>
      </w:r>
      <w:r w:rsidRPr="006D7572">
        <w:rPr>
          <w:rFonts w:cs="Arial"/>
        </w:rPr>
        <w:t>expression</w:t>
      </w:r>
      <w:r w:rsidR="0052009C">
        <w:rPr>
          <w:rFonts w:cs="Arial"/>
        </w:rPr>
        <w:t xml:space="preserve"> (commonly referred to as freedom of speech)</w:t>
      </w:r>
      <w:r w:rsidRPr="006D7572">
        <w:rPr>
          <w:rFonts w:cs="Arial"/>
        </w:rPr>
        <w:t xml:space="preserve"> </w:t>
      </w:r>
      <w:r>
        <w:rPr>
          <w:rFonts w:cs="Arial"/>
        </w:rPr>
        <w:t xml:space="preserve">provides the foundation for </w:t>
      </w:r>
      <w:r w:rsidR="0052009C">
        <w:rPr>
          <w:rFonts w:cs="Arial"/>
        </w:rPr>
        <w:t xml:space="preserve">individual autonomy, the capacity for individuals to think for themselves and impart knowledge, and a </w:t>
      </w:r>
      <w:r>
        <w:rPr>
          <w:rFonts w:cs="Arial"/>
        </w:rPr>
        <w:t>strong democr</w:t>
      </w:r>
      <w:r w:rsidR="0052009C">
        <w:rPr>
          <w:rFonts w:cs="Arial"/>
        </w:rPr>
        <w:t>acy where opinions and ideas can be debated freely</w:t>
      </w:r>
      <w:r>
        <w:rPr>
          <w:rFonts w:cs="Arial"/>
        </w:rPr>
        <w:t>. The right enables discussions and debates about political and social views, and in so doing, creates the basis for the effective exercise</w:t>
      </w:r>
      <w:r w:rsidR="00E67819">
        <w:rPr>
          <w:rFonts w:cs="Arial"/>
        </w:rPr>
        <w:t xml:space="preserve"> and defence</w:t>
      </w:r>
      <w:r>
        <w:rPr>
          <w:rFonts w:cs="Arial"/>
        </w:rPr>
        <w:t xml:space="preserve"> of many other human rights and freedoms. The right is: </w:t>
      </w:r>
    </w:p>
    <w:p w:rsidR="00185A1C" w:rsidRDefault="00185A1C" w:rsidP="00185A1C">
      <w:pPr>
        <w:pStyle w:val="SubmissionNormal"/>
        <w:numPr>
          <w:ilvl w:val="0"/>
          <w:numId w:val="0"/>
        </w:numPr>
        <w:ind w:left="709"/>
        <w:rPr>
          <w:sz w:val="22"/>
          <w:szCs w:val="22"/>
        </w:rPr>
      </w:pPr>
      <w:proofErr w:type="gramStart"/>
      <w:r w:rsidRPr="005D13F5">
        <w:rPr>
          <w:sz w:val="22"/>
          <w:szCs w:val="22"/>
        </w:rPr>
        <w:t>closely</w:t>
      </w:r>
      <w:proofErr w:type="gramEnd"/>
      <w:r w:rsidRPr="005D13F5">
        <w:rPr>
          <w:sz w:val="22"/>
          <w:szCs w:val="22"/>
        </w:rPr>
        <w:t xml:space="preserve"> linked to the rights to freedom of association, assembly, thought, conscience and religion, and participation in public affairs. It symbolizes, more than any other right, the indivisibility and interdependence of all human rights. As such, the effective enjoyment of this right is an important indicator with respect to the protection of other human rights and fundamental freedoms.</w:t>
      </w:r>
      <w:r>
        <w:rPr>
          <w:rStyle w:val="EndnoteReference"/>
          <w:szCs w:val="22"/>
        </w:rPr>
        <w:endnoteReference w:id="9"/>
      </w:r>
    </w:p>
    <w:p w:rsidR="00185A1C" w:rsidRDefault="00185A1C" w:rsidP="00185A1C">
      <w:r>
        <w:t xml:space="preserve">The right to freedom of expression </w:t>
      </w:r>
      <w:r w:rsidR="0052009C">
        <w:t>is an extension of the absolute right of free</w:t>
      </w:r>
      <w:r w:rsidR="00F1439F">
        <w:t>dom</w:t>
      </w:r>
      <w:r w:rsidR="0052009C">
        <w:t xml:space="preserve"> </w:t>
      </w:r>
      <w:r>
        <w:t xml:space="preserve">to hold opinions without interference. </w:t>
      </w:r>
    </w:p>
    <w:p w:rsidR="00185A1C" w:rsidRDefault="003A4521" w:rsidP="00185A1C">
      <w:pPr>
        <w:rPr>
          <w:rFonts w:cs="Arial"/>
        </w:rPr>
      </w:pPr>
      <w:r>
        <w:rPr>
          <w:rFonts w:cs="Arial"/>
        </w:rPr>
        <w:t>F</w:t>
      </w:r>
      <w:bookmarkStart w:id="0" w:name="_GoBack"/>
      <w:bookmarkEnd w:id="0"/>
      <w:r w:rsidR="00185A1C">
        <w:rPr>
          <w:rFonts w:cs="Arial"/>
        </w:rPr>
        <w:t xml:space="preserve">reedom of expression </w:t>
      </w:r>
      <w:r w:rsidR="00185A1C" w:rsidRPr="00EF7E27">
        <w:rPr>
          <w:rFonts w:cs="Arial"/>
        </w:rPr>
        <w:t>applies to any medium, including written and oral communications, the media, public protest, broadcasting, artistic works and commercial advertising</w:t>
      </w:r>
      <w:r w:rsidR="00185A1C">
        <w:rPr>
          <w:rFonts w:cs="Arial"/>
        </w:rPr>
        <w:t xml:space="preserve">. </w:t>
      </w:r>
    </w:p>
    <w:p w:rsidR="00185A1C" w:rsidRPr="009216F3" w:rsidRDefault="00BA7DE9" w:rsidP="00185A1C">
      <w:pPr>
        <w:rPr>
          <w:rFonts w:cs="Arial"/>
        </w:rPr>
      </w:pPr>
      <w:r>
        <w:rPr>
          <w:rFonts w:cs="Arial"/>
        </w:rPr>
        <w:t>Under international law, f</w:t>
      </w:r>
      <w:r w:rsidR="00185A1C">
        <w:rPr>
          <w:rFonts w:cs="Arial"/>
        </w:rPr>
        <w:t xml:space="preserve">reedom of expression </w:t>
      </w:r>
      <w:r w:rsidR="00185A1C" w:rsidRPr="00EF7E27">
        <w:rPr>
          <w:rFonts w:cs="Arial"/>
        </w:rPr>
        <w:t xml:space="preserve">may </w:t>
      </w:r>
      <w:r w:rsidR="00185A1C">
        <w:rPr>
          <w:rFonts w:cs="Arial"/>
        </w:rPr>
        <w:t xml:space="preserve">only </w:t>
      </w:r>
      <w:r w:rsidR="00185A1C" w:rsidRPr="00EF7E27">
        <w:rPr>
          <w:rFonts w:cs="Arial"/>
        </w:rPr>
        <w:t>be limited where it is prescribed by law and deemed necessary to protect the rights or reputations of others, national security, public order, or public health or morals.</w:t>
      </w:r>
      <w:r w:rsidR="00185A1C">
        <w:rPr>
          <w:rFonts w:cs="Arial"/>
        </w:rPr>
        <w:t xml:space="preserve"> A</w:t>
      </w:r>
      <w:r w:rsidR="00185A1C" w:rsidRPr="009216F3">
        <w:rPr>
          <w:rFonts w:cs="Arial"/>
        </w:rPr>
        <w:t xml:space="preserve"> mandatory limitation </w:t>
      </w:r>
      <w:r w:rsidR="00185A1C">
        <w:rPr>
          <w:rFonts w:cs="Arial"/>
        </w:rPr>
        <w:t xml:space="preserve">also </w:t>
      </w:r>
      <w:r w:rsidR="00185A1C" w:rsidRPr="009216F3">
        <w:rPr>
          <w:rFonts w:cs="Arial"/>
        </w:rPr>
        <w:t xml:space="preserve">applies to the right to freedom of expression </w:t>
      </w:r>
      <w:r w:rsidR="00791A7D">
        <w:rPr>
          <w:rFonts w:cs="Arial"/>
        </w:rPr>
        <w:t>in relation to ‘any advocacy of national, racial or religious hatred that constitutes incitement to discrimination, hostility or violence’.</w:t>
      </w:r>
      <w:r w:rsidR="00791A7D">
        <w:rPr>
          <w:rStyle w:val="EndnoteReference"/>
          <w:rFonts w:cs="Arial"/>
        </w:rPr>
        <w:endnoteReference w:id="10"/>
      </w:r>
    </w:p>
    <w:p w:rsidR="00185A1C" w:rsidRPr="00D236CE" w:rsidRDefault="00185A1C" w:rsidP="00185A1C">
      <w:pPr>
        <w:pStyle w:val="SubmissionNormal"/>
        <w:numPr>
          <w:ilvl w:val="0"/>
          <w:numId w:val="0"/>
        </w:numPr>
        <w:rPr>
          <w:rFonts w:cs="Arial"/>
          <w:b/>
        </w:rPr>
      </w:pPr>
      <w:r w:rsidRPr="00D236CE">
        <w:t>Further</w:t>
      </w:r>
      <w:r w:rsidRPr="00D236CE">
        <w:rPr>
          <w:rFonts w:cs="Arial"/>
        </w:rPr>
        <w:t xml:space="preserve"> information about </w:t>
      </w:r>
      <w:r>
        <w:rPr>
          <w:rFonts w:cs="Arial"/>
        </w:rPr>
        <w:t>the right</w:t>
      </w:r>
      <w:r w:rsidRPr="00D236CE">
        <w:rPr>
          <w:rFonts w:cs="Arial"/>
        </w:rPr>
        <w:t xml:space="preserve"> to freedom of </w:t>
      </w:r>
      <w:r>
        <w:rPr>
          <w:rFonts w:cs="Arial"/>
        </w:rPr>
        <w:t>expression is</w:t>
      </w:r>
      <w:r w:rsidRPr="00D236CE">
        <w:rPr>
          <w:rFonts w:cs="Arial"/>
        </w:rPr>
        <w:t xml:space="preserve"> available at </w:t>
      </w:r>
      <w:hyperlink r:id="rId22" w:history="1">
        <w:r w:rsidRPr="00941B5A">
          <w:rPr>
            <w:rStyle w:val="Hyperlink"/>
            <w:rFonts w:cs="Arial"/>
            <w:color w:val="auto"/>
            <w:u w:val="none"/>
          </w:rPr>
          <w:t>http://www.humanrights.gov.au/freedom-information-opinion-and-expression</w:t>
        </w:r>
      </w:hyperlink>
      <w:r w:rsidRPr="00D236CE">
        <w:rPr>
          <w:rFonts w:cs="Arial"/>
        </w:rPr>
        <w:t>.</w:t>
      </w:r>
    </w:p>
    <w:p w:rsidR="00185A1C" w:rsidRPr="00110A89" w:rsidRDefault="00185A1C" w:rsidP="00185A1C">
      <w:pPr>
        <w:pStyle w:val="SubmissionNormal"/>
        <w:numPr>
          <w:ilvl w:val="0"/>
          <w:numId w:val="0"/>
        </w:numPr>
        <w:rPr>
          <w:i/>
        </w:rPr>
      </w:pPr>
      <w:r w:rsidRPr="00110A89">
        <w:rPr>
          <w:i/>
        </w:rPr>
        <w:t xml:space="preserve">Freedom of expression in Australia </w:t>
      </w:r>
    </w:p>
    <w:p w:rsidR="00185A1C" w:rsidRDefault="00F1439F" w:rsidP="00185A1C">
      <w:pPr>
        <w:pStyle w:val="SubmissionNormal"/>
        <w:numPr>
          <w:ilvl w:val="0"/>
          <w:numId w:val="0"/>
        </w:numPr>
        <w:rPr>
          <w:rFonts w:cs="Arial"/>
        </w:rPr>
      </w:pPr>
      <w:r>
        <w:t>Australia does not have a b</w:t>
      </w:r>
      <w:r w:rsidR="0052009C">
        <w:t xml:space="preserve">ill </w:t>
      </w:r>
      <w:r>
        <w:t>or charter of r</w:t>
      </w:r>
      <w:r w:rsidR="0052009C">
        <w:t xml:space="preserve">ights that protects freedom of expression. </w:t>
      </w:r>
      <w:r w:rsidR="00185A1C">
        <w:t xml:space="preserve">The rights to freedom of opinion and expression are not enshrined in Australian federal law; </w:t>
      </w:r>
      <w:r w:rsidR="00185A1C" w:rsidRPr="00EF3FB9">
        <w:rPr>
          <w:rFonts w:cs="Arial"/>
        </w:rPr>
        <w:t>however</w:t>
      </w:r>
      <w:r w:rsidR="00185A1C">
        <w:t xml:space="preserve">, the </w:t>
      </w:r>
      <w:r w:rsidR="00185A1C" w:rsidRPr="006D7572">
        <w:rPr>
          <w:rFonts w:cs="Arial"/>
        </w:rPr>
        <w:t>High Court</w:t>
      </w:r>
      <w:r w:rsidR="00185A1C">
        <w:rPr>
          <w:rFonts w:cs="Arial"/>
        </w:rPr>
        <w:t xml:space="preserve"> of Australia</w:t>
      </w:r>
      <w:r w:rsidR="00185A1C" w:rsidRPr="006D7572">
        <w:rPr>
          <w:rFonts w:cs="Arial"/>
        </w:rPr>
        <w:t xml:space="preserve"> has inferred a freedom of po</w:t>
      </w:r>
      <w:r w:rsidR="00185A1C">
        <w:rPr>
          <w:rFonts w:cs="Arial"/>
        </w:rPr>
        <w:t xml:space="preserve">litical communication </w:t>
      </w:r>
      <w:r w:rsidR="00185A1C" w:rsidRPr="006D7572">
        <w:rPr>
          <w:rFonts w:cs="Arial"/>
        </w:rPr>
        <w:t xml:space="preserve">from the </w:t>
      </w:r>
      <w:r w:rsidR="00185A1C">
        <w:rPr>
          <w:rFonts w:cs="Arial"/>
        </w:rPr>
        <w:t xml:space="preserve">Australian </w:t>
      </w:r>
      <w:r w:rsidR="00185A1C" w:rsidRPr="006D7572">
        <w:rPr>
          <w:rFonts w:cs="Arial"/>
          <w:iCs/>
        </w:rPr>
        <w:t>Constitution</w:t>
      </w:r>
      <w:r w:rsidR="00185A1C" w:rsidRPr="006D7572">
        <w:rPr>
          <w:rFonts w:cs="Arial"/>
        </w:rPr>
        <w:t>.</w:t>
      </w:r>
      <w:r w:rsidR="00185A1C" w:rsidRPr="006D7572">
        <w:rPr>
          <w:rStyle w:val="EndnoteReference"/>
          <w:rFonts w:cs="Arial"/>
        </w:rPr>
        <w:endnoteReference w:id="11"/>
      </w:r>
    </w:p>
    <w:p w:rsidR="00185A1C" w:rsidRPr="006D7572" w:rsidRDefault="00185A1C" w:rsidP="00185A1C">
      <w:pPr>
        <w:pStyle w:val="SubmissionNormal"/>
        <w:numPr>
          <w:ilvl w:val="0"/>
          <w:numId w:val="0"/>
        </w:numPr>
        <w:rPr>
          <w:rFonts w:cs="Arial"/>
        </w:rPr>
      </w:pPr>
      <w:r>
        <w:rPr>
          <w:rFonts w:cs="Arial"/>
        </w:rPr>
        <w:t xml:space="preserve">Your </w:t>
      </w:r>
      <w:r w:rsidRPr="006D7572">
        <w:rPr>
          <w:rFonts w:cs="Arial"/>
        </w:rPr>
        <w:t>right</w:t>
      </w:r>
      <w:r>
        <w:rPr>
          <w:rFonts w:cs="Arial"/>
        </w:rPr>
        <w:t>s</w:t>
      </w:r>
      <w:r w:rsidRPr="006D7572">
        <w:rPr>
          <w:rFonts w:cs="Arial"/>
        </w:rPr>
        <w:t xml:space="preserve"> to freedom of opinion and expression </w:t>
      </w:r>
      <w:r>
        <w:rPr>
          <w:rFonts w:cs="Arial"/>
        </w:rPr>
        <w:t>are relevant to federal legislation, policies or programs that seek to</w:t>
      </w:r>
      <w:r w:rsidRPr="006D7572">
        <w:rPr>
          <w:rFonts w:cs="Arial"/>
        </w:rPr>
        <w:t>:</w:t>
      </w:r>
    </w:p>
    <w:p w:rsidR="00185A1C" w:rsidRPr="006D7572" w:rsidRDefault="00185A1C" w:rsidP="00185A1C">
      <w:pPr>
        <w:pStyle w:val="ListParagraph"/>
        <w:numPr>
          <w:ilvl w:val="0"/>
          <w:numId w:val="31"/>
        </w:numPr>
        <w:rPr>
          <w:rFonts w:cs="Arial"/>
        </w:rPr>
      </w:pPr>
      <w:r>
        <w:rPr>
          <w:rFonts w:cs="Arial"/>
        </w:rPr>
        <w:t>regulate</w:t>
      </w:r>
      <w:r w:rsidRPr="006D7572">
        <w:rPr>
          <w:rFonts w:cs="Arial"/>
        </w:rPr>
        <w:t xml:space="preserve"> the content of any speech, publication, </w:t>
      </w:r>
      <w:r>
        <w:rPr>
          <w:rFonts w:cs="Arial"/>
        </w:rPr>
        <w:t>broadcast, display or promotion</w:t>
      </w:r>
    </w:p>
    <w:p w:rsidR="00185A1C" w:rsidRPr="006D7572" w:rsidRDefault="00185A1C" w:rsidP="00185A1C">
      <w:pPr>
        <w:pStyle w:val="ListParagraph"/>
        <w:numPr>
          <w:ilvl w:val="0"/>
          <w:numId w:val="31"/>
        </w:numPr>
        <w:rPr>
          <w:rFonts w:cs="Arial"/>
        </w:rPr>
      </w:pPr>
      <w:r>
        <w:rPr>
          <w:rFonts w:cs="Arial"/>
        </w:rPr>
        <w:t>regulate</w:t>
      </w:r>
      <w:r w:rsidRPr="006D7572">
        <w:rPr>
          <w:rFonts w:cs="Arial"/>
        </w:rPr>
        <w:t xml:space="preserve"> the format or manner of any form of expression (for example</w:t>
      </w:r>
      <w:r w:rsidR="002B4958">
        <w:rPr>
          <w:rFonts w:cs="Arial"/>
        </w:rPr>
        <w:t>, requiring</w:t>
      </w:r>
      <w:r w:rsidRPr="006D7572">
        <w:rPr>
          <w:rFonts w:cs="Arial"/>
        </w:rPr>
        <w:t xml:space="preserve"> prior approval fo</w:t>
      </w:r>
      <w:r w:rsidR="002B4958">
        <w:rPr>
          <w:rFonts w:cs="Arial"/>
        </w:rPr>
        <w:t>r public protest or placing</w:t>
      </w:r>
      <w:r w:rsidRPr="006D7572">
        <w:rPr>
          <w:rFonts w:cs="Arial"/>
        </w:rPr>
        <w:t xml:space="preserve"> restrictions on the uses of places in which protest activity may take place) </w:t>
      </w:r>
    </w:p>
    <w:p w:rsidR="00185A1C" w:rsidRPr="006D7572" w:rsidRDefault="00185A1C" w:rsidP="00185A1C">
      <w:pPr>
        <w:pStyle w:val="ListParagraph"/>
        <w:numPr>
          <w:ilvl w:val="0"/>
          <w:numId w:val="31"/>
        </w:numPr>
        <w:rPr>
          <w:rFonts w:cs="Arial"/>
        </w:rPr>
      </w:pPr>
      <w:r>
        <w:rPr>
          <w:rFonts w:cs="Arial"/>
        </w:rPr>
        <w:t>restrict or censor</w:t>
      </w:r>
      <w:r w:rsidRPr="006D7572">
        <w:rPr>
          <w:rFonts w:cs="Arial"/>
        </w:rPr>
        <w:t xml:space="preserve"> media coverage, including in relation to political matters </w:t>
      </w:r>
    </w:p>
    <w:p w:rsidR="00185A1C" w:rsidRPr="006D7572" w:rsidRDefault="00185A1C" w:rsidP="00185A1C">
      <w:pPr>
        <w:pStyle w:val="ListParagraph"/>
        <w:numPr>
          <w:ilvl w:val="0"/>
          <w:numId w:val="31"/>
        </w:numPr>
        <w:rPr>
          <w:rFonts w:cs="Arial"/>
        </w:rPr>
      </w:pPr>
      <w:r>
        <w:rPr>
          <w:rFonts w:cs="Arial"/>
        </w:rPr>
        <w:t>require</w:t>
      </w:r>
      <w:r w:rsidRPr="006D7572">
        <w:rPr>
          <w:rFonts w:cs="Arial"/>
        </w:rPr>
        <w:t xml:space="preserve"> material to be approved before it may be published </w:t>
      </w:r>
    </w:p>
    <w:p w:rsidR="00185A1C" w:rsidRPr="006D7572" w:rsidRDefault="00185A1C" w:rsidP="00185A1C">
      <w:pPr>
        <w:pStyle w:val="ListParagraph"/>
        <w:numPr>
          <w:ilvl w:val="0"/>
          <w:numId w:val="31"/>
        </w:numPr>
        <w:rPr>
          <w:rFonts w:cs="Arial"/>
        </w:rPr>
      </w:pPr>
      <w:r>
        <w:rPr>
          <w:rFonts w:cs="Arial"/>
        </w:rPr>
        <w:t>attach</w:t>
      </w:r>
      <w:r w:rsidRPr="006D7572">
        <w:rPr>
          <w:rFonts w:cs="Arial"/>
        </w:rPr>
        <w:t xml:space="preserve"> criminal or civil liability to the publication of opinions or information </w:t>
      </w:r>
    </w:p>
    <w:p w:rsidR="00185A1C" w:rsidRPr="006D7572" w:rsidRDefault="00185A1C" w:rsidP="00185A1C">
      <w:pPr>
        <w:pStyle w:val="ListParagraph"/>
        <w:numPr>
          <w:ilvl w:val="0"/>
          <w:numId w:val="31"/>
        </w:numPr>
        <w:rPr>
          <w:rFonts w:cs="Arial"/>
        </w:rPr>
      </w:pPr>
      <w:r>
        <w:rPr>
          <w:rFonts w:cs="Arial"/>
        </w:rPr>
        <w:t>regulate</w:t>
      </w:r>
      <w:r w:rsidR="002B4958">
        <w:rPr>
          <w:rFonts w:cs="Arial"/>
        </w:rPr>
        <w:t xml:space="preserve"> or restrict</w:t>
      </w:r>
      <w:r w:rsidRPr="006D7572">
        <w:rPr>
          <w:rFonts w:cs="Arial"/>
        </w:rPr>
        <w:t xml:space="preserve"> access to information, including on the internet </w:t>
      </w:r>
    </w:p>
    <w:p w:rsidR="00185A1C" w:rsidRPr="006D7572" w:rsidRDefault="00185A1C" w:rsidP="00185A1C">
      <w:pPr>
        <w:pStyle w:val="ListParagraph"/>
        <w:numPr>
          <w:ilvl w:val="0"/>
          <w:numId w:val="31"/>
        </w:numPr>
        <w:rPr>
          <w:rFonts w:cs="Arial"/>
        </w:rPr>
      </w:pPr>
      <w:r>
        <w:rPr>
          <w:rFonts w:cs="Arial"/>
        </w:rPr>
        <w:lastRenderedPageBreak/>
        <w:t>impose</w:t>
      </w:r>
      <w:r w:rsidRPr="006D7572">
        <w:rPr>
          <w:rFonts w:cs="Arial"/>
        </w:rPr>
        <w:t xml:space="preserve"> censorship or provides for classification of entertainment content, or</w:t>
      </w:r>
    </w:p>
    <w:p w:rsidR="00185A1C" w:rsidRPr="00F1439F" w:rsidRDefault="00185A1C" w:rsidP="00F1439F">
      <w:pPr>
        <w:pStyle w:val="ListParagraph"/>
        <w:numPr>
          <w:ilvl w:val="0"/>
          <w:numId w:val="31"/>
        </w:numPr>
        <w:rPr>
          <w:rFonts w:cs="Arial"/>
        </w:rPr>
      </w:pPr>
      <w:proofErr w:type="gramStart"/>
      <w:r>
        <w:rPr>
          <w:rFonts w:cs="Arial"/>
        </w:rPr>
        <w:t>regulate</w:t>
      </w:r>
      <w:proofErr w:type="gramEnd"/>
      <w:r w:rsidRPr="006D7572">
        <w:rPr>
          <w:rFonts w:cs="Arial"/>
        </w:rPr>
        <w:t xml:space="preserve"> commercial ex</w:t>
      </w:r>
      <w:r w:rsidR="00F1439F">
        <w:rPr>
          <w:rFonts w:cs="Arial"/>
        </w:rPr>
        <w:t>pression (such as advertising).</w:t>
      </w:r>
    </w:p>
    <w:p w:rsidR="00185A1C" w:rsidRDefault="00185A1C" w:rsidP="00185A1C">
      <w:pPr>
        <w:pStyle w:val="Heading3"/>
        <w:numPr>
          <w:ilvl w:val="0"/>
          <w:numId w:val="0"/>
        </w:numPr>
        <w:ind w:left="851" w:hanging="851"/>
        <w:rPr>
          <w:i w:val="0"/>
        </w:rPr>
      </w:pPr>
      <w:r w:rsidRPr="006C1E07">
        <w:t>Rights &amp; Responsibilities 2014</w:t>
      </w:r>
      <w:r>
        <w:rPr>
          <w:i w:val="0"/>
        </w:rPr>
        <w:t xml:space="preserve"> will focus on:</w:t>
      </w:r>
    </w:p>
    <w:p w:rsidR="00185A1C" w:rsidRDefault="00185A1C" w:rsidP="00185A1C">
      <w:pPr>
        <w:pStyle w:val="ListParagraph"/>
        <w:numPr>
          <w:ilvl w:val="0"/>
          <w:numId w:val="31"/>
        </w:numPr>
        <w:rPr>
          <w:rFonts w:cs="Arial"/>
        </w:rPr>
      </w:pPr>
      <w:r>
        <w:rPr>
          <w:rFonts w:cs="Arial"/>
        </w:rPr>
        <w:t>how you exercise your right to freedom of expression</w:t>
      </w:r>
    </w:p>
    <w:p w:rsidR="0052009C" w:rsidRPr="006D7572" w:rsidRDefault="0052009C" w:rsidP="00185A1C">
      <w:pPr>
        <w:pStyle w:val="ListParagraph"/>
        <w:numPr>
          <w:ilvl w:val="0"/>
          <w:numId w:val="31"/>
        </w:numPr>
        <w:rPr>
          <w:rFonts w:cs="Arial"/>
        </w:rPr>
      </w:pPr>
      <w:r>
        <w:rPr>
          <w:rFonts w:cs="Arial"/>
        </w:rPr>
        <w:t>where restrictions</w:t>
      </w:r>
      <w:r w:rsidR="00F1439F">
        <w:rPr>
          <w:rFonts w:cs="Arial"/>
        </w:rPr>
        <w:t xml:space="preserve"> on freedom of expression exist</w:t>
      </w:r>
    </w:p>
    <w:p w:rsidR="00185A1C" w:rsidRDefault="00185A1C" w:rsidP="00185A1C">
      <w:pPr>
        <w:pStyle w:val="ListParagraph"/>
        <w:numPr>
          <w:ilvl w:val="0"/>
          <w:numId w:val="31"/>
        </w:numPr>
        <w:rPr>
          <w:rFonts w:cs="Arial"/>
        </w:rPr>
      </w:pPr>
      <w:r>
        <w:rPr>
          <w:rFonts w:cs="Arial"/>
        </w:rPr>
        <w:t>whether you</w:t>
      </w:r>
      <w:r w:rsidRPr="006D7572">
        <w:rPr>
          <w:rFonts w:cs="Arial"/>
        </w:rPr>
        <w:t xml:space="preserve"> </w:t>
      </w:r>
      <w:r>
        <w:rPr>
          <w:rFonts w:cs="Arial"/>
        </w:rPr>
        <w:t xml:space="preserve">have </w:t>
      </w:r>
      <w:r w:rsidRPr="006D7572">
        <w:rPr>
          <w:rFonts w:cs="Arial"/>
        </w:rPr>
        <w:t>felt restricted or</w:t>
      </w:r>
      <w:r>
        <w:rPr>
          <w:rFonts w:cs="Arial"/>
        </w:rPr>
        <w:t xml:space="preserve"> prohibited from exercising</w:t>
      </w:r>
      <w:r w:rsidRPr="006D7572">
        <w:rPr>
          <w:rFonts w:cs="Arial"/>
        </w:rPr>
        <w:t xml:space="preserve"> </w:t>
      </w:r>
      <w:r>
        <w:rPr>
          <w:rFonts w:cs="Arial"/>
        </w:rPr>
        <w:t xml:space="preserve">your </w:t>
      </w:r>
      <w:r w:rsidRPr="006D7572">
        <w:rPr>
          <w:rFonts w:cs="Arial"/>
        </w:rPr>
        <w:t>right to free</w:t>
      </w:r>
      <w:r>
        <w:rPr>
          <w:rFonts w:cs="Arial"/>
        </w:rPr>
        <w:t>dom of expression</w:t>
      </w:r>
      <w:r w:rsidRPr="006D7572">
        <w:rPr>
          <w:rFonts w:cs="Arial"/>
        </w:rPr>
        <w:t xml:space="preserve"> </w:t>
      </w:r>
    </w:p>
    <w:p w:rsidR="00104907" w:rsidRDefault="00104907" w:rsidP="00185A1C">
      <w:pPr>
        <w:pStyle w:val="ListParagraph"/>
        <w:numPr>
          <w:ilvl w:val="0"/>
          <w:numId w:val="31"/>
        </w:numPr>
        <w:rPr>
          <w:rFonts w:cs="Arial"/>
        </w:rPr>
      </w:pPr>
      <w:r>
        <w:rPr>
          <w:rFonts w:cs="Arial"/>
        </w:rPr>
        <w:t>how individuals can be held accountable for the use of their freed</w:t>
      </w:r>
      <w:r w:rsidR="00F1439F">
        <w:rPr>
          <w:rFonts w:cs="Arial"/>
        </w:rPr>
        <w:t>om of expression outside of law</w:t>
      </w:r>
    </w:p>
    <w:p w:rsidR="007F608C" w:rsidRPr="00BA7DE9" w:rsidRDefault="00185A1C" w:rsidP="00BA7DE9">
      <w:pPr>
        <w:pStyle w:val="ListParagraph"/>
        <w:numPr>
          <w:ilvl w:val="0"/>
          <w:numId w:val="31"/>
        </w:numPr>
        <w:rPr>
          <w:rFonts w:cs="Arial"/>
        </w:rPr>
      </w:pPr>
      <w:proofErr w:type="gramStart"/>
      <w:r>
        <w:rPr>
          <w:rFonts w:cs="Arial"/>
        </w:rPr>
        <w:t>what</w:t>
      </w:r>
      <w:proofErr w:type="gramEnd"/>
      <w:r>
        <w:rPr>
          <w:rFonts w:cs="Arial"/>
        </w:rPr>
        <w:t xml:space="preserve"> could be done to enable you to exercise your right to freedom of expression</w:t>
      </w:r>
      <w:r w:rsidR="00F1439F">
        <w:rPr>
          <w:rFonts w:cs="Arial"/>
        </w:rPr>
        <w:t>.</w:t>
      </w:r>
    </w:p>
    <w:p w:rsidR="00185A1C" w:rsidRPr="00062FBD" w:rsidRDefault="00185A1C" w:rsidP="00185A1C">
      <w:pPr>
        <w:pStyle w:val="Heading1"/>
        <w:numPr>
          <w:ilvl w:val="0"/>
          <w:numId w:val="0"/>
        </w:numPr>
        <w:ind w:left="851" w:hanging="851"/>
        <w:rPr>
          <w:sz w:val="24"/>
          <w:szCs w:val="24"/>
        </w:rPr>
      </w:pPr>
      <w:r>
        <w:rPr>
          <w:sz w:val="24"/>
          <w:szCs w:val="24"/>
        </w:rPr>
        <w:t>Right to f</w:t>
      </w:r>
      <w:r w:rsidRPr="00062FBD">
        <w:rPr>
          <w:sz w:val="24"/>
          <w:szCs w:val="24"/>
        </w:rPr>
        <w:t xml:space="preserve">reedom of </w:t>
      </w:r>
      <w:r w:rsidR="00F1439F">
        <w:rPr>
          <w:sz w:val="24"/>
          <w:szCs w:val="24"/>
        </w:rPr>
        <w:t>thought, conscience and religious worship</w:t>
      </w:r>
      <w:r w:rsidRPr="006268C8">
        <w:rPr>
          <w:rStyle w:val="EndnoteReference"/>
          <w:rFonts w:cs="Arial"/>
          <w:szCs w:val="20"/>
          <w:lang w:val="en"/>
        </w:rPr>
        <w:endnoteReference w:id="12"/>
      </w:r>
    </w:p>
    <w:p w:rsidR="00185A1C" w:rsidRDefault="00185A1C" w:rsidP="00185A1C">
      <w:pPr>
        <w:pStyle w:val="SubmissionNormal"/>
        <w:numPr>
          <w:ilvl w:val="0"/>
          <w:numId w:val="0"/>
        </w:numPr>
        <w:rPr>
          <w:rFonts w:cs="Arial"/>
          <w:lang w:val="en"/>
        </w:rPr>
      </w:pPr>
      <w:r>
        <w:rPr>
          <w:rFonts w:cs="Arial"/>
          <w:lang w:val="en"/>
        </w:rPr>
        <w:t xml:space="preserve">The right </w:t>
      </w:r>
      <w:r w:rsidR="00F1439F">
        <w:rPr>
          <w:rFonts w:cs="Arial"/>
          <w:lang w:val="en"/>
        </w:rPr>
        <w:t xml:space="preserve">to </w:t>
      </w:r>
      <w:r w:rsidRPr="006D7572">
        <w:rPr>
          <w:rFonts w:cs="Arial"/>
          <w:lang w:val="en"/>
        </w:rPr>
        <w:t>freedom of thought, conscience and religi</w:t>
      </w:r>
      <w:r w:rsidR="00F1439F">
        <w:rPr>
          <w:rFonts w:cs="Arial"/>
          <w:lang w:val="en"/>
        </w:rPr>
        <w:t>ous worship</w:t>
      </w:r>
      <w:r w:rsidRPr="006D7572">
        <w:rPr>
          <w:rFonts w:cs="Arial"/>
          <w:lang w:val="en"/>
        </w:rPr>
        <w:t xml:space="preserve"> </w:t>
      </w:r>
      <w:r>
        <w:rPr>
          <w:rFonts w:cs="Arial"/>
          <w:lang w:val="en"/>
        </w:rPr>
        <w:t>encompasses the</w:t>
      </w:r>
      <w:r w:rsidRPr="006D7572">
        <w:rPr>
          <w:rFonts w:cs="Arial"/>
          <w:lang w:val="en"/>
        </w:rPr>
        <w:t xml:space="preserve"> beliefs </w:t>
      </w:r>
      <w:r>
        <w:rPr>
          <w:rFonts w:cs="Arial"/>
          <w:lang w:val="en"/>
        </w:rPr>
        <w:t>of all religions,</w:t>
      </w:r>
      <w:r w:rsidRPr="006D7572">
        <w:rPr>
          <w:rFonts w:cs="Arial"/>
          <w:lang w:val="en"/>
        </w:rPr>
        <w:t xml:space="preserve"> non-theistic and atheistic beliefs, as well as the right not to profess</w:t>
      </w:r>
      <w:r w:rsidRPr="00C72B01">
        <w:rPr>
          <w:rFonts w:cs="Arial"/>
          <w:lang w:val="en"/>
        </w:rPr>
        <w:t xml:space="preserve"> </w:t>
      </w:r>
      <w:r w:rsidRPr="00C72B01">
        <w:rPr>
          <w:rFonts w:cs="Arial"/>
          <w:iCs/>
          <w:lang w:val="en"/>
        </w:rPr>
        <w:t>any</w:t>
      </w:r>
      <w:r w:rsidRPr="006D7572">
        <w:rPr>
          <w:rFonts w:cs="Arial"/>
          <w:i/>
          <w:iCs/>
          <w:lang w:val="en"/>
        </w:rPr>
        <w:t xml:space="preserve"> </w:t>
      </w:r>
      <w:r>
        <w:rPr>
          <w:rFonts w:cs="Arial"/>
          <w:lang w:val="en"/>
        </w:rPr>
        <w:t>religion or belief.</w:t>
      </w:r>
      <w:r w:rsidRPr="00F62A6C">
        <w:rPr>
          <w:rStyle w:val="EndnoteReference"/>
          <w:rFonts w:cs="Arial"/>
          <w:szCs w:val="20"/>
          <w:lang w:val="en"/>
        </w:rPr>
        <w:t xml:space="preserve"> </w:t>
      </w:r>
      <w:r>
        <w:rPr>
          <w:rFonts w:cs="Arial"/>
          <w:lang w:val="en"/>
        </w:rPr>
        <w:t>Key elements of the right include the freedom to:</w:t>
      </w:r>
    </w:p>
    <w:p w:rsidR="00185A1C" w:rsidRDefault="00185A1C" w:rsidP="00185A1C">
      <w:pPr>
        <w:pStyle w:val="ListParagraph"/>
        <w:numPr>
          <w:ilvl w:val="0"/>
          <w:numId w:val="31"/>
        </w:numPr>
        <w:rPr>
          <w:rFonts w:cs="Arial"/>
          <w:lang w:val="en"/>
        </w:rPr>
      </w:pPr>
      <w:r>
        <w:rPr>
          <w:rFonts w:cs="Arial"/>
          <w:lang w:val="en"/>
        </w:rPr>
        <w:t>choose and change religion or belief</w:t>
      </w:r>
    </w:p>
    <w:p w:rsidR="00185A1C" w:rsidRDefault="00185A1C" w:rsidP="00185A1C">
      <w:pPr>
        <w:pStyle w:val="ListParagraph"/>
        <w:numPr>
          <w:ilvl w:val="0"/>
          <w:numId w:val="31"/>
        </w:numPr>
        <w:rPr>
          <w:rFonts w:cs="Arial"/>
          <w:lang w:val="en"/>
        </w:rPr>
      </w:pPr>
      <w:r>
        <w:rPr>
          <w:rFonts w:cs="Arial"/>
          <w:lang w:val="en"/>
        </w:rPr>
        <w:t>exercise religion or belief publicly or privately, alone or with others</w:t>
      </w:r>
    </w:p>
    <w:p w:rsidR="00185A1C" w:rsidRPr="00BE27A2" w:rsidRDefault="00185A1C" w:rsidP="00185A1C">
      <w:pPr>
        <w:pStyle w:val="ListParagraph"/>
        <w:numPr>
          <w:ilvl w:val="0"/>
          <w:numId w:val="31"/>
        </w:numPr>
        <w:rPr>
          <w:rFonts w:cs="Arial"/>
          <w:lang w:val="en"/>
        </w:rPr>
      </w:pPr>
      <w:proofErr w:type="gramStart"/>
      <w:r>
        <w:rPr>
          <w:rFonts w:cs="Arial"/>
          <w:lang w:val="en"/>
        </w:rPr>
        <w:t>exercise</w:t>
      </w:r>
      <w:proofErr w:type="gramEnd"/>
      <w:r>
        <w:rPr>
          <w:rFonts w:cs="Arial"/>
          <w:lang w:val="en"/>
        </w:rPr>
        <w:t xml:space="preserve"> religion or belief in worship, teaching, practice and observance.</w:t>
      </w:r>
    </w:p>
    <w:p w:rsidR="00185A1C" w:rsidRDefault="00185A1C" w:rsidP="00185A1C">
      <w:pPr>
        <w:rPr>
          <w:rFonts w:cs="Arial"/>
          <w:lang w:val="en"/>
        </w:rPr>
      </w:pPr>
      <w:r>
        <w:rPr>
          <w:rFonts w:cs="Arial"/>
          <w:lang w:val="en"/>
        </w:rPr>
        <w:t>Thus, f</w:t>
      </w:r>
      <w:r w:rsidRPr="003F664C">
        <w:rPr>
          <w:rFonts w:cs="Arial"/>
          <w:lang w:val="en"/>
        </w:rPr>
        <w:t>reedom of religion is simultaneously an individual right and a collective right</w:t>
      </w:r>
      <w:r>
        <w:rPr>
          <w:rFonts w:cs="Arial"/>
          <w:lang w:val="en"/>
        </w:rPr>
        <w:t xml:space="preserve">. </w:t>
      </w:r>
    </w:p>
    <w:p w:rsidR="00185A1C" w:rsidRPr="003F664C" w:rsidRDefault="00185A1C" w:rsidP="00185A1C">
      <w:pPr>
        <w:rPr>
          <w:rFonts w:cs="Arial"/>
          <w:lang w:val="en"/>
        </w:rPr>
      </w:pPr>
      <w:r>
        <w:rPr>
          <w:rFonts w:cs="Arial"/>
          <w:lang w:val="en"/>
        </w:rPr>
        <w:t>T</w:t>
      </w:r>
      <w:r w:rsidRPr="003F664C">
        <w:rPr>
          <w:rFonts w:cs="Arial"/>
          <w:lang w:val="en"/>
        </w:rPr>
        <w:t xml:space="preserve">he internal dimension </w:t>
      </w:r>
      <w:r>
        <w:rPr>
          <w:rFonts w:cs="Arial"/>
          <w:lang w:val="en"/>
        </w:rPr>
        <w:t xml:space="preserve">of the right – </w:t>
      </w:r>
      <w:r w:rsidRPr="003F664C">
        <w:rPr>
          <w:rFonts w:cs="Arial"/>
          <w:lang w:val="en"/>
        </w:rPr>
        <w:t xml:space="preserve">the freedom to </w:t>
      </w:r>
      <w:r w:rsidRPr="003F664C">
        <w:rPr>
          <w:rFonts w:cs="Arial"/>
          <w:iCs/>
          <w:lang w:val="en"/>
        </w:rPr>
        <w:t xml:space="preserve">adopt </w:t>
      </w:r>
      <w:r w:rsidRPr="003F664C">
        <w:rPr>
          <w:rFonts w:cs="Arial"/>
          <w:lang w:val="en"/>
        </w:rPr>
        <w:t xml:space="preserve">or </w:t>
      </w:r>
      <w:r w:rsidRPr="003F664C">
        <w:rPr>
          <w:rFonts w:cs="Arial"/>
          <w:iCs/>
          <w:lang w:val="en"/>
        </w:rPr>
        <w:t xml:space="preserve">hold </w:t>
      </w:r>
      <w:r w:rsidRPr="003F664C">
        <w:rPr>
          <w:rFonts w:cs="Arial"/>
          <w:lang w:val="en"/>
        </w:rPr>
        <w:t xml:space="preserve">a belief </w:t>
      </w:r>
      <w:r>
        <w:rPr>
          <w:rFonts w:cs="Arial"/>
          <w:lang w:val="en"/>
        </w:rPr>
        <w:t xml:space="preserve">– </w:t>
      </w:r>
      <w:r w:rsidRPr="003F664C">
        <w:rPr>
          <w:rFonts w:cs="Arial"/>
          <w:lang w:val="en"/>
        </w:rPr>
        <w:t>is</w:t>
      </w:r>
      <w:r>
        <w:rPr>
          <w:rFonts w:cs="Arial"/>
          <w:lang w:val="en"/>
        </w:rPr>
        <w:t xml:space="preserve"> absolute. However,</w:t>
      </w:r>
      <w:r w:rsidRPr="003F664C">
        <w:rPr>
          <w:rFonts w:cs="Arial"/>
        </w:rPr>
        <w:t xml:space="preserve"> the external dimension </w:t>
      </w:r>
      <w:r>
        <w:rPr>
          <w:rFonts w:cs="Arial"/>
        </w:rPr>
        <w:t xml:space="preserve">– </w:t>
      </w:r>
      <w:r w:rsidRPr="003F664C">
        <w:rPr>
          <w:rFonts w:cs="Arial"/>
          <w:lang w:val="en"/>
        </w:rPr>
        <w:t xml:space="preserve">the freedom to </w:t>
      </w:r>
      <w:r w:rsidRPr="003F664C">
        <w:rPr>
          <w:rFonts w:cs="Arial"/>
          <w:iCs/>
          <w:lang w:val="en"/>
        </w:rPr>
        <w:t xml:space="preserve">manifest </w:t>
      </w:r>
      <w:r w:rsidRPr="003F664C">
        <w:rPr>
          <w:rFonts w:cs="Arial"/>
          <w:lang w:val="en"/>
        </w:rPr>
        <w:t>that belief in worship, observance, practice or teaching</w:t>
      </w:r>
      <w:r w:rsidRPr="003F664C">
        <w:rPr>
          <w:rFonts w:cs="Arial"/>
        </w:rPr>
        <w:t xml:space="preserve"> </w:t>
      </w:r>
      <w:r>
        <w:rPr>
          <w:rFonts w:cs="Arial"/>
        </w:rPr>
        <w:t xml:space="preserve">– </w:t>
      </w:r>
      <w:r w:rsidRPr="003F664C">
        <w:rPr>
          <w:rFonts w:cs="Arial"/>
        </w:rPr>
        <w:t>may be limited by law when deemed necessary to protect the public safety, order, health or morals, or the fundamental rights and freedoms of others.</w:t>
      </w:r>
    </w:p>
    <w:p w:rsidR="00185A1C" w:rsidRPr="00DD1B51" w:rsidRDefault="00185A1C" w:rsidP="00185A1C">
      <w:pPr>
        <w:pStyle w:val="SubmissionNormal"/>
        <w:numPr>
          <w:ilvl w:val="0"/>
          <w:numId w:val="0"/>
        </w:numPr>
        <w:rPr>
          <w:rFonts w:cs="Arial"/>
        </w:rPr>
      </w:pPr>
      <w:r w:rsidRPr="00D236CE">
        <w:rPr>
          <w:rFonts w:cs="Arial"/>
        </w:rPr>
        <w:t xml:space="preserve">Further information about the right to freedom of religion is available at </w:t>
      </w:r>
      <w:hyperlink r:id="rId23" w:history="1">
        <w:r w:rsidRPr="00941B5A">
          <w:rPr>
            <w:rStyle w:val="Hyperlink"/>
            <w:rFonts w:cs="Arial"/>
            <w:color w:val="auto"/>
            <w:u w:val="none"/>
          </w:rPr>
          <w:t>http://www.humanrights.gov.au/freedom-thought-conscience-and-religion-or-belief</w:t>
        </w:r>
      </w:hyperlink>
      <w:r w:rsidRPr="00941B5A">
        <w:rPr>
          <w:rFonts w:cs="Arial"/>
        </w:rPr>
        <w:t>.</w:t>
      </w:r>
    </w:p>
    <w:p w:rsidR="00185A1C" w:rsidRPr="002A21F3" w:rsidRDefault="00185A1C" w:rsidP="00185A1C">
      <w:pPr>
        <w:pStyle w:val="SubmissionNormal"/>
        <w:numPr>
          <w:ilvl w:val="0"/>
          <w:numId w:val="0"/>
        </w:numPr>
        <w:rPr>
          <w:rFonts w:cs="Arial"/>
          <w:i/>
        </w:rPr>
      </w:pPr>
      <w:r w:rsidRPr="002A21F3">
        <w:rPr>
          <w:rFonts w:cs="Arial"/>
          <w:i/>
        </w:rPr>
        <w:t>Freedom of religion in Australia</w:t>
      </w:r>
    </w:p>
    <w:p w:rsidR="00185A1C" w:rsidRPr="00F51180" w:rsidRDefault="00185A1C" w:rsidP="00185A1C">
      <w:pPr>
        <w:pStyle w:val="SubmissionNormal"/>
        <w:numPr>
          <w:ilvl w:val="0"/>
          <w:numId w:val="0"/>
        </w:numPr>
        <w:rPr>
          <w:rFonts w:cs="Arial"/>
          <w:bCs/>
        </w:rPr>
      </w:pPr>
      <w:r w:rsidRPr="006D7572">
        <w:rPr>
          <w:rFonts w:cs="Arial"/>
        </w:rPr>
        <w:t>There is limited protection of religi</w:t>
      </w:r>
      <w:r>
        <w:rPr>
          <w:rFonts w:cs="Arial"/>
        </w:rPr>
        <w:t>ous freedom in the Australian Constitution and</w:t>
      </w:r>
      <w:r w:rsidRPr="006D7572">
        <w:rPr>
          <w:rFonts w:cs="Arial"/>
        </w:rPr>
        <w:t xml:space="preserve"> federal </w:t>
      </w:r>
      <w:r>
        <w:rPr>
          <w:rFonts w:cs="Arial"/>
        </w:rPr>
        <w:t xml:space="preserve">legislation. </w:t>
      </w:r>
      <w:r>
        <w:rPr>
          <w:rFonts w:cs="Arial"/>
          <w:bCs/>
        </w:rPr>
        <w:t>The right to f</w:t>
      </w:r>
      <w:r w:rsidRPr="006D7572">
        <w:rPr>
          <w:rFonts w:cs="Arial"/>
          <w:bCs/>
        </w:rPr>
        <w:t xml:space="preserve">reedom of religion is recognised in </w:t>
      </w:r>
      <w:r>
        <w:rPr>
          <w:rFonts w:cs="Arial"/>
          <w:bCs/>
        </w:rPr>
        <w:t>s</w:t>
      </w:r>
      <w:r w:rsidRPr="006D7572">
        <w:rPr>
          <w:rFonts w:cs="Arial"/>
          <w:bCs/>
        </w:rPr>
        <w:t>ection 116 of the Constitution</w:t>
      </w:r>
      <w:r>
        <w:rPr>
          <w:rFonts w:cs="Arial"/>
          <w:bCs/>
        </w:rPr>
        <w:t>, which</w:t>
      </w:r>
      <w:r w:rsidRPr="006D7572">
        <w:rPr>
          <w:rFonts w:cs="Arial"/>
          <w:bCs/>
        </w:rPr>
        <w:t xml:space="preserve"> </w:t>
      </w:r>
      <w:r>
        <w:rPr>
          <w:rFonts w:cs="Arial"/>
        </w:rPr>
        <w:t xml:space="preserve">restrains the </w:t>
      </w:r>
      <w:r w:rsidRPr="006D7572">
        <w:rPr>
          <w:rFonts w:cs="Arial"/>
        </w:rPr>
        <w:t xml:space="preserve">legislative power </w:t>
      </w:r>
      <w:r>
        <w:rPr>
          <w:rFonts w:cs="Arial"/>
        </w:rPr>
        <w:t xml:space="preserve">of the federal government </w:t>
      </w:r>
      <w:r w:rsidRPr="006D7572">
        <w:rPr>
          <w:rFonts w:cs="Arial"/>
        </w:rPr>
        <w:t>and p</w:t>
      </w:r>
      <w:r>
        <w:rPr>
          <w:rFonts w:cs="Arial"/>
        </w:rPr>
        <w:t>revents one religion having</w:t>
      </w:r>
      <w:r w:rsidRPr="006D7572">
        <w:rPr>
          <w:rFonts w:cs="Arial"/>
        </w:rPr>
        <w:t xml:space="preserve"> pre-eminence</w:t>
      </w:r>
      <w:r>
        <w:rPr>
          <w:rFonts w:cs="Arial"/>
        </w:rPr>
        <w:t xml:space="preserve"> over other beliefs</w:t>
      </w:r>
      <w:r w:rsidRPr="006D7572">
        <w:rPr>
          <w:rFonts w:cs="Arial"/>
        </w:rPr>
        <w:t>. It does not operate as a free-standing individu</w:t>
      </w:r>
      <w:r>
        <w:rPr>
          <w:rFonts w:cs="Arial"/>
        </w:rPr>
        <w:t>al right to freedom of religion</w:t>
      </w:r>
      <w:r w:rsidRPr="006D7572">
        <w:rPr>
          <w:rFonts w:cs="Arial"/>
        </w:rPr>
        <w:t xml:space="preserve"> and does not provide individuals wi</w:t>
      </w:r>
      <w:r>
        <w:rPr>
          <w:rFonts w:cs="Arial"/>
        </w:rPr>
        <w:t>th an avenue for legal redress.</w:t>
      </w:r>
      <w:r>
        <w:rPr>
          <w:rStyle w:val="EndnoteReference"/>
          <w:rFonts w:cs="Arial"/>
        </w:rPr>
        <w:endnoteReference w:id="13"/>
      </w:r>
    </w:p>
    <w:p w:rsidR="00185A1C" w:rsidRDefault="00185A1C" w:rsidP="00185A1C">
      <w:pPr>
        <w:pStyle w:val="SubmissionNormal"/>
        <w:numPr>
          <w:ilvl w:val="0"/>
          <w:numId w:val="0"/>
        </w:numPr>
        <w:rPr>
          <w:rFonts w:cs="Arial"/>
        </w:rPr>
      </w:pPr>
      <w:r w:rsidRPr="006D7572">
        <w:rPr>
          <w:rFonts w:cs="Arial"/>
        </w:rPr>
        <w:t xml:space="preserve">The main </w:t>
      </w:r>
      <w:r>
        <w:rPr>
          <w:rFonts w:cs="Arial"/>
        </w:rPr>
        <w:t xml:space="preserve">issue regarding the right to </w:t>
      </w:r>
      <w:r w:rsidRPr="006D7572">
        <w:rPr>
          <w:rFonts w:cs="Arial"/>
        </w:rPr>
        <w:t>f</w:t>
      </w:r>
      <w:r>
        <w:rPr>
          <w:rFonts w:cs="Arial"/>
        </w:rPr>
        <w:t>reedom of religion in federal</w:t>
      </w:r>
      <w:r w:rsidRPr="006D7572">
        <w:rPr>
          <w:rFonts w:cs="Arial"/>
        </w:rPr>
        <w:t xml:space="preserve"> law has been in relation to an</w:t>
      </w:r>
      <w:r>
        <w:rPr>
          <w:rFonts w:cs="Arial"/>
        </w:rPr>
        <w:t xml:space="preserve">ti-discrimination legislation, particularly </w:t>
      </w:r>
      <w:r w:rsidRPr="006D7572">
        <w:rPr>
          <w:rFonts w:cs="Arial"/>
        </w:rPr>
        <w:t xml:space="preserve">the extent to which religious organisations are exempt from these laws. </w:t>
      </w:r>
      <w:r>
        <w:rPr>
          <w:rFonts w:cs="Arial"/>
        </w:rPr>
        <w:t xml:space="preserve">For example, while amendments were made to the </w:t>
      </w:r>
      <w:r w:rsidRPr="00DA0A5A">
        <w:rPr>
          <w:rFonts w:cs="Arial"/>
          <w:i/>
        </w:rPr>
        <w:t>Sex Discrimination Act 1984</w:t>
      </w:r>
      <w:r>
        <w:rPr>
          <w:rFonts w:cs="Arial"/>
        </w:rPr>
        <w:t xml:space="preserve"> (</w:t>
      </w:r>
      <w:proofErr w:type="spellStart"/>
      <w:r>
        <w:rPr>
          <w:rFonts w:cs="Arial"/>
        </w:rPr>
        <w:t>Cth</w:t>
      </w:r>
      <w:proofErr w:type="spellEnd"/>
      <w:r>
        <w:rPr>
          <w:rFonts w:cs="Arial"/>
        </w:rPr>
        <w:t>) in 2013 to prohibit</w:t>
      </w:r>
      <w:r w:rsidRPr="006D7572">
        <w:rPr>
          <w:rFonts w:cs="Arial"/>
        </w:rPr>
        <w:t xml:space="preserve"> discrimination on the basis of sexual orient</w:t>
      </w:r>
      <w:r>
        <w:rPr>
          <w:rFonts w:cs="Arial"/>
        </w:rPr>
        <w:t>ation, gender identity</w:t>
      </w:r>
      <w:r w:rsidRPr="006D7572">
        <w:rPr>
          <w:rFonts w:cs="Arial"/>
        </w:rPr>
        <w:t xml:space="preserve"> and intersex status in </w:t>
      </w:r>
      <w:r>
        <w:rPr>
          <w:rFonts w:cs="Arial"/>
        </w:rPr>
        <w:t xml:space="preserve">a range of areas of public life, the Act also included </w:t>
      </w:r>
      <w:r w:rsidRPr="006D7572">
        <w:rPr>
          <w:rFonts w:cs="Arial"/>
        </w:rPr>
        <w:t>exception</w:t>
      </w:r>
      <w:r>
        <w:rPr>
          <w:rFonts w:cs="Arial"/>
        </w:rPr>
        <w:t>s</w:t>
      </w:r>
      <w:r w:rsidRPr="006D7572">
        <w:rPr>
          <w:rFonts w:cs="Arial"/>
        </w:rPr>
        <w:t xml:space="preserve"> for ‘religious bodies’ </w:t>
      </w:r>
      <w:r>
        <w:rPr>
          <w:rFonts w:cs="Arial"/>
        </w:rPr>
        <w:t xml:space="preserve">and </w:t>
      </w:r>
      <w:r w:rsidRPr="006D7572">
        <w:rPr>
          <w:rFonts w:cs="Arial"/>
        </w:rPr>
        <w:t>‘educational institutions established for r</w:t>
      </w:r>
      <w:r>
        <w:rPr>
          <w:rFonts w:cs="Arial"/>
        </w:rPr>
        <w:t>eligious purposes’</w:t>
      </w:r>
      <w:r w:rsidRPr="006D7572">
        <w:rPr>
          <w:rFonts w:cs="Arial"/>
        </w:rPr>
        <w:t>.</w:t>
      </w:r>
      <w:r>
        <w:rPr>
          <w:rStyle w:val="EndnoteReference"/>
          <w:rFonts w:cs="Arial"/>
        </w:rPr>
        <w:endnoteReference w:id="14"/>
      </w:r>
      <w:r w:rsidR="0052009C">
        <w:rPr>
          <w:rFonts w:cs="Arial"/>
        </w:rPr>
        <w:t xml:space="preserve"> Similar res</w:t>
      </w:r>
      <w:r w:rsidR="00F1439F">
        <w:rPr>
          <w:rFonts w:cs="Arial"/>
        </w:rPr>
        <w:t>trictions operate in different s</w:t>
      </w:r>
      <w:r w:rsidR="0052009C">
        <w:rPr>
          <w:rFonts w:cs="Arial"/>
        </w:rPr>
        <w:t>tate laws.</w:t>
      </w:r>
    </w:p>
    <w:p w:rsidR="00185A1C" w:rsidRPr="006D7572" w:rsidRDefault="00185A1C" w:rsidP="00185A1C">
      <w:pPr>
        <w:pStyle w:val="SubmissionNormal"/>
        <w:numPr>
          <w:ilvl w:val="0"/>
          <w:numId w:val="0"/>
        </w:numPr>
        <w:rPr>
          <w:rFonts w:cs="Arial"/>
        </w:rPr>
      </w:pPr>
      <w:r>
        <w:rPr>
          <w:rFonts w:cs="Arial"/>
        </w:rPr>
        <w:lastRenderedPageBreak/>
        <w:t>Your</w:t>
      </w:r>
      <w:r w:rsidRPr="006D7572">
        <w:rPr>
          <w:rFonts w:cs="Arial"/>
        </w:rPr>
        <w:t xml:space="preserve"> right to freedom </w:t>
      </w:r>
      <w:r>
        <w:rPr>
          <w:rFonts w:cs="Arial"/>
        </w:rPr>
        <w:t xml:space="preserve">of religion is relevant to federal </w:t>
      </w:r>
      <w:r w:rsidRPr="006D7572">
        <w:rPr>
          <w:rFonts w:cs="Arial"/>
        </w:rPr>
        <w:t>legislation, polic</w:t>
      </w:r>
      <w:r>
        <w:rPr>
          <w:rFonts w:cs="Arial"/>
        </w:rPr>
        <w:t>ies</w:t>
      </w:r>
      <w:r w:rsidRPr="006D7572">
        <w:rPr>
          <w:rFonts w:cs="Arial"/>
        </w:rPr>
        <w:t xml:space="preserve"> or program</w:t>
      </w:r>
      <w:r>
        <w:rPr>
          <w:rFonts w:cs="Arial"/>
        </w:rPr>
        <w:t>s</w:t>
      </w:r>
      <w:r w:rsidRPr="006D7572">
        <w:rPr>
          <w:rFonts w:cs="Arial"/>
        </w:rPr>
        <w:t xml:space="preserve"> that</w:t>
      </w:r>
      <w:r>
        <w:rPr>
          <w:rFonts w:cs="Arial"/>
        </w:rPr>
        <w:t xml:space="preserve"> seek to:</w:t>
      </w:r>
    </w:p>
    <w:p w:rsidR="00185A1C" w:rsidRDefault="00185A1C" w:rsidP="00185A1C">
      <w:pPr>
        <w:pStyle w:val="ListParagraph"/>
        <w:numPr>
          <w:ilvl w:val="0"/>
          <w:numId w:val="21"/>
        </w:numPr>
        <w:ind w:left="644"/>
        <w:rPr>
          <w:rFonts w:cs="Arial"/>
        </w:rPr>
      </w:pPr>
      <w:r w:rsidRPr="006D7572">
        <w:rPr>
          <w:rFonts w:cs="Arial"/>
        </w:rPr>
        <w:t>restrict or interfere with the observance or teaching of a particular religion or set of beliefs, for instance by regulating conduct t</w:t>
      </w:r>
      <w:r>
        <w:rPr>
          <w:rFonts w:cs="Arial"/>
        </w:rPr>
        <w:t>hat might have this effect</w:t>
      </w:r>
    </w:p>
    <w:p w:rsidR="00185A1C" w:rsidRDefault="00185A1C" w:rsidP="00185A1C">
      <w:pPr>
        <w:pStyle w:val="ListParagraph"/>
        <w:numPr>
          <w:ilvl w:val="0"/>
          <w:numId w:val="21"/>
        </w:numPr>
        <w:ind w:left="644"/>
        <w:rPr>
          <w:rFonts w:cs="Arial"/>
        </w:rPr>
      </w:pPr>
      <w:r>
        <w:rPr>
          <w:rFonts w:cs="Arial"/>
        </w:rPr>
        <w:t>require</w:t>
      </w:r>
      <w:r w:rsidRPr="0086420F">
        <w:rPr>
          <w:rFonts w:cs="Arial"/>
        </w:rPr>
        <w:t xml:space="preserve"> a person to di</w:t>
      </w:r>
      <w:r>
        <w:rPr>
          <w:rFonts w:cs="Arial"/>
        </w:rPr>
        <w:t>sclose their religion or belief</w:t>
      </w:r>
    </w:p>
    <w:p w:rsidR="00185A1C" w:rsidRDefault="00185A1C" w:rsidP="00185A1C">
      <w:pPr>
        <w:pStyle w:val="ListParagraph"/>
        <w:numPr>
          <w:ilvl w:val="0"/>
          <w:numId w:val="21"/>
        </w:numPr>
        <w:ind w:left="644"/>
        <w:rPr>
          <w:rFonts w:cs="Arial"/>
        </w:rPr>
      </w:pPr>
      <w:r>
        <w:rPr>
          <w:rFonts w:cs="Arial"/>
        </w:rPr>
        <w:t>affect a person’</w:t>
      </w:r>
      <w:r w:rsidRPr="0086420F">
        <w:rPr>
          <w:rFonts w:cs="Arial"/>
        </w:rPr>
        <w:t>s ability to adhere to his or her religion or belief</w:t>
      </w:r>
    </w:p>
    <w:p w:rsidR="00185A1C" w:rsidRDefault="00185A1C" w:rsidP="00185A1C">
      <w:pPr>
        <w:pStyle w:val="ListParagraph"/>
        <w:numPr>
          <w:ilvl w:val="0"/>
          <w:numId w:val="21"/>
        </w:numPr>
        <w:ind w:left="644"/>
        <w:rPr>
          <w:rFonts w:cs="Arial"/>
        </w:rPr>
      </w:pPr>
      <w:r>
        <w:rPr>
          <w:rFonts w:cs="Arial"/>
        </w:rPr>
        <w:t>subject</w:t>
      </w:r>
      <w:r w:rsidRPr="0086420F">
        <w:rPr>
          <w:rFonts w:cs="Arial"/>
        </w:rPr>
        <w:t xml:space="preserve"> conduct that is required or encouraged by a particular religion </w:t>
      </w:r>
      <w:r>
        <w:rPr>
          <w:rFonts w:cs="Arial"/>
        </w:rPr>
        <w:t>or belief to criminal penalties</w:t>
      </w:r>
    </w:p>
    <w:p w:rsidR="00185A1C" w:rsidRDefault="00185A1C" w:rsidP="00185A1C">
      <w:pPr>
        <w:pStyle w:val="ListParagraph"/>
        <w:numPr>
          <w:ilvl w:val="0"/>
          <w:numId w:val="21"/>
        </w:numPr>
        <w:ind w:left="644"/>
        <w:rPr>
          <w:rFonts w:cs="Arial"/>
        </w:rPr>
      </w:pPr>
      <w:r>
        <w:rPr>
          <w:rFonts w:cs="Arial"/>
        </w:rPr>
        <w:t>set</w:t>
      </w:r>
      <w:r w:rsidRPr="0086420F">
        <w:rPr>
          <w:rFonts w:cs="Arial"/>
        </w:rPr>
        <w:t xml:space="preserve"> dress standards that do not accommo</w:t>
      </w:r>
      <w:r>
        <w:rPr>
          <w:rFonts w:cs="Arial"/>
        </w:rPr>
        <w:t>date religious dress or symbols</w:t>
      </w:r>
    </w:p>
    <w:p w:rsidR="00185A1C" w:rsidRDefault="00185A1C" w:rsidP="00185A1C">
      <w:pPr>
        <w:pStyle w:val="ListParagraph"/>
        <w:numPr>
          <w:ilvl w:val="0"/>
          <w:numId w:val="21"/>
        </w:numPr>
        <w:ind w:left="644"/>
        <w:rPr>
          <w:rFonts w:cs="Arial"/>
        </w:rPr>
      </w:pPr>
      <w:r>
        <w:rPr>
          <w:rFonts w:cs="Arial"/>
        </w:rPr>
        <w:t>affect</w:t>
      </w:r>
      <w:r w:rsidRPr="0086420F">
        <w:rPr>
          <w:rFonts w:cs="Arial"/>
        </w:rPr>
        <w:t xml:space="preserve"> the right of the adherents of particular religions to obse</w:t>
      </w:r>
      <w:r>
        <w:rPr>
          <w:rFonts w:cs="Arial"/>
        </w:rPr>
        <w:t>rve holidays or periods of rest</w:t>
      </w:r>
    </w:p>
    <w:p w:rsidR="00185A1C" w:rsidRDefault="00185A1C" w:rsidP="00185A1C">
      <w:pPr>
        <w:pStyle w:val="ListParagraph"/>
        <w:numPr>
          <w:ilvl w:val="0"/>
          <w:numId w:val="21"/>
        </w:numPr>
        <w:ind w:left="644"/>
        <w:rPr>
          <w:rFonts w:cs="Arial"/>
        </w:rPr>
      </w:pPr>
      <w:r w:rsidRPr="0086420F">
        <w:rPr>
          <w:rFonts w:cs="Arial"/>
        </w:rPr>
        <w:t>relate to planning or land use that may make it difficult to use or establish places o</w:t>
      </w:r>
      <w:r>
        <w:rPr>
          <w:rFonts w:cs="Arial"/>
        </w:rPr>
        <w:t>f religious worship</w:t>
      </w:r>
    </w:p>
    <w:p w:rsidR="00185A1C" w:rsidRDefault="00185A1C" w:rsidP="00185A1C">
      <w:pPr>
        <w:pStyle w:val="ListParagraph"/>
        <w:numPr>
          <w:ilvl w:val="0"/>
          <w:numId w:val="21"/>
        </w:numPr>
        <w:ind w:left="644"/>
        <w:rPr>
          <w:rFonts w:cs="Arial"/>
        </w:rPr>
      </w:pPr>
      <w:r>
        <w:rPr>
          <w:rFonts w:cs="Arial"/>
        </w:rPr>
        <w:t>impose</w:t>
      </w:r>
      <w:r w:rsidRPr="0086420F">
        <w:rPr>
          <w:rFonts w:cs="Arial"/>
        </w:rPr>
        <w:t xml:space="preserve"> eligibility requirements for government benefits that cannot be met by the adherents of particular religions </w:t>
      </w:r>
    </w:p>
    <w:p w:rsidR="00185A1C" w:rsidRDefault="00185A1C" w:rsidP="00185A1C">
      <w:pPr>
        <w:pStyle w:val="ListParagraph"/>
        <w:numPr>
          <w:ilvl w:val="0"/>
          <w:numId w:val="21"/>
        </w:numPr>
        <w:ind w:left="644"/>
        <w:rPr>
          <w:rFonts w:cs="Arial"/>
        </w:rPr>
      </w:pPr>
      <w:r>
        <w:rPr>
          <w:rFonts w:cs="Arial"/>
        </w:rPr>
        <w:t>regulate</w:t>
      </w:r>
      <w:r w:rsidRPr="0086420F">
        <w:rPr>
          <w:rFonts w:cs="Arial"/>
        </w:rPr>
        <w:t xml:space="preserve"> the teaching of children in a way that might undermine part</w:t>
      </w:r>
      <w:r>
        <w:rPr>
          <w:rFonts w:cs="Arial"/>
        </w:rPr>
        <w:t>icular religions or beliefs</w:t>
      </w:r>
    </w:p>
    <w:p w:rsidR="00185A1C" w:rsidRPr="005016E3" w:rsidRDefault="00185A1C" w:rsidP="00185A1C">
      <w:pPr>
        <w:pStyle w:val="ListParagraph"/>
        <w:numPr>
          <w:ilvl w:val="0"/>
          <w:numId w:val="21"/>
        </w:numPr>
        <w:ind w:left="644"/>
        <w:rPr>
          <w:rFonts w:cs="Arial"/>
        </w:rPr>
      </w:pPr>
      <w:proofErr w:type="gramStart"/>
      <w:r>
        <w:rPr>
          <w:rFonts w:cs="Arial"/>
        </w:rPr>
        <w:t>regulate</w:t>
      </w:r>
      <w:proofErr w:type="gramEnd"/>
      <w:r w:rsidRPr="0086420F">
        <w:rPr>
          <w:rFonts w:cs="Arial"/>
        </w:rPr>
        <w:t xml:space="preserve"> conscientious objection to military service.</w:t>
      </w:r>
    </w:p>
    <w:p w:rsidR="00185A1C" w:rsidRDefault="00185A1C" w:rsidP="00185A1C">
      <w:pPr>
        <w:pStyle w:val="Heading3"/>
        <w:numPr>
          <w:ilvl w:val="0"/>
          <w:numId w:val="0"/>
        </w:numPr>
        <w:ind w:left="851" w:hanging="851"/>
        <w:rPr>
          <w:i w:val="0"/>
        </w:rPr>
      </w:pPr>
      <w:r w:rsidRPr="006C1E07">
        <w:t>Rights &amp; Responsibilities 2014</w:t>
      </w:r>
      <w:r>
        <w:rPr>
          <w:i w:val="0"/>
        </w:rPr>
        <w:t xml:space="preserve"> will focus on:</w:t>
      </w:r>
    </w:p>
    <w:p w:rsidR="00185A1C" w:rsidRDefault="00185A1C" w:rsidP="00185A1C">
      <w:pPr>
        <w:pStyle w:val="ListParagraph"/>
        <w:numPr>
          <w:ilvl w:val="0"/>
          <w:numId w:val="24"/>
        </w:numPr>
        <w:rPr>
          <w:rFonts w:cs="Arial"/>
        </w:rPr>
      </w:pPr>
      <w:r>
        <w:rPr>
          <w:rFonts w:cs="Arial"/>
        </w:rPr>
        <w:t>the</w:t>
      </w:r>
      <w:r w:rsidRPr="006D7572">
        <w:rPr>
          <w:rFonts w:cs="Arial"/>
        </w:rPr>
        <w:t xml:space="preserve"> wa</w:t>
      </w:r>
      <w:r>
        <w:rPr>
          <w:rFonts w:cs="Arial"/>
        </w:rPr>
        <w:t>ys you exercise your right to freedom of religion</w:t>
      </w:r>
    </w:p>
    <w:p w:rsidR="0052009C" w:rsidRPr="006D7572" w:rsidRDefault="0052009C" w:rsidP="0052009C">
      <w:pPr>
        <w:pStyle w:val="ListParagraph"/>
        <w:numPr>
          <w:ilvl w:val="0"/>
          <w:numId w:val="24"/>
        </w:numPr>
        <w:rPr>
          <w:rFonts w:cs="Arial"/>
        </w:rPr>
      </w:pPr>
      <w:r>
        <w:rPr>
          <w:rFonts w:cs="Arial"/>
        </w:rPr>
        <w:t>where restrictions on fre</w:t>
      </w:r>
      <w:r w:rsidR="00F1439F">
        <w:rPr>
          <w:rFonts w:cs="Arial"/>
        </w:rPr>
        <w:t>edom of religious worship exist</w:t>
      </w:r>
    </w:p>
    <w:p w:rsidR="00185A1C" w:rsidRDefault="00185A1C" w:rsidP="00185A1C">
      <w:pPr>
        <w:pStyle w:val="ListParagraph"/>
        <w:numPr>
          <w:ilvl w:val="0"/>
          <w:numId w:val="24"/>
        </w:numPr>
        <w:rPr>
          <w:rFonts w:cs="Arial"/>
        </w:rPr>
      </w:pPr>
      <w:r>
        <w:rPr>
          <w:rFonts w:cs="Arial"/>
        </w:rPr>
        <w:t xml:space="preserve">whether you have </w:t>
      </w:r>
      <w:r w:rsidRPr="006D7572">
        <w:rPr>
          <w:rFonts w:cs="Arial"/>
        </w:rPr>
        <w:t>felt restricted or prohibited from exercising your right to free</w:t>
      </w:r>
      <w:r w:rsidR="007F608C">
        <w:rPr>
          <w:rFonts w:cs="Arial"/>
        </w:rPr>
        <w:t>dom of religion</w:t>
      </w:r>
    </w:p>
    <w:p w:rsidR="007F608C" w:rsidRPr="00786AF3" w:rsidRDefault="007F608C" w:rsidP="00185A1C">
      <w:pPr>
        <w:pStyle w:val="ListParagraph"/>
        <w:numPr>
          <w:ilvl w:val="0"/>
          <w:numId w:val="24"/>
        </w:numPr>
        <w:rPr>
          <w:rFonts w:cs="Arial"/>
        </w:rPr>
      </w:pPr>
      <w:proofErr w:type="gramStart"/>
      <w:r>
        <w:rPr>
          <w:rFonts w:cs="Arial"/>
        </w:rPr>
        <w:t>what</w:t>
      </w:r>
      <w:proofErr w:type="gramEnd"/>
      <w:r>
        <w:rPr>
          <w:rFonts w:cs="Arial"/>
        </w:rPr>
        <w:t xml:space="preserve"> could be done to enable you to exercise your right to freedom of religion.</w:t>
      </w:r>
    </w:p>
    <w:p w:rsidR="00185A1C" w:rsidRPr="00F62A6C" w:rsidRDefault="00185A1C" w:rsidP="00185A1C">
      <w:pPr>
        <w:pStyle w:val="Heading1"/>
        <w:numPr>
          <w:ilvl w:val="0"/>
          <w:numId w:val="0"/>
        </w:numPr>
        <w:ind w:left="851" w:hanging="851"/>
        <w:rPr>
          <w:sz w:val="24"/>
          <w:szCs w:val="24"/>
        </w:rPr>
      </w:pPr>
      <w:r>
        <w:rPr>
          <w:sz w:val="24"/>
          <w:szCs w:val="24"/>
        </w:rPr>
        <w:t>Right to f</w:t>
      </w:r>
      <w:r w:rsidRPr="007A673F">
        <w:rPr>
          <w:sz w:val="24"/>
          <w:szCs w:val="24"/>
        </w:rPr>
        <w:t>reedom of association</w:t>
      </w:r>
      <w:r w:rsidRPr="00B72551">
        <w:rPr>
          <w:rStyle w:val="EndnoteReference"/>
          <w:rFonts w:cs="Arial"/>
          <w:szCs w:val="20"/>
        </w:rPr>
        <w:endnoteReference w:id="15"/>
      </w:r>
    </w:p>
    <w:p w:rsidR="00185A1C" w:rsidRDefault="00185A1C" w:rsidP="00185A1C">
      <w:pPr>
        <w:pStyle w:val="SubmissionNormal"/>
        <w:numPr>
          <w:ilvl w:val="0"/>
          <w:numId w:val="0"/>
        </w:numPr>
        <w:rPr>
          <w:lang w:val="en"/>
        </w:rPr>
      </w:pPr>
      <w:r>
        <w:rPr>
          <w:rFonts w:cs="Arial"/>
        </w:rPr>
        <w:t xml:space="preserve">All people have the right to freedom of association </w:t>
      </w:r>
      <w:r w:rsidRPr="005F12CE">
        <w:rPr>
          <w:lang w:val="en"/>
        </w:rPr>
        <w:t xml:space="preserve">with others, including the right to form </w:t>
      </w:r>
      <w:r w:rsidRPr="005F12CE">
        <w:rPr>
          <w:rFonts w:cs="Arial"/>
        </w:rPr>
        <w:t>and join associations to pursue common goals</w:t>
      </w:r>
      <w:r w:rsidRPr="005F12CE">
        <w:rPr>
          <w:lang w:val="en"/>
        </w:rPr>
        <w:t xml:space="preserve"> and protect interests</w:t>
      </w:r>
      <w:r w:rsidR="002040B1">
        <w:rPr>
          <w:lang w:val="en"/>
        </w:rPr>
        <w:t xml:space="preserve">. </w:t>
      </w:r>
      <w:r>
        <w:rPr>
          <w:rFonts w:cs="Arial"/>
        </w:rPr>
        <w:t>Associations comprise a diverse range of interests such as political parties, professional and sporting clubs, non-governmental organisations and trade unions.</w:t>
      </w:r>
    </w:p>
    <w:p w:rsidR="00185A1C" w:rsidRPr="005F12CE" w:rsidRDefault="00185A1C" w:rsidP="00185A1C">
      <w:pPr>
        <w:pStyle w:val="SubmissionNormal"/>
        <w:numPr>
          <w:ilvl w:val="0"/>
          <w:numId w:val="0"/>
        </w:numPr>
        <w:rPr>
          <w:lang w:val="en"/>
        </w:rPr>
      </w:pPr>
      <w:r>
        <w:rPr>
          <w:lang w:val="en"/>
        </w:rPr>
        <w:t>Freedom of association supports other rights such as freedom of expression, religion, assembly and political rights, because the effectiveness of these rights and freedoms would be significantly diminished without the right to freedom of association.</w:t>
      </w:r>
    </w:p>
    <w:p w:rsidR="00185A1C" w:rsidRDefault="00185A1C" w:rsidP="00185A1C">
      <w:pPr>
        <w:rPr>
          <w:rFonts w:cs="Arial"/>
        </w:rPr>
      </w:pPr>
      <w:r>
        <w:rPr>
          <w:rFonts w:cs="Arial"/>
        </w:rPr>
        <w:t>The right limits the imposition of unreasonable and disproportionate restrictions by governments, including:</w:t>
      </w:r>
    </w:p>
    <w:p w:rsidR="00185A1C" w:rsidRDefault="00185A1C" w:rsidP="00185A1C">
      <w:pPr>
        <w:pStyle w:val="ListParagraph"/>
        <w:numPr>
          <w:ilvl w:val="0"/>
          <w:numId w:val="40"/>
        </w:numPr>
        <w:rPr>
          <w:rFonts w:cs="Arial"/>
        </w:rPr>
      </w:pPr>
      <w:r>
        <w:rPr>
          <w:rFonts w:cs="Arial"/>
        </w:rPr>
        <w:t>preventing people from joining or forming an association</w:t>
      </w:r>
    </w:p>
    <w:p w:rsidR="00185A1C" w:rsidRDefault="00185A1C" w:rsidP="00185A1C">
      <w:pPr>
        <w:pStyle w:val="ListParagraph"/>
        <w:numPr>
          <w:ilvl w:val="0"/>
          <w:numId w:val="40"/>
        </w:numPr>
        <w:rPr>
          <w:rFonts w:cs="Arial"/>
        </w:rPr>
      </w:pPr>
      <w:r>
        <w:rPr>
          <w:rFonts w:cs="Arial"/>
        </w:rPr>
        <w:t>imposing procedures for the formal recognition of associations that effectively prevent or discourage people from forming an association</w:t>
      </w:r>
    </w:p>
    <w:p w:rsidR="00185A1C" w:rsidRPr="00BB7594" w:rsidRDefault="00185A1C" w:rsidP="00185A1C">
      <w:pPr>
        <w:pStyle w:val="ListParagraph"/>
        <w:numPr>
          <w:ilvl w:val="0"/>
          <w:numId w:val="40"/>
        </w:numPr>
        <w:rPr>
          <w:rFonts w:cs="Arial"/>
        </w:rPr>
      </w:pPr>
      <w:proofErr w:type="gramStart"/>
      <w:r>
        <w:rPr>
          <w:rFonts w:cs="Arial"/>
        </w:rPr>
        <w:t>punishing</w:t>
      </w:r>
      <w:proofErr w:type="gramEnd"/>
      <w:r>
        <w:rPr>
          <w:rFonts w:cs="Arial"/>
        </w:rPr>
        <w:t xml:space="preserve"> people for their membership of a group.</w:t>
      </w:r>
      <w:r>
        <w:rPr>
          <w:rStyle w:val="EndnoteReference"/>
          <w:rFonts w:cs="Arial"/>
        </w:rPr>
        <w:endnoteReference w:id="16"/>
      </w:r>
    </w:p>
    <w:p w:rsidR="00185A1C" w:rsidRDefault="00185A1C" w:rsidP="00185A1C">
      <w:pPr>
        <w:rPr>
          <w:rFonts w:cs="Arial"/>
        </w:rPr>
      </w:pPr>
      <w:r w:rsidRPr="006D7572">
        <w:rPr>
          <w:rFonts w:cs="Arial"/>
          <w:lang w:val="en"/>
        </w:rPr>
        <w:t>The right to form and join trade unions</w:t>
      </w:r>
      <w:r>
        <w:rPr>
          <w:rFonts w:cs="Arial"/>
          <w:lang w:val="en"/>
        </w:rPr>
        <w:t xml:space="preserve"> is specifically protected in international human rights treaties, which also articulate</w:t>
      </w:r>
      <w:r w:rsidRPr="006D7572">
        <w:rPr>
          <w:rFonts w:cs="Arial"/>
          <w:lang w:val="en"/>
        </w:rPr>
        <w:t xml:space="preserve"> that the right to</w:t>
      </w:r>
      <w:r w:rsidRPr="006D7572">
        <w:rPr>
          <w:lang w:val="en"/>
        </w:rPr>
        <w:t xml:space="preserve"> association includes the right to participate in the lawful activities of an association.</w:t>
      </w:r>
      <w:r>
        <w:rPr>
          <w:lang w:val="en"/>
        </w:rPr>
        <w:t xml:space="preserve"> However, t</w:t>
      </w:r>
      <w:r w:rsidRPr="006D7572">
        <w:rPr>
          <w:rFonts w:cs="Arial"/>
        </w:rPr>
        <w:t>here is</w:t>
      </w:r>
      <w:r>
        <w:rPr>
          <w:rFonts w:cs="Arial"/>
        </w:rPr>
        <w:t xml:space="preserve"> no settled international law on</w:t>
      </w:r>
      <w:r w:rsidRPr="006D7572">
        <w:rPr>
          <w:rFonts w:cs="Arial"/>
        </w:rPr>
        <w:t xml:space="preserve"> whether the right to freedom of association encompasses the </w:t>
      </w:r>
      <w:r w:rsidRPr="006D7572">
        <w:rPr>
          <w:rFonts w:cs="Arial"/>
        </w:rPr>
        <w:lastRenderedPageBreak/>
        <w:t>right not to be compelled to join an association, such as a trade uni</w:t>
      </w:r>
      <w:r>
        <w:rPr>
          <w:rFonts w:cs="Arial"/>
        </w:rPr>
        <w:t>on or professional association.</w:t>
      </w:r>
      <w:r>
        <w:rPr>
          <w:rStyle w:val="EndnoteReference"/>
          <w:rFonts w:cs="Arial"/>
        </w:rPr>
        <w:endnoteReference w:id="17"/>
      </w:r>
    </w:p>
    <w:p w:rsidR="00185A1C" w:rsidRDefault="00185A1C" w:rsidP="00185A1C">
      <w:pPr>
        <w:rPr>
          <w:rFonts w:cs="Arial"/>
        </w:rPr>
      </w:pPr>
      <w:r>
        <w:rPr>
          <w:rFonts w:cs="Arial"/>
        </w:rPr>
        <w:t>Any limits to freedom of association</w:t>
      </w:r>
      <w:r w:rsidRPr="003F0777">
        <w:rPr>
          <w:rFonts w:cs="Arial"/>
        </w:rPr>
        <w:t xml:space="preserve"> must be prescribed by law</w:t>
      </w:r>
      <w:r w:rsidR="00AC4102">
        <w:rPr>
          <w:rFonts w:cs="Arial"/>
        </w:rPr>
        <w:t>s</w:t>
      </w:r>
      <w:r w:rsidRPr="003F0777">
        <w:rPr>
          <w:rFonts w:cs="Arial"/>
        </w:rPr>
        <w:t xml:space="preserve"> that are necessary in a democratic society in the interests of national security or public safety, public order, the protection of public health or morals</w:t>
      </w:r>
      <w:r w:rsidR="00307B06">
        <w:rPr>
          <w:rFonts w:cs="Arial"/>
        </w:rPr>
        <w:t>,</w:t>
      </w:r>
      <w:r w:rsidRPr="003F0777">
        <w:rPr>
          <w:rFonts w:cs="Arial"/>
        </w:rPr>
        <w:t xml:space="preserve"> or the protection of the</w:t>
      </w:r>
      <w:r>
        <w:rPr>
          <w:rFonts w:cs="Arial"/>
        </w:rPr>
        <w:t xml:space="preserve"> rights and freedoms of others.</w:t>
      </w:r>
    </w:p>
    <w:p w:rsidR="00185A1C" w:rsidRPr="004F6025" w:rsidRDefault="00185A1C" w:rsidP="00185A1C">
      <w:pPr>
        <w:pStyle w:val="SubmissionNormal"/>
        <w:numPr>
          <w:ilvl w:val="0"/>
          <w:numId w:val="0"/>
        </w:numPr>
        <w:rPr>
          <w:rFonts w:cs="Arial"/>
          <w:b/>
        </w:rPr>
      </w:pPr>
      <w:r>
        <w:rPr>
          <w:rFonts w:cs="Arial"/>
        </w:rPr>
        <w:t xml:space="preserve">Further information about the right to freedom of association is available at </w:t>
      </w:r>
      <w:hyperlink r:id="rId24" w:history="1">
        <w:r w:rsidRPr="00941B5A">
          <w:rPr>
            <w:rStyle w:val="Hyperlink"/>
            <w:rFonts w:cs="Arial"/>
            <w:color w:val="auto"/>
            <w:u w:val="none"/>
          </w:rPr>
          <w:t>http://www.humanrights.gov.au/freedom-association</w:t>
        </w:r>
      </w:hyperlink>
      <w:r w:rsidRPr="00D236CE">
        <w:rPr>
          <w:rFonts w:cs="Arial"/>
        </w:rPr>
        <w:t>.</w:t>
      </w:r>
    </w:p>
    <w:p w:rsidR="00185A1C" w:rsidRPr="00B45C7E" w:rsidRDefault="00185A1C" w:rsidP="00185A1C">
      <w:pPr>
        <w:pStyle w:val="SubmissionNormal"/>
        <w:keepNext/>
        <w:numPr>
          <w:ilvl w:val="0"/>
          <w:numId w:val="0"/>
        </w:numPr>
        <w:rPr>
          <w:rFonts w:cs="Arial"/>
          <w:i/>
        </w:rPr>
      </w:pPr>
      <w:r w:rsidRPr="00B45C7E">
        <w:rPr>
          <w:rFonts w:cs="Arial"/>
          <w:i/>
        </w:rPr>
        <w:t>Freedom of association in Australia</w:t>
      </w:r>
    </w:p>
    <w:p w:rsidR="00185A1C" w:rsidRPr="006D7572" w:rsidRDefault="00185A1C" w:rsidP="00185A1C">
      <w:pPr>
        <w:pStyle w:val="SubmissionNormal"/>
        <w:numPr>
          <w:ilvl w:val="0"/>
          <w:numId w:val="0"/>
        </w:numPr>
        <w:rPr>
          <w:rFonts w:cs="Arial"/>
          <w:lang w:val="en"/>
        </w:rPr>
      </w:pPr>
      <w:r>
        <w:rPr>
          <w:rFonts w:cs="Arial"/>
        </w:rPr>
        <w:t>There is no federal</w:t>
      </w:r>
      <w:r w:rsidRPr="006D7572">
        <w:rPr>
          <w:rFonts w:cs="Arial"/>
        </w:rPr>
        <w:t xml:space="preserve"> legislation that enshrines the right to freedom of as</w:t>
      </w:r>
      <w:r>
        <w:rPr>
          <w:rFonts w:cs="Arial"/>
        </w:rPr>
        <w:t>sociation in all circumstances</w:t>
      </w:r>
      <w:r w:rsidRPr="006D7572">
        <w:rPr>
          <w:rFonts w:cs="Arial"/>
          <w:lang w:val="en"/>
        </w:rPr>
        <w:t xml:space="preserve">, </w:t>
      </w:r>
      <w:r>
        <w:rPr>
          <w:rFonts w:cs="Arial"/>
          <w:lang w:val="en"/>
        </w:rPr>
        <w:t xml:space="preserve">although </w:t>
      </w:r>
      <w:r w:rsidRPr="006D7572">
        <w:rPr>
          <w:rFonts w:cs="Arial"/>
          <w:lang w:val="en"/>
        </w:rPr>
        <w:t>the importance of freedom of association for a democratic society was recently reaffirmed b</w:t>
      </w:r>
      <w:r>
        <w:rPr>
          <w:rFonts w:cs="Arial"/>
          <w:lang w:val="en"/>
        </w:rPr>
        <w:t>y the High Court of Australia</w:t>
      </w:r>
      <w:r w:rsidRPr="006D7572">
        <w:rPr>
          <w:rFonts w:cs="Arial"/>
          <w:lang w:val="en"/>
        </w:rPr>
        <w:t>.</w:t>
      </w:r>
      <w:r w:rsidRPr="006D7572">
        <w:rPr>
          <w:rStyle w:val="EndnoteReference"/>
          <w:rFonts w:cs="Arial"/>
          <w:lang w:val="en"/>
        </w:rPr>
        <w:endnoteReference w:id="18"/>
      </w:r>
    </w:p>
    <w:p w:rsidR="00185A1C" w:rsidRDefault="00185A1C" w:rsidP="00185A1C">
      <w:pPr>
        <w:pStyle w:val="SubmissionNormal"/>
        <w:numPr>
          <w:ilvl w:val="0"/>
          <w:numId w:val="0"/>
        </w:numPr>
        <w:rPr>
          <w:rFonts w:cs="Arial"/>
        </w:rPr>
      </w:pPr>
      <w:r>
        <w:rPr>
          <w:rFonts w:cs="Arial"/>
        </w:rPr>
        <w:t>T</w:t>
      </w:r>
      <w:r w:rsidRPr="006D7572">
        <w:rPr>
          <w:rFonts w:cs="Arial"/>
        </w:rPr>
        <w:t xml:space="preserve">he </w:t>
      </w:r>
      <w:r w:rsidRPr="006D7572">
        <w:rPr>
          <w:rFonts w:cs="Arial"/>
          <w:i/>
          <w:iCs/>
        </w:rPr>
        <w:t xml:space="preserve">Fair Work Act 2009 </w:t>
      </w:r>
      <w:r w:rsidRPr="006D7572">
        <w:rPr>
          <w:rFonts w:cs="Arial"/>
          <w:iCs/>
        </w:rPr>
        <w:t>(</w:t>
      </w:r>
      <w:proofErr w:type="spellStart"/>
      <w:r w:rsidRPr="006D7572">
        <w:rPr>
          <w:rFonts w:cs="Arial"/>
          <w:iCs/>
        </w:rPr>
        <w:t>Cth</w:t>
      </w:r>
      <w:proofErr w:type="spellEnd"/>
      <w:r w:rsidRPr="006D7572">
        <w:rPr>
          <w:rFonts w:cs="Arial"/>
          <w:iCs/>
        </w:rPr>
        <w:t>)</w:t>
      </w:r>
      <w:r w:rsidRPr="006D7572">
        <w:rPr>
          <w:rFonts w:cs="Arial"/>
          <w:i/>
          <w:iCs/>
        </w:rPr>
        <w:t xml:space="preserve"> </w:t>
      </w:r>
      <w:r w:rsidRPr="006D7572">
        <w:rPr>
          <w:rFonts w:cs="Arial"/>
        </w:rPr>
        <w:t>protects freedom of association in the workplace</w:t>
      </w:r>
      <w:r>
        <w:rPr>
          <w:rFonts w:cs="Arial"/>
        </w:rPr>
        <w:t xml:space="preserve">, which </w:t>
      </w:r>
      <w:r w:rsidRPr="006D7572">
        <w:rPr>
          <w:rFonts w:cs="Arial"/>
        </w:rPr>
        <w:t>bridge</w:t>
      </w:r>
      <w:r>
        <w:rPr>
          <w:rFonts w:cs="Arial"/>
        </w:rPr>
        <w:t>s</w:t>
      </w:r>
      <w:r w:rsidRPr="006D7572">
        <w:rPr>
          <w:rFonts w:cs="Arial"/>
        </w:rPr>
        <w:t xml:space="preserve"> the gap in the international law around the right not to be compelled to jo</w:t>
      </w:r>
      <w:r>
        <w:rPr>
          <w:rFonts w:cs="Arial"/>
        </w:rPr>
        <w:t>in a professional association.</w:t>
      </w:r>
    </w:p>
    <w:p w:rsidR="00291EF8" w:rsidRDefault="00291EF8" w:rsidP="00185A1C">
      <w:pPr>
        <w:pStyle w:val="SubmissionNormal"/>
        <w:numPr>
          <w:ilvl w:val="0"/>
          <w:numId w:val="0"/>
        </w:numPr>
        <w:rPr>
          <w:rFonts w:cs="Arial"/>
        </w:rPr>
      </w:pPr>
      <w:r>
        <w:rPr>
          <w:rFonts w:cs="Arial"/>
        </w:rPr>
        <w:t>T</w:t>
      </w:r>
      <w:r w:rsidRPr="006D7572">
        <w:rPr>
          <w:rFonts w:cs="Arial"/>
        </w:rPr>
        <w:t xml:space="preserve">he </w:t>
      </w:r>
      <w:r w:rsidRPr="006D7572">
        <w:rPr>
          <w:rFonts w:cs="Arial"/>
          <w:i/>
          <w:iCs/>
        </w:rPr>
        <w:t xml:space="preserve">Australian Human Rights Commission Regulations 1989 </w:t>
      </w:r>
      <w:r>
        <w:rPr>
          <w:rFonts w:cs="Arial"/>
          <w:iCs/>
        </w:rPr>
        <w:t>(</w:t>
      </w:r>
      <w:proofErr w:type="spellStart"/>
      <w:r>
        <w:rPr>
          <w:rFonts w:cs="Arial"/>
          <w:iCs/>
        </w:rPr>
        <w:t>Cth</w:t>
      </w:r>
      <w:proofErr w:type="spellEnd"/>
      <w:r>
        <w:rPr>
          <w:rFonts w:cs="Arial"/>
          <w:iCs/>
        </w:rPr>
        <w:t>) also prescribes ‘t</w:t>
      </w:r>
      <w:r w:rsidR="00286804">
        <w:rPr>
          <w:rFonts w:cs="Arial"/>
        </w:rPr>
        <w:t xml:space="preserve">rade union activity’ </w:t>
      </w:r>
      <w:r w:rsidR="00286804" w:rsidRPr="006D7572">
        <w:rPr>
          <w:rFonts w:cs="Arial"/>
        </w:rPr>
        <w:t>as a ground for discrimination in employment</w:t>
      </w:r>
      <w:r w:rsidR="0023338D">
        <w:rPr>
          <w:rFonts w:cs="Arial"/>
        </w:rPr>
        <w:t xml:space="preserve">. This means that, </w:t>
      </w:r>
      <w:r w:rsidR="00286804" w:rsidRPr="006D7572">
        <w:rPr>
          <w:rFonts w:cs="Arial"/>
        </w:rPr>
        <w:t xml:space="preserve">under the </w:t>
      </w:r>
      <w:r w:rsidR="00286804" w:rsidRPr="006D7572">
        <w:rPr>
          <w:rFonts w:cs="Arial"/>
          <w:i/>
          <w:iCs/>
        </w:rPr>
        <w:t xml:space="preserve">Australian Human Rights Commission Act 1986 </w:t>
      </w:r>
      <w:r w:rsidR="00286804" w:rsidRPr="006D7572">
        <w:rPr>
          <w:rFonts w:cs="Arial"/>
          <w:iCs/>
        </w:rPr>
        <w:t>(</w:t>
      </w:r>
      <w:proofErr w:type="spellStart"/>
      <w:r w:rsidR="00286804" w:rsidRPr="006D7572">
        <w:rPr>
          <w:rFonts w:cs="Arial"/>
          <w:iCs/>
        </w:rPr>
        <w:t>Cth</w:t>
      </w:r>
      <w:proofErr w:type="spellEnd"/>
      <w:r w:rsidR="00286804" w:rsidRPr="006D7572">
        <w:rPr>
          <w:rFonts w:cs="Arial"/>
          <w:iCs/>
        </w:rPr>
        <w:t>)</w:t>
      </w:r>
      <w:r w:rsidR="0023338D">
        <w:rPr>
          <w:rFonts w:cs="Arial"/>
        </w:rPr>
        <w:t>, the Commission can</w:t>
      </w:r>
      <w:r w:rsidR="00286804" w:rsidRPr="006D7572">
        <w:rPr>
          <w:rFonts w:cs="Arial"/>
        </w:rPr>
        <w:t xml:space="preserve"> investigate complaints about discrimination in employment based on trade union activity.</w:t>
      </w:r>
    </w:p>
    <w:p w:rsidR="00185A1C" w:rsidRPr="006D7572" w:rsidRDefault="00185A1C" w:rsidP="00185A1C">
      <w:pPr>
        <w:pStyle w:val="SubmissionNormal"/>
        <w:numPr>
          <w:ilvl w:val="0"/>
          <w:numId w:val="0"/>
        </w:numPr>
        <w:rPr>
          <w:rFonts w:cs="Arial"/>
        </w:rPr>
      </w:pPr>
      <w:r>
        <w:rPr>
          <w:rFonts w:cs="Arial"/>
        </w:rPr>
        <w:t xml:space="preserve">Your </w:t>
      </w:r>
      <w:r w:rsidRPr="006D7572">
        <w:rPr>
          <w:rFonts w:cs="Arial"/>
        </w:rPr>
        <w:t xml:space="preserve">right to freedom </w:t>
      </w:r>
      <w:r>
        <w:rPr>
          <w:rFonts w:cs="Arial"/>
        </w:rPr>
        <w:t xml:space="preserve">of </w:t>
      </w:r>
      <w:r w:rsidRPr="006D7572">
        <w:rPr>
          <w:rFonts w:cs="Arial"/>
        </w:rPr>
        <w:t>association</w:t>
      </w:r>
      <w:r>
        <w:rPr>
          <w:rFonts w:cs="Arial"/>
        </w:rPr>
        <w:t xml:space="preserve"> may be affected by federal </w:t>
      </w:r>
      <w:r w:rsidRPr="006D7572">
        <w:rPr>
          <w:rFonts w:cs="Arial"/>
        </w:rPr>
        <w:t>legislation, polic</w:t>
      </w:r>
      <w:r>
        <w:rPr>
          <w:rFonts w:cs="Arial"/>
        </w:rPr>
        <w:t>ies</w:t>
      </w:r>
      <w:r w:rsidRPr="006D7572">
        <w:rPr>
          <w:rFonts w:cs="Arial"/>
        </w:rPr>
        <w:t xml:space="preserve"> or program</w:t>
      </w:r>
      <w:r>
        <w:rPr>
          <w:rFonts w:cs="Arial"/>
        </w:rPr>
        <w:t>s that seek to:</w:t>
      </w:r>
    </w:p>
    <w:p w:rsidR="00185A1C" w:rsidRPr="006D7572" w:rsidRDefault="00185A1C" w:rsidP="00185A1C">
      <w:pPr>
        <w:pStyle w:val="ListParagraph"/>
        <w:numPr>
          <w:ilvl w:val="0"/>
          <w:numId w:val="31"/>
        </w:numPr>
        <w:rPr>
          <w:rFonts w:cs="Arial"/>
        </w:rPr>
      </w:pPr>
      <w:r>
        <w:rPr>
          <w:rFonts w:cs="Arial"/>
        </w:rPr>
        <w:t>prohibit or create</w:t>
      </w:r>
      <w:r w:rsidRPr="006D7572">
        <w:rPr>
          <w:rFonts w:cs="Arial"/>
        </w:rPr>
        <w:t xml:space="preserve"> disincentives for membership of parti</w:t>
      </w:r>
      <w:r>
        <w:rPr>
          <w:rFonts w:cs="Arial"/>
        </w:rPr>
        <w:t>cular organisations</w:t>
      </w:r>
    </w:p>
    <w:p w:rsidR="0023338D" w:rsidRDefault="0023338D" w:rsidP="00185A1C">
      <w:pPr>
        <w:pStyle w:val="ListParagraph"/>
        <w:numPr>
          <w:ilvl w:val="0"/>
          <w:numId w:val="31"/>
        </w:numPr>
        <w:rPr>
          <w:rFonts w:cs="Arial"/>
        </w:rPr>
      </w:pPr>
      <w:r>
        <w:rPr>
          <w:rFonts w:cs="Arial"/>
        </w:rPr>
        <w:t>require or coerce membership of particular organisations</w:t>
      </w:r>
    </w:p>
    <w:p w:rsidR="00185A1C" w:rsidRPr="006D7572" w:rsidRDefault="00185A1C" w:rsidP="00185A1C">
      <w:pPr>
        <w:pStyle w:val="ListParagraph"/>
        <w:numPr>
          <w:ilvl w:val="0"/>
          <w:numId w:val="31"/>
        </w:numPr>
        <w:rPr>
          <w:rFonts w:cs="Arial"/>
        </w:rPr>
      </w:pPr>
      <w:r>
        <w:rPr>
          <w:rFonts w:cs="Arial"/>
        </w:rPr>
        <w:t>regulate</w:t>
      </w:r>
      <w:r w:rsidRPr="006D7572">
        <w:rPr>
          <w:rFonts w:cs="Arial"/>
        </w:rPr>
        <w:t xml:space="preserve"> membership of groups or associati</w:t>
      </w:r>
      <w:r>
        <w:rPr>
          <w:rFonts w:cs="Arial"/>
        </w:rPr>
        <w:t>ons</w:t>
      </w:r>
    </w:p>
    <w:p w:rsidR="00185A1C" w:rsidRPr="006D7572" w:rsidRDefault="00185A1C" w:rsidP="00185A1C">
      <w:pPr>
        <w:pStyle w:val="ListParagraph"/>
        <w:numPr>
          <w:ilvl w:val="0"/>
          <w:numId w:val="31"/>
        </w:numPr>
        <w:rPr>
          <w:rFonts w:cs="Arial"/>
        </w:rPr>
      </w:pPr>
      <w:r>
        <w:rPr>
          <w:rFonts w:cs="Arial"/>
        </w:rPr>
        <w:t>require</w:t>
      </w:r>
      <w:r w:rsidRPr="006D7572">
        <w:rPr>
          <w:rFonts w:cs="Arial"/>
        </w:rPr>
        <w:t xml:space="preserve"> a person to disclose membersh</w:t>
      </w:r>
      <w:r>
        <w:rPr>
          <w:rFonts w:cs="Arial"/>
        </w:rPr>
        <w:t>ip of a group or association</w:t>
      </w:r>
    </w:p>
    <w:p w:rsidR="00185A1C" w:rsidRDefault="00185A1C" w:rsidP="00185A1C">
      <w:pPr>
        <w:pStyle w:val="ListParagraph"/>
        <w:numPr>
          <w:ilvl w:val="0"/>
          <w:numId w:val="31"/>
        </w:numPr>
        <w:rPr>
          <w:rFonts w:cs="Arial"/>
        </w:rPr>
      </w:pPr>
      <w:proofErr w:type="gramStart"/>
      <w:r>
        <w:rPr>
          <w:rFonts w:cs="Arial"/>
        </w:rPr>
        <w:t>treat</w:t>
      </w:r>
      <w:proofErr w:type="gramEnd"/>
      <w:r w:rsidRPr="006D7572">
        <w:rPr>
          <w:rFonts w:cs="Arial"/>
        </w:rPr>
        <w:t xml:space="preserve"> people differently on the basis of their membership of a group or association.</w:t>
      </w:r>
    </w:p>
    <w:p w:rsidR="00185A1C" w:rsidRDefault="00185A1C" w:rsidP="00185A1C">
      <w:pPr>
        <w:pStyle w:val="Heading3"/>
        <w:numPr>
          <w:ilvl w:val="0"/>
          <w:numId w:val="0"/>
        </w:numPr>
        <w:ind w:left="851" w:hanging="851"/>
        <w:rPr>
          <w:i w:val="0"/>
        </w:rPr>
      </w:pPr>
      <w:r w:rsidRPr="006C1E07">
        <w:t>Rights &amp; Responsibilities 2014</w:t>
      </w:r>
      <w:r>
        <w:rPr>
          <w:i w:val="0"/>
        </w:rPr>
        <w:t xml:space="preserve"> will focus on:</w:t>
      </w:r>
    </w:p>
    <w:p w:rsidR="0052009C" w:rsidRDefault="00185A1C" w:rsidP="00185A1C">
      <w:pPr>
        <w:pStyle w:val="ListParagraph"/>
        <w:numPr>
          <w:ilvl w:val="0"/>
          <w:numId w:val="31"/>
        </w:numPr>
        <w:rPr>
          <w:rFonts w:cs="Arial"/>
        </w:rPr>
      </w:pPr>
      <w:r>
        <w:rPr>
          <w:rFonts w:cs="Arial"/>
        </w:rPr>
        <w:t>the</w:t>
      </w:r>
      <w:r w:rsidRPr="00192A5F">
        <w:rPr>
          <w:rFonts w:cs="Arial"/>
        </w:rPr>
        <w:t xml:space="preserve"> wa</w:t>
      </w:r>
      <w:r>
        <w:rPr>
          <w:rFonts w:cs="Arial"/>
        </w:rPr>
        <w:t xml:space="preserve">ys </w:t>
      </w:r>
      <w:r w:rsidRPr="00192A5F">
        <w:rPr>
          <w:rFonts w:cs="Arial"/>
        </w:rPr>
        <w:t>you exercise your right to freedom of association</w:t>
      </w:r>
    </w:p>
    <w:p w:rsidR="0052009C" w:rsidRPr="006D7572" w:rsidRDefault="0052009C" w:rsidP="0052009C">
      <w:pPr>
        <w:pStyle w:val="ListParagraph"/>
        <w:numPr>
          <w:ilvl w:val="0"/>
          <w:numId w:val="31"/>
        </w:numPr>
        <w:rPr>
          <w:rFonts w:cs="Arial"/>
        </w:rPr>
      </w:pPr>
      <w:r>
        <w:rPr>
          <w:rFonts w:cs="Arial"/>
        </w:rPr>
        <w:t xml:space="preserve">where restrictions </w:t>
      </w:r>
      <w:r w:rsidR="00F1439F">
        <w:rPr>
          <w:rFonts w:cs="Arial"/>
        </w:rPr>
        <w:t>on freedom of association exist</w:t>
      </w:r>
    </w:p>
    <w:p w:rsidR="00185A1C" w:rsidRPr="0052009C" w:rsidRDefault="00185A1C" w:rsidP="0052009C">
      <w:pPr>
        <w:pStyle w:val="ListParagraph"/>
        <w:numPr>
          <w:ilvl w:val="0"/>
          <w:numId w:val="24"/>
        </w:numPr>
        <w:rPr>
          <w:rFonts w:cs="Arial"/>
        </w:rPr>
      </w:pPr>
      <w:r w:rsidRPr="0052009C">
        <w:rPr>
          <w:rFonts w:cs="Arial"/>
        </w:rPr>
        <w:t>whether you have felt restricted or prohibited from exercising your right to free</w:t>
      </w:r>
      <w:r w:rsidR="007F608C" w:rsidRPr="0052009C">
        <w:rPr>
          <w:rFonts w:cs="Arial"/>
        </w:rPr>
        <w:t>dom of association</w:t>
      </w:r>
    </w:p>
    <w:p w:rsidR="007F608C" w:rsidRDefault="007F608C" w:rsidP="00185A1C">
      <w:pPr>
        <w:pStyle w:val="ListParagraph"/>
        <w:numPr>
          <w:ilvl w:val="0"/>
          <w:numId w:val="24"/>
        </w:numPr>
        <w:rPr>
          <w:rFonts w:cs="Arial"/>
        </w:rPr>
      </w:pPr>
      <w:proofErr w:type="gramStart"/>
      <w:r>
        <w:rPr>
          <w:rFonts w:cs="Arial"/>
        </w:rPr>
        <w:t>what</w:t>
      </w:r>
      <w:proofErr w:type="gramEnd"/>
      <w:r>
        <w:rPr>
          <w:rFonts w:cs="Arial"/>
        </w:rPr>
        <w:t xml:space="preserve"> could be done to enable you to exercise your right to freedom of association.</w:t>
      </w:r>
    </w:p>
    <w:p w:rsidR="0017141E" w:rsidRPr="00071F4A" w:rsidRDefault="0017141E" w:rsidP="00771BAF">
      <w:pPr>
        <w:pStyle w:val="ListParagraph"/>
        <w:ind w:left="644"/>
        <w:rPr>
          <w:rFonts w:cs="Arial"/>
        </w:rPr>
      </w:pPr>
    </w:p>
    <w:p w:rsidR="00185A1C" w:rsidRPr="00722B65" w:rsidRDefault="00185A1C" w:rsidP="00185A1C">
      <w:pPr>
        <w:rPr>
          <w:rFonts w:cs="Arial"/>
          <w:b/>
        </w:rPr>
      </w:pPr>
      <w:r w:rsidRPr="00722B65">
        <w:rPr>
          <w:rFonts w:cs="Arial"/>
          <w:b/>
        </w:rPr>
        <w:t>Right to property</w:t>
      </w:r>
      <w:r w:rsidRPr="007E2C33">
        <w:rPr>
          <w:rStyle w:val="EndnoteReference"/>
          <w:rFonts w:cs="Arial"/>
          <w:b/>
          <w:lang w:val="en"/>
        </w:rPr>
        <w:endnoteReference w:id="19"/>
      </w:r>
    </w:p>
    <w:p w:rsidR="00185A1C" w:rsidRPr="008B69EF" w:rsidRDefault="00185A1C" w:rsidP="00185A1C">
      <w:pPr>
        <w:shd w:val="clear" w:color="auto" w:fill="FFFFFF"/>
        <w:spacing w:before="100" w:beforeAutospacing="1"/>
        <w:textAlignment w:val="top"/>
        <w:rPr>
          <w:lang w:val="en"/>
        </w:rPr>
      </w:pPr>
      <w:r>
        <w:rPr>
          <w:rFonts w:cs="Arial"/>
          <w:lang w:val="en"/>
        </w:rPr>
        <w:t>The right to p</w:t>
      </w:r>
      <w:r w:rsidRPr="006D7572">
        <w:rPr>
          <w:rFonts w:cs="Arial"/>
          <w:lang w:val="en"/>
        </w:rPr>
        <w:t>roperty</w:t>
      </w:r>
      <w:r w:rsidRPr="006D7572">
        <w:rPr>
          <w:lang w:val="en"/>
        </w:rPr>
        <w:t xml:space="preserve"> </w:t>
      </w:r>
      <w:r>
        <w:rPr>
          <w:rFonts w:cs="Arial"/>
        </w:rPr>
        <w:t>includes</w:t>
      </w:r>
      <w:r w:rsidRPr="006D7572">
        <w:rPr>
          <w:lang w:val="en"/>
        </w:rPr>
        <w:t xml:space="preserve"> </w:t>
      </w:r>
      <w:r>
        <w:rPr>
          <w:lang w:val="en"/>
        </w:rPr>
        <w:t xml:space="preserve">ownership and use of </w:t>
      </w:r>
      <w:r w:rsidRPr="006D7572">
        <w:rPr>
          <w:lang w:val="en"/>
        </w:rPr>
        <w:t>p</w:t>
      </w:r>
      <w:r>
        <w:rPr>
          <w:lang w:val="en"/>
        </w:rPr>
        <w:t>hysical property, individual</w:t>
      </w:r>
      <w:r w:rsidRPr="006D7572">
        <w:rPr>
          <w:lang w:val="en"/>
        </w:rPr>
        <w:t>s</w:t>
      </w:r>
      <w:r w:rsidR="002B4958">
        <w:rPr>
          <w:lang w:val="en"/>
        </w:rPr>
        <w:t>’</w:t>
      </w:r>
      <w:r w:rsidRPr="006D7572">
        <w:rPr>
          <w:lang w:val="en"/>
        </w:rPr>
        <w:t xml:space="preserve"> ownership of their own bodies, and intellectual property.</w:t>
      </w:r>
      <w:r>
        <w:rPr>
          <w:lang w:val="en"/>
        </w:rPr>
        <w:t xml:space="preserve"> </w:t>
      </w:r>
      <w:r w:rsidRPr="006D7572">
        <w:rPr>
          <w:rFonts w:cs="Adobe Garamond Pro"/>
        </w:rPr>
        <w:t xml:space="preserve">In modern </w:t>
      </w:r>
      <w:r w:rsidRPr="006D7572">
        <w:rPr>
          <w:lang w:val="en"/>
        </w:rPr>
        <w:t>legal</w:t>
      </w:r>
      <w:r w:rsidRPr="006D7572">
        <w:rPr>
          <w:rFonts w:cs="Adobe Garamond Pro"/>
        </w:rPr>
        <w:t xml:space="preserve"> systems, ‘property’ embraces every possible interest recognised by law which a p</w:t>
      </w:r>
      <w:r>
        <w:rPr>
          <w:rFonts w:cs="Adobe Garamond Pro"/>
        </w:rPr>
        <w:t xml:space="preserve">erson can have in anything and includes </w:t>
      </w:r>
      <w:r w:rsidRPr="006D7572">
        <w:rPr>
          <w:rFonts w:cs="Adobe Garamond Pro"/>
        </w:rPr>
        <w:t>all valuable rights.</w:t>
      </w:r>
    </w:p>
    <w:p w:rsidR="00185A1C" w:rsidRDefault="00185A1C" w:rsidP="00185A1C">
      <w:pPr>
        <w:shd w:val="clear" w:color="auto" w:fill="FFFFFF"/>
        <w:spacing w:before="100" w:beforeAutospacing="1"/>
        <w:textAlignment w:val="top"/>
        <w:rPr>
          <w:rFonts w:cs="Arial"/>
          <w:lang w:val="en"/>
        </w:rPr>
      </w:pPr>
      <w:r w:rsidRPr="006D7572">
        <w:rPr>
          <w:rFonts w:cs="Arial"/>
          <w:lang w:val="en"/>
        </w:rPr>
        <w:lastRenderedPageBreak/>
        <w:t>The right to own property i</w:t>
      </w:r>
      <w:r>
        <w:rPr>
          <w:rFonts w:cs="Arial"/>
          <w:lang w:val="en"/>
        </w:rPr>
        <w:t>ncludes the right:</w:t>
      </w:r>
    </w:p>
    <w:p w:rsidR="00185A1C" w:rsidRDefault="00185A1C" w:rsidP="00185A1C">
      <w:pPr>
        <w:pStyle w:val="ListParagraph"/>
        <w:numPr>
          <w:ilvl w:val="0"/>
          <w:numId w:val="24"/>
        </w:numPr>
        <w:shd w:val="clear" w:color="auto" w:fill="FFFFFF"/>
        <w:spacing w:before="100" w:beforeAutospacing="1"/>
        <w:textAlignment w:val="top"/>
        <w:rPr>
          <w:rFonts w:cs="Arial"/>
          <w:lang w:val="en"/>
        </w:rPr>
      </w:pPr>
      <w:r w:rsidRPr="00041BCE">
        <w:rPr>
          <w:rFonts w:cs="Arial"/>
          <w:lang w:val="en"/>
        </w:rPr>
        <w:t>to own property alone as wel</w:t>
      </w:r>
      <w:r>
        <w:rPr>
          <w:rFonts w:cs="Arial"/>
          <w:lang w:val="en"/>
        </w:rPr>
        <w:t>l as in association with others</w:t>
      </w:r>
    </w:p>
    <w:p w:rsidR="0052009C" w:rsidRDefault="0052009C" w:rsidP="00185A1C">
      <w:pPr>
        <w:pStyle w:val="ListParagraph"/>
        <w:numPr>
          <w:ilvl w:val="0"/>
          <w:numId w:val="24"/>
        </w:numPr>
        <w:shd w:val="clear" w:color="auto" w:fill="FFFFFF"/>
        <w:spacing w:before="100" w:beforeAutospacing="1"/>
        <w:textAlignment w:val="top"/>
        <w:rPr>
          <w:rFonts w:cs="Arial"/>
          <w:lang w:val="en"/>
        </w:rPr>
      </w:pPr>
      <w:r>
        <w:rPr>
          <w:rFonts w:cs="Arial"/>
          <w:lang w:val="en"/>
        </w:rPr>
        <w:t>to</w:t>
      </w:r>
      <w:r w:rsidR="00F1439F">
        <w:rPr>
          <w:rFonts w:cs="Arial"/>
          <w:lang w:val="en"/>
        </w:rPr>
        <w:t xml:space="preserve"> acquire or dispose of property</w:t>
      </w:r>
    </w:p>
    <w:p w:rsidR="00185A1C" w:rsidRPr="00041BCE" w:rsidRDefault="00185A1C" w:rsidP="00185A1C">
      <w:pPr>
        <w:pStyle w:val="ListParagraph"/>
        <w:numPr>
          <w:ilvl w:val="0"/>
          <w:numId w:val="24"/>
        </w:numPr>
        <w:shd w:val="clear" w:color="auto" w:fill="FFFFFF"/>
        <w:spacing w:before="100" w:beforeAutospacing="1"/>
        <w:textAlignment w:val="top"/>
        <w:rPr>
          <w:rFonts w:cs="Arial"/>
          <w:lang w:val="en"/>
        </w:rPr>
      </w:pPr>
      <w:proofErr w:type="gramStart"/>
      <w:r>
        <w:rPr>
          <w:rFonts w:cs="Arial"/>
          <w:lang w:val="en"/>
        </w:rPr>
        <w:t>not</w:t>
      </w:r>
      <w:proofErr w:type="gramEnd"/>
      <w:r>
        <w:rPr>
          <w:rFonts w:cs="Arial"/>
          <w:lang w:val="en"/>
        </w:rPr>
        <w:t xml:space="preserve"> to be </w:t>
      </w:r>
      <w:r w:rsidRPr="00041BCE">
        <w:rPr>
          <w:rFonts w:cs="Arial"/>
          <w:lang w:val="en"/>
        </w:rPr>
        <w:t xml:space="preserve">arbitrarily deprived of </w:t>
      </w:r>
      <w:r>
        <w:rPr>
          <w:rFonts w:cs="Arial"/>
          <w:lang w:val="en"/>
        </w:rPr>
        <w:t>their property</w:t>
      </w:r>
      <w:r w:rsidRPr="00041BCE">
        <w:rPr>
          <w:rFonts w:cs="Arial"/>
          <w:lang w:val="en"/>
        </w:rPr>
        <w:t>.</w:t>
      </w:r>
    </w:p>
    <w:p w:rsidR="00185A1C" w:rsidRPr="0086296F" w:rsidRDefault="00185A1C" w:rsidP="00185A1C">
      <w:pPr>
        <w:pStyle w:val="Heading4"/>
        <w:numPr>
          <w:ilvl w:val="0"/>
          <w:numId w:val="0"/>
        </w:numPr>
        <w:ind w:left="851" w:hanging="851"/>
        <w:rPr>
          <w:i/>
          <w:lang w:val="en"/>
        </w:rPr>
      </w:pPr>
      <w:r w:rsidRPr="0086296F">
        <w:rPr>
          <w:i/>
          <w:lang w:val="en"/>
        </w:rPr>
        <w:t>Property rights in Australia</w:t>
      </w:r>
    </w:p>
    <w:p w:rsidR="00185A1C" w:rsidRPr="00F92546" w:rsidRDefault="00185A1C" w:rsidP="00185A1C">
      <w:pPr>
        <w:shd w:val="clear" w:color="auto" w:fill="FFFFFF"/>
        <w:spacing w:before="100" w:beforeAutospacing="1"/>
        <w:textAlignment w:val="top"/>
        <w:rPr>
          <w:rFonts w:cs="Arial"/>
        </w:rPr>
      </w:pPr>
      <w:r>
        <w:rPr>
          <w:rFonts w:cs="Arial"/>
        </w:rPr>
        <w:t>T</w:t>
      </w:r>
      <w:r w:rsidRPr="006D7572">
        <w:rPr>
          <w:rFonts w:cs="Arial"/>
        </w:rPr>
        <w:t xml:space="preserve">he importance of private property rights </w:t>
      </w:r>
      <w:r>
        <w:rPr>
          <w:rFonts w:cs="Arial"/>
        </w:rPr>
        <w:t xml:space="preserve">in Australia </w:t>
      </w:r>
      <w:r w:rsidRPr="006D7572">
        <w:rPr>
          <w:rFonts w:cs="Arial"/>
        </w:rPr>
        <w:t>is recognised in s</w:t>
      </w:r>
      <w:r>
        <w:rPr>
          <w:rFonts w:cs="Arial"/>
        </w:rPr>
        <w:t>ection</w:t>
      </w:r>
      <w:r w:rsidRPr="006D7572">
        <w:rPr>
          <w:rFonts w:cs="Arial"/>
        </w:rPr>
        <w:t xml:space="preserve"> 51(xxxi) of the Constitution, which guarantees </w:t>
      </w:r>
      <w:r>
        <w:rPr>
          <w:rFonts w:cs="Arial"/>
        </w:rPr>
        <w:t xml:space="preserve">the acquisition on just terms </w:t>
      </w:r>
      <w:r w:rsidRPr="006D7572">
        <w:rPr>
          <w:rFonts w:cs="Arial"/>
        </w:rPr>
        <w:t xml:space="preserve">of </w:t>
      </w:r>
      <w:r>
        <w:rPr>
          <w:rFonts w:cs="Arial"/>
        </w:rPr>
        <w:t xml:space="preserve">all types of </w:t>
      </w:r>
      <w:r w:rsidRPr="006D7572">
        <w:rPr>
          <w:rFonts w:cs="Arial"/>
        </w:rPr>
        <w:t>property by th</w:t>
      </w:r>
      <w:r>
        <w:rPr>
          <w:rFonts w:cs="Arial"/>
        </w:rPr>
        <w:t>e federal government.</w:t>
      </w:r>
    </w:p>
    <w:p w:rsidR="00185A1C" w:rsidRDefault="00185A1C" w:rsidP="00185A1C">
      <w:pPr>
        <w:shd w:val="clear" w:color="auto" w:fill="FFFFFF"/>
        <w:spacing w:before="100" w:beforeAutospacing="1"/>
        <w:textAlignment w:val="top"/>
        <w:rPr>
          <w:rFonts w:cs="Arial"/>
        </w:rPr>
      </w:pPr>
      <w:r>
        <w:rPr>
          <w:rFonts w:cs="Arial"/>
        </w:rPr>
        <w:t>However, while s</w:t>
      </w:r>
      <w:r w:rsidRPr="006D7572">
        <w:rPr>
          <w:rFonts w:cs="Arial"/>
        </w:rPr>
        <w:t xml:space="preserve">ection 51(xxxi) </w:t>
      </w:r>
      <w:r>
        <w:rPr>
          <w:rFonts w:cs="Arial"/>
        </w:rPr>
        <w:t>provides</w:t>
      </w:r>
      <w:r w:rsidRPr="006D7572">
        <w:rPr>
          <w:rFonts w:cs="Arial"/>
        </w:rPr>
        <w:t xml:space="preserve"> one of the few guarantees of individual rights </w:t>
      </w:r>
      <w:r>
        <w:rPr>
          <w:rFonts w:cs="Arial"/>
        </w:rPr>
        <w:t>within the Constitution</w:t>
      </w:r>
      <w:r w:rsidRPr="006D7572">
        <w:rPr>
          <w:rFonts w:cs="Arial"/>
        </w:rPr>
        <w:t xml:space="preserve">, </w:t>
      </w:r>
      <w:r>
        <w:rPr>
          <w:rFonts w:cs="Arial"/>
        </w:rPr>
        <w:t xml:space="preserve">in practice </w:t>
      </w:r>
      <w:r w:rsidRPr="006D7572">
        <w:rPr>
          <w:rFonts w:cs="Arial"/>
        </w:rPr>
        <w:t>th</w:t>
      </w:r>
      <w:r>
        <w:rPr>
          <w:rFonts w:cs="Arial"/>
        </w:rPr>
        <w:t>e ‘just terms’ guarantee offers</w:t>
      </w:r>
      <w:r w:rsidRPr="006D7572">
        <w:rPr>
          <w:rFonts w:cs="Arial"/>
        </w:rPr>
        <w:t xml:space="preserve"> limited protection</w:t>
      </w:r>
      <w:r>
        <w:rPr>
          <w:rFonts w:cs="Arial"/>
        </w:rPr>
        <w:t xml:space="preserve"> to property rights because it</w:t>
      </w:r>
      <w:r w:rsidRPr="00BE2C33">
        <w:rPr>
          <w:rFonts w:cs="Arial"/>
        </w:rPr>
        <w:t xml:space="preserve"> does not extend to </w:t>
      </w:r>
      <w:r>
        <w:rPr>
          <w:rFonts w:cs="Arial"/>
        </w:rPr>
        <w:t xml:space="preserve">state governments who can </w:t>
      </w:r>
      <w:r w:rsidRPr="00BE2C33">
        <w:rPr>
          <w:rFonts w:cs="Arial"/>
        </w:rPr>
        <w:t xml:space="preserve">compulsorily </w:t>
      </w:r>
      <w:r>
        <w:rPr>
          <w:rFonts w:cs="Arial"/>
        </w:rPr>
        <w:t xml:space="preserve">acquire property </w:t>
      </w:r>
      <w:r w:rsidRPr="00BE2C33">
        <w:rPr>
          <w:rFonts w:cs="Arial"/>
        </w:rPr>
        <w:t>w</w:t>
      </w:r>
      <w:r>
        <w:rPr>
          <w:rFonts w:cs="Arial"/>
        </w:rPr>
        <w:t xml:space="preserve">ithout paying </w:t>
      </w:r>
      <w:r w:rsidRPr="00BE2C33">
        <w:rPr>
          <w:rFonts w:cs="Arial"/>
        </w:rPr>
        <w:t>compensation</w:t>
      </w:r>
      <w:r>
        <w:rPr>
          <w:rFonts w:cs="Arial"/>
        </w:rPr>
        <w:t>.</w:t>
      </w:r>
      <w:r w:rsidRPr="006D7572">
        <w:rPr>
          <w:rStyle w:val="EndnoteReference"/>
          <w:rFonts w:cs="Arial"/>
          <w:szCs w:val="20"/>
        </w:rPr>
        <w:endnoteReference w:id="20"/>
      </w:r>
      <w:r>
        <w:rPr>
          <w:rFonts w:cs="Arial"/>
        </w:rPr>
        <w:t xml:space="preserve"> The High Court of Australia has also applied a</w:t>
      </w:r>
      <w:r w:rsidRPr="00BE2C33">
        <w:rPr>
          <w:rFonts w:cs="Arial"/>
        </w:rPr>
        <w:t xml:space="preserve"> narrow </w:t>
      </w:r>
      <w:r>
        <w:rPr>
          <w:rFonts w:cs="Arial"/>
        </w:rPr>
        <w:t>interpretation of section 51(xxxi); f</w:t>
      </w:r>
      <w:r w:rsidRPr="00BE2C33">
        <w:rPr>
          <w:rFonts w:cs="Arial"/>
        </w:rPr>
        <w:t>or example, the</w:t>
      </w:r>
      <w:r>
        <w:rPr>
          <w:rFonts w:cs="Arial"/>
        </w:rPr>
        <w:t xml:space="preserve"> Court</w:t>
      </w:r>
      <w:r w:rsidRPr="00BE2C33">
        <w:rPr>
          <w:rFonts w:cs="Arial"/>
        </w:rPr>
        <w:t xml:space="preserve"> ha</w:t>
      </w:r>
      <w:r>
        <w:rPr>
          <w:rFonts w:cs="Arial"/>
        </w:rPr>
        <w:t>s</w:t>
      </w:r>
      <w:r w:rsidRPr="00BE2C33">
        <w:rPr>
          <w:rFonts w:cs="Arial"/>
        </w:rPr>
        <w:t xml:space="preserve"> applied </w:t>
      </w:r>
      <w:r>
        <w:rPr>
          <w:rFonts w:cs="Arial"/>
        </w:rPr>
        <w:t xml:space="preserve">a strict </w:t>
      </w:r>
      <w:r w:rsidRPr="00BE2C33">
        <w:rPr>
          <w:rFonts w:cs="Arial"/>
        </w:rPr>
        <w:t xml:space="preserve">technical definition of ‘acquisition’, </w:t>
      </w:r>
      <w:r>
        <w:rPr>
          <w:rFonts w:cs="Arial"/>
        </w:rPr>
        <w:t xml:space="preserve">which has resulted in </w:t>
      </w:r>
      <w:r w:rsidRPr="00BE2C33">
        <w:rPr>
          <w:rFonts w:cs="Arial"/>
        </w:rPr>
        <w:t xml:space="preserve">the </w:t>
      </w:r>
      <w:r>
        <w:rPr>
          <w:rFonts w:cs="Arial"/>
        </w:rPr>
        <w:t xml:space="preserve">federal government effectively side-stepping the </w:t>
      </w:r>
      <w:r w:rsidRPr="00BE2C33">
        <w:rPr>
          <w:rFonts w:cs="Arial"/>
        </w:rPr>
        <w:t>just terms</w:t>
      </w:r>
      <w:r>
        <w:rPr>
          <w:rFonts w:cs="Arial"/>
        </w:rPr>
        <w:t xml:space="preserve"> </w:t>
      </w:r>
      <w:r w:rsidR="002B4958">
        <w:rPr>
          <w:rFonts w:cs="Arial"/>
        </w:rPr>
        <w:t xml:space="preserve">guarantee </w:t>
      </w:r>
      <w:r>
        <w:rPr>
          <w:rFonts w:cs="Arial"/>
        </w:rPr>
        <w:t>providing property rights are limited or restricted</w:t>
      </w:r>
      <w:r w:rsidRPr="00BE2C33">
        <w:rPr>
          <w:rFonts w:cs="Arial"/>
        </w:rPr>
        <w:t xml:space="preserve"> in a manner that does not amount to an actual acquisition.</w:t>
      </w:r>
      <w:r w:rsidRPr="006D7572">
        <w:rPr>
          <w:rStyle w:val="EndnoteReference"/>
          <w:rFonts w:cs="Arial"/>
          <w:szCs w:val="20"/>
        </w:rPr>
        <w:endnoteReference w:id="21"/>
      </w:r>
    </w:p>
    <w:p w:rsidR="008A1E57" w:rsidRDefault="00176D5D" w:rsidP="00185A1C">
      <w:pPr>
        <w:shd w:val="clear" w:color="auto" w:fill="FFFFFF"/>
        <w:spacing w:before="100" w:beforeAutospacing="1"/>
        <w:textAlignment w:val="top"/>
        <w:rPr>
          <w:rFonts w:cs="Arial"/>
        </w:rPr>
      </w:pPr>
      <w:r w:rsidRPr="008A1E57">
        <w:rPr>
          <w:rFonts w:cs="Arial"/>
        </w:rPr>
        <w:t xml:space="preserve">Section 10 of the </w:t>
      </w:r>
      <w:r w:rsidRPr="008A1E57">
        <w:rPr>
          <w:rFonts w:cs="Arial"/>
          <w:i/>
        </w:rPr>
        <w:t>Racial Discrimination Act 1975</w:t>
      </w:r>
      <w:r w:rsidRPr="008A1E57">
        <w:rPr>
          <w:rFonts w:cs="Arial"/>
        </w:rPr>
        <w:t xml:space="preserve"> (</w:t>
      </w:r>
      <w:proofErr w:type="spellStart"/>
      <w:r w:rsidRPr="008A1E57">
        <w:rPr>
          <w:rFonts w:cs="Arial"/>
        </w:rPr>
        <w:t>Cth</w:t>
      </w:r>
      <w:proofErr w:type="spellEnd"/>
      <w:r w:rsidRPr="008A1E57">
        <w:rPr>
          <w:rFonts w:cs="Arial"/>
        </w:rPr>
        <w:t xml:space="preserve">) </w:t>
      </w:r>
      <w:r w:rsidR="008A1E57">
        <w:rPr>
          <w:rFonts w:cs="Arial"/>
        </w:rPr>
        <w:t xml:space="preserve">also </w:t>
      </w:r>
      <w:r w:rsidR="00CA4D4F" w:rsidRPr="008A1E57">
        <w:rPr>
          <w:rFonts w:cs="Arial"/>
        </w:rPr>
        <w:t>guarantees the right to enjoy property on an equal basis</w:t>
      </w:r>
      <w:r w:rsidR="008A1E57" w:rsidRPr="008A1E57">
        <w:rPr>
          <w:rFonts w:cs="Arial"/>
        </w:rPr>
        <w:t>, refer</w:t>
      </w:r>
      <w:r w:rsidR="008A1E57">
        <w:rPr>
          <w:rFonts w:cs="Arial"/>
        </w:rPr>
        <w:t>ring</w:t>
      </w:r>
      <w:r w:rsidR="008A1E57" w:rsidRPr="008A1E57">
        <w:rPr>
          <w:rFonts w:cs="Arial"/>
        </w:rPr>
        <w:t xml:space="preserve"> particularly to property owned by Aboriginal and Torres Strait Islander peoples.</w:t>
      </w:r>
    </w:p>
    <w:p w:rsidR="00185A1C" w:rsidRDefault="00185A1C" w:rsidP="00185A1C">
      <w:pPr>
        <w:shd w:val="clear" w:color="auto" w:fill="FFFFFF"/>
        <w:spacing w:before="100" w:beforeAutospacing="1"/>
        <w:textAlignment w:val="top"/>
        <w:rPr>
          <w:rFonts w:cs="Arial"/>
        </w:rPr>
      </w:pPr>
      <w:r>
        <w:rPr>
          <w:rFonts w:cs="Adobe Garamond Pro"/>
        </w:rPr>
        <w:t>Some individuals and organisations have argued that</w:t>
      </w:r>
      <w:r w:rsidRPr="006D7572">
        <w:rPr>
          <w:rFonts w:cs="Adobe Garamond Pro"/>
        </w:rPr>
        <w:t xml:space="preserve"> </w:t>
      </w:r>
      <w:r w:rsidR="002B4958">
        <w:rPr>
          <w:rFonts w:cs="Adobe Garamond Pro"/>
        </w:rPr>
        <w:t xml:space="preserve">there has </w:t>
      </w:r>
      <w:r w:rsidRPr="006D7572">
        <w:rPr>
          <w:rFonts w:cs="Adobe Garamond Pro"/>
        </w:rPr>
        <w:t xml:space="preserve">been ‘a gradual, but significant, erosion of traditional </w:t>
      </w:r>
      <w:r w:rsidRPr="00F92546">
        <w:rPr>
          <w:rFonts w:cs="Arial"/>
        </w:rPr>
        <w:t>protections</w:t>
      </w:r>
      <w:r w:rsidRPr="006D7572">
        <w:rPr>
          <w:rFonts w:cs="Adobe Garamond Pro"/>
        </w:rPr>
        <w:t xml:space="preserve"> for private property rights’</w:t>
      </w:r>
      <w:r>
        <w:rPr>
          <w:rFonts w:cs="Adobe Garamond Pro"/>
        </w:rPr>
        <w:t xml:space="preserve"> in recent years</w:t>
      </w:r>
      <w:r w:rsidRPr="006D7572">
        <w:rPr>
          <w:rFonts w:cs="Adobe Garamond Pro"/>
        </w:rPr>
        <w:t>.</w:t>
      </w:r>
      <w:r w:rsidRPr="006D7572">
        <w:rPr>
          <w:rStyle w:val="EndnoteReference"/>
          <w:rFonts w:cs="Adobe Garamond Pro"/>
          <w:szCs w:val="20"/>
        </w:rPr>
        <w:endnoteReference w:id="22"/>
      </w:r>
      <w:r>
        <w:rPr>
          <w:rStyle w:val="A6"/>
          <w:sz w:val="20"/>
          <w:szCs w:val="20"/>
        </w:rPr>
        <w:t xml:space="preserve"> </w:t>
      </w:r>
      <w:r w:rsidRPr="006D7572">
        <w:rPr>
          <w:lang w:val="en"/>
        </w:rPr>
        <w:t>Th</w:t>
      </w:r>
      <w:r>
        <w:rPr>
          <w:lang w:val="en"/>
        </w:rPr>
        <w:t>is is because</w:t>
      </w:r>
      <w:r w:rsidRPr="006D7572">
        <w:rPr>
          <w:lang w:val="en"/>
        </w:rPr>
        <w:t xml:space="preserve"> property rights of individuals in Australia </w:t>
      </w:r>
      <w:r>
        <w:rPr>
          <w:lang w:val="en"/>
        </w:rPr>
        <w:t xml:space="preserve">may be </w:t>
      </w:r>
      <w:r w:rsidRPr="006D7572">
        <w:rPr>
          <w:lang w:val="en"/>
        </w:rPr>
        <w:t>compromised, removed or damaged by gove</w:t>
      </w:r>
      <w:r>
        <w:rPr>
          <w:lang w:val="en"/>
        </w:rPr>
        <w:t xml:space="preserve">rnment regulations and actions. </w:t>
      </w:r>
      <w:r w:rsidRPr="00815BD7">
        <w:rPr>
          <w:rFonts w:cs="Arial"/>
        </w:rPr>
        <w:t>Examples of government restrictions on property rights ma</w:t>
      </w:r>
      <w:r w:rsidR="0097265B">
        <w:rPr>
          <w:rFonts w:cs="Arial"/>
        </w:rPr>
        <w:t>y range from large national policy</w:t>
      </w:r>
      <w:r w:rsidRPr="00815BD7">
        <w:rPr>
          <w:rFonts w:cs="Arial"/>
        </w:rPr>
        <w:t xml:space="preserve"> initiatives, such as the </w:t>
      </w:r>
      <w:r w:rsidR="0052009C">
        <w:rPr>
          <w:rFonts w:cs="Arial"/>
        </w:rPr>
        <w:t>preservation of native vegetation which can undermine the use and purpose of land</w:t>
      </w:r>
      <w:r w:rsidRPr="00815BD7">
        <w:rPr>
          <w:rFonts w:cs="Arial"/>
        </w:rPr>
        <w:t>, through to individual decisions directly affecting particular people and properties, such as the refusal by the Victorian Civil and Administrative Tribunal to grant development consents on coastal land in part because of climate change considerations.</w:t>
      </w:r>
      <w:r w:rsidRPr="006D7572">
        <w:rPr>
          <w:rStyle w:val="EndnoteReference"/>
          <w:rFonts w:cs="Arial"/>
        </w:rPr>
        <w:endnoteReference w:id="23"/>
      </w:r>
    </w:p>
    <w:p w:rsidR="00185A1C" w:rsidRDefault="00185A1C" w:rsidP="00185A1C">
      <w:pPr>
        <w:pStyle w:val="Heading3"/>
        <w:numPr>
          <w:ilvl w:val="0"/>
          <w:numId w:val="0"/>
        </w:numPr>
        <w:ind w:left="851" w:hanging="851"/>
        <w:rPr>
          <w:i w:val="0"/>
        </w:rPr>
      </w:pPr>
      <w:r w:rsidRPr="006C1E07">
        <w:t>Rights &amp; Responsibilities 2014</w:t>
      </w:r>
      <w:r>
        <w:rPr>
          <w:i w:val="0"/>
        </w:rPr>
        <w:t xml:space="preserve"> will focus on:</w:t>
      </w:r>
    </w:p>
    <w:p w:rsidR="00185A1C" w:rsidRDefault="00185A1C" w:rsidP="00185A1C">
      <w:pPr>
        <w:pStyle w:val="ListParagraph"/>
        <w:numPr>
          <w:ilvl w:val="0"/>
          <w:numId w:val="20"/>
        </w:numPr>
        <w:spacing w:before="0" w:after="0"/>
        <w:rPr>
          <w:rFonts w:cs="Arial"/>
        </w:rPr>
      </w:pPr>
      <w:r>
        <w:rPr>
          <w:rFonts w:cs="Arial"/>
        </w:rPr>
        <w:t>the types of property you own or believe you should own</w:t>
      </w:r>
    </w:p>
    <w:p w:rsidR="0052009C" w:rsidRPr="006D7572" w:rsidRDefault="0052009C" w:rsidP="0052009C">
      <w:pPr>
        <w:pStyle w:val="ListParagraph"/>
        <w:numPr>
          <w:ilvl w:val="0"/>
          <w:numId w:val="20"/>
        </w:numPr>
        <w:rPr>
          <w:rFonts w:cs="Arial"/>
        </w:rPr>
      </w:pPr>
      <w:r>
        <w:rPr>
          <w:rFonts w:cs="Arial"/>
        </w:rPr>
        <w:t xml:space="preserve">where restrictions on </w:t>
      </w:r>
      <w:r w:rsidR="00F1439F">
        <w:rPr>
          <w:rFonts w:cs="Arial"/>
        </w:rPr>
        <w:t>property rights exist</w:t>
      </w:r>
    </w:p>
    <w:p w:rsidR="00185A1C" w:rsidRPr="00331E64" w:rsidRDefault="00185A1C" w:rsidP="00331E64">
      <w:pPr>
        <w:pStyle w:val="ListParagraph"/>
        <w:numPr>
          <w:ilvl w:val="0"/>
          <w:numId w:val="20"/>
        </w:numPr>
        <w:spacing w:before="0" w:after="0"/>
        <w:rPr>
          <w:rFonts w:cs="Arial"/>
        </w:rPr>
      </w:pPr>
      <w:r w:rsidRPr="00331E64">
        <w:rPr>
          <w:rFonts w:cs="Arial"/>
        </w:rPr>
        <w:t>whether your right to own property or exercise property rights has been compromis</w:t>
      </w:r>
      <w:r w:rsidR="007F608C" w:rsidRPr="00331E64">
        <w:rPr>
          <w:rFonts w:cs="Arial"/>
        </w:rPr>
        <w:t>ed, restricted or removed</w:t>
      </w:r>
    </w:p>
    <w:p w:rsidR="007F608C" w:rsidRDefault="007F608C" w:rsidP="00185A1C">
      <w:pPr>
        <w:pStyle w:val="ListParagraph"/>
        <w:numPr>
          <w:ilvl w:val="0"/>
          <w:numId w:val="20"/>
        </w:numPr>
        <w:spacing w:before="0" w:after="0"/>
        <w:rPr>
          <w:rFonts w:cs="Arial"/>
        </w:rPr>
      </w:pPr>
      <w:proofErr w:type="gramStart"/>
      <w:r>
        <w:rPr>
          <w:rFonts w:cs="Arial"/>
        </w:rPr>
        <w:t>what</w:t>
      </w:r>
      <w:proofErr w:type="gramEnd"/>
      <w:r>
        <w:rPr>
          <w:rFonts w:cs="Arial"/>
        </w:rPr>
        <w:t xml:space="preserve"> could be done to enable you to exercise your right to property</w:t>
      </w:r>
      <w:r w:rsidR="00F1439F">
        <w:rPr>
          <w:rFonts w:cs="Arial"/>
        </w:rPr>
        <w:t>.</w:t>
      </w:r>
    </w:p>
    <w:p w:rsidR="00185A1C" w:rsidRDefault="00185A1C" w:rsidP="00185A1C">
      <w:pPr>
        <w:pStyle w:val="ListParagraph"/>
        <w:spacing w:before="0" w:after="0"/>
        <w:rPr>
          <w:rFonts w:cs="Arial"/>
        </w:rPr>
      </w:pPr>
    </w:p>
    <w:p w:rsidR="004422F8" w:rsidRDefault="004422F8">
      <w:pPr>
        <w:spacing w:before="0" w:after="0"/>
        <w:rPr>
          <w:rFonts w:cs="Arial"/>
        </w:rPr>
      </w:pPr>
    </w:p>
    <w:p w:rsidR="0097265B" w:rsidRDefault="0097265B">
      <w:pPr>
        <w:spacing w:before="0" w:after="0"/>
        <w:rPr>
          <w:rFonts w:cs="Arial"/>
          <w:b/>
        </w:rPr>
      </w:pPr>
    </w:p>
    <w:p w:rsidR="00AB44EB" w:rsidRDefault="00AB44EB">
      <w:pPr>
        <w:spacing w:before="0" w:after="0"/>
        <w:rPr>
          <w:rFonts w:cs="Arial"/>
          <w:b/>
        </w:rPr>
      </w:pPr>
    </w:p>
    <w:p w:rsidR="00AB44EB" w:rsidRDefault="00AB44EB">
      <w:pPr>
        <w:spacing w:before="0" w:after="0"/>
        <w:rPr>
          <w:rFonts w:cs="Arial"/>
          <w:b/>
        </w:rPr>
      </w:pPr>
    </w:p>
    <w:sectPr w:rsidR="00AB44EB" w:rsidSect="00CE7182">
      <w:headerReference w:type="even" r:id="rId25"/>
      <w:headerReference w:type="default" r:id="rId26"/>
      <w:footerReference w:type="default" r:id="rId27"/>
      <w:headerReference w:type="first" r:id="rId2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84" w:rsidRDefault="00245084" w:rsidP="00F14C6D">
      <w:r>
        <w:separator/>
      </w:r>
    </w:p>
  </w:endnote>
  <w:endnote w:type="continuationSeparator" w:id="0">
    <w:p w:rsidR="00245084" w:rsidRDefault="00245084" w:rsidP="00F14C6D">
      <w:r>
        <w:continuationSeparator/>
      </w:r>
    </w:p>
  </w:endnote>
  <w:endnote w:id="1">
    <w:p w:rsidR="00CC4002" w:rsidRPr="004422F8" w:rsidRDefault="00CC4002">
      <w:pPr>
        <w:pStyle w:val="EndnoteText"/>
        <w:rPr>
          <w:lang w:val="en-US"/>
        </w:rPr>
      </w:pPr>
      <w:r w:rsidRPr="004422F8">
        <w:rPr>
          <w:rStyle w:val="EndnoteReference"/>
        </w:rPr>
        <w:endnoteRef/>
      </w:r>
      <w:r w:rsidRPr="004422F8">
        <w:t xml:space="preserve"> </w:t>
      </w:r>
      <w:r w:rsidRPr="004422F8">
        <w:rPr>
          <w:lang w:val="en-US"/>
        </w:rPr>
        <w:t xml:space="preserve">For example, see Article 19(3) of the </w:t>
      </w:r>
      <w:r w:rsidRPr="004422F8">
        <w:rPr>
          <w:i/>
          <w:lang w:val="en-US"/>
        </w:rPr>
        <w:t>International Covenant on Civil and Political Rights</w:t>
      </w:r>
      <w:r w:rsidRPr="004422F8">
        <w:rPr>
          <w:lang w:val="en-US"/>
        </w:rPr>
        <w:t>.</w:t>
      </w:r>
    </w:p>
  </w:endnote>
  <w:endnote w:id="2">
    <w:p w:rsidR="00CC4002" w:rsidRPr="004422F8" w:rsidRDefault="00CC4002" w:rsidP="002C60E5">
      <w:pPr>
        <w:pStyle w:val="EndnoteText"/>
        <w:rPr>
          <w:lang w:val="en-US"/>
        </w:rPr>
      </w:pPr>
      <w:r w:rsidRPr="004422F8">
        <w:rPr>
          <w:rStyle w:val="EndnoteReference"/>
        </w:rPr>
        <w:endnoteRef/>
      </w:r>
      <w:r w:rsidRPr="004422F8">
        <w:t xml:space="preserve"> </w:t>
      </w:r>
      <w:proofErr w:type="gramStart"/>
      <w:r w:rsidRPr="004422F8">
        <w:rPr>
          <w:lang w:val="en-US"/>
        </w:rPr>
        <w:t xml:space="preserve">Parliamentary Joint Committee on Human Rights, </w:t>
      </w:r>
      <w:r w:rsidRPr="004422F8">
        <w:rPr>
          <w:i/>
          <w:lang w:val="en-US"/>
        </w:rPr>
        <w:t>Guide to Human Rights</w:t>
      </w:r>
      <w:r>
        <w:rPr>
          <w:i/>
          <w:lang w:val="en-US"/>
        </w:rPr>
        <w:t xml:space="preserve">, </w:t>
      </w:r>
      <w:r>
        <w:rPr>
          <w:lang w:val="en-US"/>
        </w:rPr>
        <w:t>Commonwealth of Australia</w:t>
      </w:r>
      <w:r w:rsidRPr="004422F8">
        <w:rPr>
          <w:lang w:val="en-US"/>
        </w:rPr>
        <w:t xml:space="preserve"> (2014), p 8.</w:t>
      </w:r>
      <w:proofErr w:type="gramEnd"/>
    </w:p>
  </w:endnote>
  <w:endnote w:id="3">
    <w:p w:rsidR="00CC4002" w:rsidRPr="004422F8" w:rsidRDefault="00CC4002">
      <w:pPr>
        <w:pStyle w:val="EndnoteText"/>
        <w:rPr>
          <w:lang w:val="en-US"/>
        </w:rPr>
      </w:pPr>
      <w:r w:rsidRPr="004422F8">
        <w:rPr>
          <w:rStyle w:val="EndnoteReference"/>
        </w:rPr>
        <w:endnoteRef/>
      </w:r>
      <w:r w:rsidRPr="004422F8">
        <w:t xml:space="preserve"> </w:t>
      </w:r>
      <w:r w:rsidRPr="004422F8">
        <w:rPr>
          <w:lang w:val="en-US"/>
        </w:rPr>
        <w:t>International Council on Human Rights Policy,</w:t>
      </w:r>
      <w:r w:rsidRPr="004422F8">
        <w:rPr>
          <w:i/>
          <w:lang w:val="en-US"/>
        </w:rPr>
        <w:t xml:space="preserve"> Taking Duties Seriously: individual duties in international human rights law</w:t>
      </w:r>
      <w:r w:rsidRPr="004422F8">
        <w:rPr>
          <w:lang w:val="en-US"/>
        </w:rPr>
        <w:t xml:space="preserve">, Switzerland (1999), </w:t>
      </w:r>
      <w:proofErr w:type="spellStart"/>
      <w:r w:rsidRPr="004422F8">
        <w:rPr>
          <w:lang w:val="en-US"/>
        </w:rPr>
        <w:t>pp</w:t>
      </w:r>
      <w:proofErr w:type="spellEnd"/>
      <w:r w:rsidRPr="004422F8">
        <w:rPr>
          <w:lang w:val="en-US"/>
        </w:rPr>
        <w:t xml:space="preserve"> 39-40.</w:t>
      </w:r>
    </w:p>
  </w:endnote>
  <w:endnote w:id="4">
    <w:p w:rsidR="00CC4002" w:rsidRPr="004422F8" w:rsidRDefault="00CC4002">
      <w:pPr>
        <w:pStyle w:val="EndnoteText"/>
        <w:rPr>
          <w:lang w:val="en-US"/>
        </w:rPr>
      </w:pPr>
      <w:r w:rsidRPr="004422F8">
        <w:rPr>
          <w:rStyle w:val="EndnoteReference"/>
        </w:rPr>
        <w:endnoteRef/>
      </w:r>
      <w:r w:rsidRPr="004422F8">
        <w:t xml:space="preserve"> </w:t>
      </w:r>
      <w:r w:rsidRPr="004422F8">
        <w:rPr>
          <w:lang w:val="en-US"/>
        </w:rPr>
        <w:t xml:space="preserve">For a broader discussion, see G Williams and D Hume, </w:t>
      </w:r>
      <w:r w:rsidRPr="004422F8">
        <w:rPr>
          <w:i/>
          <w:lang w:val="en-US"/>
        </w:rPr>
        <w:t xml:space="preserve">Human Rights Under  the Australian Constitution </w:t>
      </w:r>
      <w:r w:rsidRPr="004422F8">
        <w:rPr>
          <w:lang w:val="en-US"/>
        </w:rPr>
        <w:t>(2</w:t>
      </w:r>
      <w:r w:rsidRPr="004422F8">
        <w:rPr>
          <w:vertAlign w:val="superscript"/>
          <w:lang w:val="en-US"/>
        </w:rPr>
        <w:t>nd</w:t>
      </w:r>
      <w:r w:rsidRPr="004422F8">
        <w:rPr>
          <w:lang w:val="en-US"/>
        </w:rPr>
        <w:t xml:space="preserve"> edition), Oxford University Press (2013).</w:t>
      </w:r>
    </w:p>
  </w:endnote>
  <w:endnote w:id="5">
    <w:p w:rsidR="00CC4002" w:rsidRPr="004422F8" w:rsidRDefault="00CC4002" w:rsidP="00E915BD">
      <w:pPr>
        <w:pStyle w:val="EndnoteText"/>
        <w:rPr>
          <w:lang w:val="en-US"/>
        </w:rPr>
      </w:pPr>
      <w:r w:rsidRPr="004422F8">
        <w:rPr>
          <w:rStyle w:val="EndnoteReference"/>
        </w:rPr>
        <w:endnoteRef/>
      </w:r>
      <w:r w:rsidRPr="004422F8">
        <w:t xml:space="preserve"> </w:t>
      </w:r>
      <w:r w:rsidRPr="004422F8">
        <w:rPr>
          <w:lang w:val="en-US"/>
        </w:rPr>
        <w:t xml:space="preserve">While there is no national statutory charter of rights, the Australian Capital Territory has enacted the </w:t>
      </w:r>
      <w:r w:rsidRPr="004422F8">
        <w:rPr>
          <w:i/>
          <w:lang w:val="en-US"/>
        </w:rPr>
        <w:t>Human Rights Act 2004</w:t>
      </w:r>
      <w:r w:rsidRPr="004422F8">
        <w:rPr>
          <w:lang w:val="en-US"/>
        </w:rPr>
        <w:t xml:space="preserve"> (ACT) and Victoria has enacted the </w:t>
      </w:r>
      <w:r w:rsidRPr="004422F8">
        <w:rPr>
          <w:i/>
          <w:lang w:val="en-US"/>
        </w:rPr>
        <w:t xml:space="preserve">Charter of Human Rights and Responsibilities Act 2006 </w:t>
      </w:r>
      <w:r w:rsidRPr="004422F8">
        <w:rPr>
          <w:lang w:val="en-US"/>
        </w:rPr>
        <w:t>(Vic).</w:t>
      </w:r>
    </w:p>
  </w:endnote>
  <w:endnote w:id="6">
    <w:p w:rsidR="00CC4002" w:rsidRPr="004422F8" w:rsidRDefault="00CC4002">
      <w:pPr>
        <w:pStyle w:val="EndnoteText"/>
      </w:pPr>
      <w:r w:rsidRPr="004422F8">
        <w:rPr>
          <w:rStyle w:val="EndnoteReference"/>
        </w:rPr>
        <w:endnoteRef/>
      </w:r>
      <w:r>
        <w:t xml:space="preserve"> See the</w:t>
      </w:r>
      <w:r w:rsidRPr="004422F8">
        <w:t xml:space="preserve"> </w:t>
      </w:r>
      <w:r w:rsidRPr="004422F8">
        <w:rPr>
          <w:i/>
        </w:rPr>
        <w:t xml:space="preserve">Human Rights (Parliamentary Scrutiny) Act 2011 </w:t>
      </w:r>
      <w:r>
        <w:t>(</w:t>
      </w:r>
      <w:proofErr w:type="spellStart"/>
      <w:r>
        <w:t>Cth</w:t>
      </w:r>
      <w:proofErr w:type="spellEnd"/>
      <w:r>
        <w:t xml:space="preserve">), </w:t>
      </w:r>
      <w:proofErr w:type="spellStart"/>
      <w:r>
        <w:t>ss</w:t>
      </w:r>
      <w:proofErr w:type="spellEnd"/>
      <w:r>
        <w:t xml:space="preserve"> 4 and 7, which provides for the appointment of a </w:t>
      </w:r>
      <w:r w:rsidRPr="004C0FD5">
        <w:t>Parliamentary Joint Committee on Human Rights to examine and report to Parliament on the compatibility of bills, legislative instruments and existing legislation with human rights; and undertake inquiries on human rights matters r</w:t>
      </w:r>
      <w:r>
        <w:t>eferred by the Attorney-General.</w:t>
      </w:r>
    </w:p>
  </w:endnote>
  <w:endnote w:id="7">
    <w:p w:rsidR="00CC4002" w:rsidRPr="004422F8" w:rsidRDefault="00CC4002" w:rsidP="00B52BA1">
      <w:pPr>
        <w:pStyle w:val="EndnoteText"/>
        <w:rPr>
          <w:lang w:val="en-US"/>
        </w:rPr>
      </w:pPr>
      <w:r w:rsidRPr="004422F8">
        <w:rPr>
          <w:rStyle w:val="EndnoteReference"/>
        </w:rPr>
        <w:endnoteRef/>
      </w:r>
      <w:r w:rsidRPr="004422F8">
        <w:t xml:space="preserve"> For example, s</w:t>
      </w:r>
      <w:proofErr w:type="spellStart"/>
      <w:r w:rsidRPr="004422F8">
        <w:rPr>
          <w:lang w:val="en-US"/>
        </w:rPr>
        <w:t>ee</w:t>
      </w:r>
      <w:proofErr w:type="spellEnd"/>
      <w:r w:rsidRPr="004422F8">
        <w:rPr>
          <w:lang w:val="en-US"/>
        </w:rPr>
        <w:t xml:space="preserve"> Parliamentary Joint Committee on Human Rights, </w:t>
      </w:r>
      <w:r w:rsidRPr="004422F8">
        <w:rPr>
          <w:i/>
          <w:lang w:val="en-US"/>
        </w:rPr>
        <w:t>Practice Note 2 (interim) Civil Penalties</w:t>
      </w:r>
      <w:r w:rsidRPr="004422F8">
        <w:rPr>
          <w:lang w:val="en-US"/>
        </w:rPr>
        <w:t xml:space="preserve">, Commonwealth of Australia (2013); Parliamentary Joint Committee on Human Rights, </w:t>
      </w:r>
      <w:r w:rsidRPr="004422F8">
        <w:rPr>
          <w:i/>
          <w:lang w:val="en-US"/>
        </w:rPr>
        <w:t>Annual Report 2012-2013</w:t>
      </w:r>
      <w:r w:rsidRPr="004422F8">
        <w:rPr>
          <w:lang w:val="en-US"/>
        </w:rPr>
        <w:t>, Co</w:t>
      </w:r>
      <w:r>
        <w:rPr>
          <w:lang w:val="en-US"/>
        </w:rPr>
        <w:t>mmonwealth of Australia (2013).</w:t>
      </w:r>
    </w:p>
  </w:endnote>
  <w:endnote w:id="8">
    <w:p w:rsidR="00CC4002" w:rsidRPr="00BF2B22" w:rsidRDefault="00CC4002" w:rsidP="00185A1C">
      <w:pPr>
        <w:pStyle w:val="EndnoteText"/>
        <w:rPr>
          <w:lang w:val="en-US"/>
        </w:rPr>
      </w:pPr>
      <w:r w:rsidRPr="00BF2B22">
        <w:rPr>
          <w:rStyle w:val="EndnoteReference"/>
        </w:rPr>
        <w:endnoteRef/>
      </w:r>
      <w:r w:rsidRPr="00BF2B22">
        <w:t xml:space="preserve"> </w:t>
      </w:r>
      <w:r w:rsidRPr="006D7572">
        <w:rPr>
          <w:rFonts w:cs="Arial"/>
        </w:rPr>
        <w:t xml:space="preserve">The </w:t>
      </w:r>
      <w:r w:rsidRPr="004A5202">
        <w:t>rights</w:t>
      </w:r>
      <w:r w:rsidRPr="006D7572">
        <w:rPr>
          <w:rFonts w:cs="Arial"/>
        </w:rPr>
        <w:t xml:space="preserve"> </w:t>
      </w:r>
      <w:r>
        <w:rPr>
          <w:rFonts w:cs="Arial"/>
        </w:rPr>
        <w:t xml:space="preserve">are set out in </w:t>
      </w:r>
      <w:r w:rsidRPr="006D7572">
        <w:rPr>
          <w:rFonts w:cs="Arial"/>
        </w:rPr>
        <w:t>Article</w:t>
      </w:r>
      <w:r>
        <w:rPr>
          <w:rFonts w:cs="Arial"/>
        </w:rPr>
        <w:t>s</w:t>
      </w:r>
      <w:r w:rsidRPr="006D7572">
        <w:rPr>
          <w:rFonts w:cs="Arial"/>
        </w:rPr>
        <w:t xml:space="preserve"> 19 </w:t>
      </w:r>
      <w:r>
        <w:rPr>
          <w:rFonts w:cs="Arial"/>
        </w:rPr>
        <w:t xml:space="preserve">and 20 </w:t>
      </w:r>
      <w:r w:rsidRPr="006D7572">
        <w:rPr>
          <w:rFonts w:cs="Arial"/>
        </w:rPr>
        <w:t xml:space="preserve">of the </w:t>
      </w:r>
      <w:r w:rsidRPr="006D7572">
        <w:rPr>
          <w:rFonts w:cs="Arial"/>
          <w:i/>
        </w:rPr>
        <w:t>International Covenant on Civil and Political Rights</w:t>
      </w:r>
      <w:r>
        <w:rPr>
          <w:rFonts w:cs="Arial"/>
        </w:rPr>
        <w:t xml:space="preserve">, </w:t>
      </w:r>
      <w:r w:rsidRPr="00BF2B22">
        <w:rPr>
          <w:lang w:val="en-US"/>
        </w:rPr>
        <w:t>Article</w:t>
      </w:r>
      <w:r>
        <w:rPr>
          <w:lang w:val="en-US"/>
        </w:rPr>
        <w:t>s</w:t>
      </w:r>
      <w:r w:rsidRPr="00BF2B22">
        <w:rPr>
          <w:lang w:val="en-US"/>
        </w:rPr>
        <w:t xml:space="preserve"> </w:t>
      </w:r>
      <w:r>
        <w:rPr>
          <w:lang w:val="en-US"/>
        </w:rPr>
        <w:t xml:space="preserve">4 and </w:t>
      </w:r>
      <w:r w:rsidRPr="00BF2B22">
        <w:rPr>
          <w:lang w:val="en-US"/>
        </w:rPr>
        <w:t>5(d</w:t>
      </w:r>
      <w:proofErr w:type="gramStart"/>
      <w:r w:rsidRPr="00BF2B22">
        <w:rPr>
          <w:lang w:val="en-US"/>
        </w:rPr>
        <w:t>)(</w:t>
      </w:r>
      <w:proofErr w:type="gramEnd"/>
      <w:r w:rsidRPr="00BF2B22">
        <w:rPr>
          <w:lang w:val="en-US"/>
        </w:rPr>
        <w:t xml:space="preserve">viii) of the </w:t>
      </w:r>
      <w:r w:rsidRPr="00BF2B22">
        <w:rPr>
          <w:i/>
          <w:lang w:val="en-US"/>
        </w:rPr>
        <w:t>International Convention on Elimination of All Forms of Racial Discrimination</w:t>
      </w:r>
      <w:r w:rsidRPr="00BF2B22">
        <w:rPr>
          <w:lang w:val="en-US"/>
        </w:rPr>
        <w:t xml:space="preserve">, Articles 12 and 13 of the </w:t>
      </w:r>
      <w:r w:rsidRPr="00BF2B22">
        <w:rPr>
          <w:i/>
          <w:lang w:val="en-US"/>
        </w:rPr>
        <w:t>Convention on the Rights of the Child</w:t>
      </w:r>
      <w:r w:rsidRPr="00BF2B22">
        <w:rPr>
          <w:lang w:val="en-US"/>
        </w:rPr>
        <w:t xml:space="preserve">, and Article 21 of the </w:t>
      </w:r>
      <w:r w:rsidRPr="00BF2B22">
        <w:rPr>
          <w:i/>
          <w:lang w:val="en-US"/>
        </w:rPr>
        <w:t>Convention on the Rights of Person with Disabilities</w:t>
      </w:r>
      <w:r w:rsidRPr="00BF2B22">
        <w:rPr>
          <w:lang w:val="en-US"/>
        </w:rPr>
        <w:t>.</w:t>
      </w:r>
    </w:p>
  </w:endnote>
  <w:endnote w:id="9">
    <w:p w:rsidR="00CC4002" w:rsidRDefault="00CC4002" w:rsidP="00185A1C">
      <w:pPr>
        <w:pStyle w:val="EndnoteText"/>
      </w:pPr>
      <w:r>
        <w:rPr>
          <w:rStyle w:val="EndnoteReference"/>
        </w:rPr>
        <w:endnoteRef/>
      </w:r>
      <w:r>
        <w:t xml:space="preserve"> F La Rue, </w:t>
      </w:r>
      <w:r w:rsidRPr="00007C1B">
        <w:rPr>
          <w:i/>
        </w:rPr>
        <w:t>Annual</w:t>
      </w:r>
      <w:r>
        <w:t xml:space="preserve"> </w:t>
      </w:r>
      <w:r w:rsidRPr="00C8477D">
        <w:rPr>
          <w:i/>
        </w:rPr>
        <w:t>Report of the Special Rapporteur on the promotion and protection of the right to freedom of expression and opinion</w:t>
      </w:r>
      <w:r>
        <w:t xml:space="preserve">, UN Doc: A/HRC/14/23, 20 April 2010, </w:t>
      </w:r>
      <w:proofErr w:type="spellStart"/>
      <w:r>
        <w:t>para</w:t>
      </w:r>
      <w:proofErr w:type="spellEnd"/>
      <w:r>
        <w:t xml:space="preserve"> 27.</w:t>
      </w:r>
    </w:p>
  </w:endnote>
  <w:endnote w:id="10">
    <w:p w:rsidR="00CC4002" w:rsidRPr="00BA7DE9" w:rsidRDefault="00CC4002">
      <w:pPr>
        <w:pStyle w:val="EndnoteText"/>
      </w:pPr>
      <w:r>
        <w:rPr>
          <w:rStyle w:val="EndnoteReference"/>
        </w:rPr>
        <w:endnoteRef/>
      </w:r>
      <w:r>
        <w:t xml:space="preserve"> </w:t>
      </w:r>
      <w:proofErr w:type="gramStart"/>
      <w:r w:rsidRPr="006D7572">
        <w:rPr>
          <w:rFonts w:cs="Arial"/>
        </w:rPr>
        <w:t>Article</w:t>
      </w:r>
      <w:r>
        <w:rPr>
          <w:rFonts w:cs="Arial"/>
        </w:rPr>
        <w:t xml:space="preserve"> 20(2) </w:t>
      </w:r>
      <w:r w:rsidRPr="006D7572">
        <w:rPr>
          <w:rFonts w:cs="Arial"/>
        </w:rPr>
        <w:t xml:space="preserve">of the </w:t>
      </w:r>
      <w:r w:rsidRPr="006D7572">
        <w:rPr>
          <w:rFonts w:cs="Arial"/>
          <w:i/>
        </w:rPr>
        <w:t>International Covenant on Civil and Political Rights</w:t>
      </w:r>
      <w:r>
        <w:rPr>
          <w:rFonts w:cs="Arial"/>
          <w:i/>
        </w:rPr>
        <w:t>.</w:t>
      </w:r>
      <w:proofErr w:type="gramEnd"/>
    </w:p>
  </w:endnote>
  <w:endnote w:id="11">
    <w:p w:rsidR="00CC4002" w:rsidRPr="006C2EFC" w:rsidRDefault="00CC4002" w:rsidP="00185A1C">
      <w:pPr>
        <w:pStyle w:val="EndnoteText"/>
        <w:jc w:val="both"/>
        <w:rPr>
          <w:sz w:val="22"/>
          <w:szCs w:val="22"/>
        </w:rPr>
      </w:pPr>
      <w:r w:rsidRPr="00BF2B22">
        <w:rPr>
          <w:rStyle w:val="EndnoteReference"/>
        </w:rPr>
        <w:endnoteRef/>
      </w:r>
      <w:r w:rsidRPr="00BF2B22">
        <w:t xml:space="preserve"> </w:t>
      </w:r>
      <w:proofErr w:type="gramStart"/>
      <w:r w:rsidRPr="00BF2B22">
        <w:rPr>
          <w:rStyle w:val="Emphasis"/>
          <w:lang w:val="en"/>
        </w:rPr>
        <w:t>Lange v Australian Broadcasting Corporation</w:t>
      </w:r>
      <w:r w:rsidRPr="00BF2B22">
        <w:rPr>
          <w:lang w:val="en"/>
        </w:rPr>
        <w:t xml:space="preserve"> (1997) ALR 96.</w:t>
      </w:r>
      <w:proofErr w:type="gramEnd"/>
    </w:p>
  </w:endnote>
  <w:endnote w:id="12">
    <w:p w:rsidR="00CC4002" w:rsidRPr="00E56D8D" w:rsidRDefault="00CC4002" w:rsidP="00185A1C">
      <w:pPr>
        <w:pStyle w:val="EndnoteText"/>
        <w:rPr>
          <w:rFonts w:cs="Arial"/>
        </w:rPr>
      </w:pPr>
      <w:r w:rsidRPr="00E56D8D">
        <w:rPr>
          <w:rStyle w:val="EndnoteReference"/>
          <w:rFonts w:cs="Arial"/>
        </w:rPr>
        <w:endnoteRef/>
      </w:r>
      <w:r w:rsidRPr="00E56D8D">
        <w:rPr>
          <w:rFonts w:cs="Arial"/>
        </w:rPr>
        <w:t xml:space="preserve"> </w:t>
      </w:r>
      <w:r w:rsidRPr="006D7572">
        <w:rPr>
          <w:rFonts w:cs="Arial"/>
        </w:rPr>
        <w:t xml:space="preserve">The </w:t>
      </w:r>
      <w:r>
        <w:t>right is</w:t>
      </w:r>
      <w:r>
        <w:rPr>
          <w:rFonts w:cs="Arial"/>
        </w:rPr>
        <w:t xml:space="preserve"> set out in Article 18 of the </w:t>
      </w:r>
      <w:r w:rsidRPr="00DD1B51">
        <w:rPr>
          <w:rFonts w:cs="Arial"/>
          <w:i/>
        </w:rPr>
        <w:t>International Covenant on Civil and Political Rights</w:t>
      </w:r>
      <w:r>
        <w:rPr>
          <w:rFonts w:cs="Arial"/>
        </w:rPr>
        <w:t xml:space="preserve">, </w:t>
      </w:r>
      <w:r w:rsidRPr="00E56D8D">
        <w:rPr>
          <w:rFonts w:cs="Arial"/>
        </w:rPr>
        <w:t>Article 5(d</w:t>
      </w:r>
      <w:proofErr w:type="gramStart"/>
      <w:r w:rsidRPr="00E56D8D">
        <w:rPr>
          <w:rFonts w:cs="Arial"/>
        </w:rPr>
        <w:t>)(</w:t>
      </w:r>
      <w:proofErr w:type="gramEnd"/>
      <w:r w:rsidRPr="00E56D8D">
        <w:rPr>
          <w:rFonts w:cs="Arial"/>
        </w:rPr>
        <w:t xml:space="preserve">vii) of the </w:t>
      </w:r>
      <w:r w:rsidRPr="00762D01">
        <w:rPr>
          <w:rFonts w:cs="Arial"/>
          <w:i/>
        </w:rPr>
        <w:t>International Convention</w:t>
      </w:r>
      <w:r w:rsidRPr="00E56D8D">
        <w:rPr>
          <w:rFonts w:cs="Arial"/>
          <w:i/>
        </w:rPr>
        <w:t xml:space="preserve"> on the Elimination of All Forms of Racial Discrimination</w:t>
      </w:r>
      <w:r w:rsidRPr="00E56D8D">
        <w:rPr>
          <w:rFonts w:cs="Arial"/>
        </w:rPr>
        <w:t xml:space="preserve"> and Article 14 of the </w:t>
      </w:r>
      <w:r w:rsidRPr="00E56D8D">
        <w:rPr>
          <w:rFonts w:cs="Arial"/>
          <w:i/>
        </w:rPr>
        <w:t>Convention on the Rights of the Child</w:t>
      </w:r>
      <w:r w:rsidRPr="00E56D8D">
        <w:rPr>
          <w:rFonts w:cs="Arial"/>
        </w:rPr>
        <w:t xml:space="preserve">. </w:t>
      </w:r>
    </w:p>
  </w:endnote>
  <w:endnote w:id="13">
    <w:p w:rsidR="00CC4002" w:rsidRPr="00EA130B" w:rsidRDefault="00CC4002" w:rsidP="00185A1C">
      <w:pPr>
        <w:pStyle w:val="EndnoteText"/>
        <w:rPr>
          <w:lang w:val="en-US"/>
        </w:rPr>
      </w:pPr>
      <w:r w:rsidRPr="00E56D8D">
        <w:rPr>
          <w:rStyle w:val="EndnoteReference"/>
        </w:rPr>
        <w:endnoteRef/>
      </w:r>
      <w:r w:rsidRPr="00E56D8D">
        <w:t xml:space="preserve"> </w:t>
      </w:r>
      <w:r w:rsidRPr="00E56D8D">
        <w:rPr>
          <w:rFonts w:cs="Arial"/>
        </w:rPr>
        <w:t>The High Court of Australia has generally adopted a narrow view of the scope of section 116. For example, it held that a law providing for financial aid to the educational activities of church schools was not a law for establishing a religion, even though the law might indirectly assist the practice of religion, and accordingly, the law was not in breach of section 116 (</w:t>
      </w:r>
      <w:r w:rsidRPr="00E56D8D">
        <w:rPr>
          <w:rFonts w:cs="Arial"/>
          <w:i/>
        </w:rPr>
        <w:t xml:space="preserve">Attorney-General (Victoria); Ex </w:t>
      </w:r>
      <w:proofErr w:type="spellStart"/>
      <w:r w:rsidRPr="00E56D8D">
        <w:rPr>
          <w:rFonts w:cs="Arial"/>
          <w:i/>
        </w:rPr>
        <w:t>rel</w:t>
      </w:r>
      <w:proofErr w:type="spellEnd"/>
      <w:r w:rsidRPr="00E56D8D">
        <w:rPr>
          <w:rFonts w:cs="Arial"/>
          <w:i/>
        </w:rPr>
        <w:t xml:space="preserve"> Black v The Commonwealth</w:t>
      </w:r>
      <w:r w:rsidRPr="00E56D8D">
        <w:rPr>
          <w:rFonts w:cs="Arial"/>
        </w:rPr>
        <w:t xml:space="preserve"> (1981) 146 CLR 559).</w:t>
      </w:r>
    </w:p>
  </w:endnote>
  <w:endnote w:id="14">
    <w:p w:rsidR="00CC4002" w:rsidRPr="00AA1C82" w:rsidRDefault="00CC4002" w:rsidP="00185A1C">
      <w:pPr>
        <w:pStyle w:val="EndnoteText"/>
      </w:pPr>
      <w:r>
        <w:rPr>
          <w:rStyle w:val="EndnoteReference"/>
        </w:rPr>
        <w:endnoteRef/>
      </w:r>
      <w:r>
        <w:t xml:space="preserve"> </w:t>
      </w:r>
      <w:proofErr w:type="gramStart"/>
      <w:r w:rsidRPr="00DA0A5A">
        <w:rPr>
          <w:rFonts w:cs="Arial"/>
          <w:i/>
        </w:rPr>
        <w:t>Sex Discrimination Act 1984</w:t>
      </w:r>
      <w:r>
        <w:rPr>
          <w:rFonts w:cs="Arial"/>
          <w:i/>
        </w:rPr>
        <w:t xml:space="preserve"> </w:t>
      </w:r>
      <w:r w:rsidRPr="00AA1C82">
        <w:rPr>
          <w:rFonts w:cs="Arial"/>
        </w:rPr>
        <w:t>(</w:t>
      </w:r>
      <w:proofErr w:type="spellStart"/>
      <w:r w:rsidRPr="00AA1C82">
        <w:rPr>
          <w:rFonts w:cs="Arial"/>
        </w:rPr>
        <w:t>Cth</w:t>
      </w:r>
      <w:proofErr w:type="spellEnd"/>
      <w:r w:rsidRPr="00AA1C82">
        <w:rPr>
          <w:rFonts w:cs="Arial"/>
        </w:rPr>
        <w:t xml:space="preserve">), </w:t>
      </w:r>
      <w:proofErr w:type="spellStart"/>
      <w:r w:rsidRPr="00AA1C82">
        <w:rPr>
          <w:rFonts w:cs="Arial"/>
        </w:rPr>
        <w:t>ss</w:t>
      </w:r>
      <w:proofErr w:type="spellEnd"/>
      <w:r>
        <w:rPr>
          <w:rFonts w:cs="Arial"/>
          <w:i/>
        </w:rPr>
        <w:t xml:space="preserve"> </w:t>
      </w:r>
      <w:r>
        <w:rPr>
          <w:rFonts w:cs="Arial"/>
        </w:rPr>
        <w:t>37 and 38.</w:t>
      </w:r>
      <w:proofErr w:type="gramEnd"/>
    </w:p>
  </w:endnote>
  <w:endnote w:id="15">
    <w:p w:rsidR="00CC4002" w:rsidRPr="005A1DBB" w:rsidRDefault="00CC4002" w:rsidP="005A1DBB">
      <w:pPr>
        <w:pStyle w:val="EndnoteText"/>
      </w:pPr>
      <w:r w:rsidRPr="00E56D8D">
        <w:rPr>
          <w:rStyle w:val="EndnoteReference"/>
          <w:rFonts w:cs="Arial"/>
        </w:rPr>
        <w:endnoteRef/>
      </w:r>
      <w:r>
        <w:rPr>
          <w:rFonts w:cs="Arial"/>
        </w:rPr>
        <w:t xml:space="preserve"> The right is set out in</w:t>
      </w:r>
      <w:r w:rsidRPr="00E56D8D">
        <w:rPr>
          <w:rFonts w:cs="Arial"/>
        </w:rPr>
        <w:t xml:space="preserve"> </w:t>
      </w:r>
      <w:r>
        <w:rPr>
          <w:rFonts w:cs="Arial"/>
        </w:rPr>
        <w:t xml:space="preserve">Article 22 of the </w:t>
      </w:r>
      <w:r w:rsidRPr="000D699F">
        <w:rPr>
          <w:rFonts w:cs="Arial"/>
          <w:i/>
        </w:rPr>
        <w:t>International Covenant on Civil and Political Rights</w:t>
      </w:r>
      <w:r>
        <w:rPr>
          <w:rFonts w:cs="Arial"/>
        </w:rPr>
        <w:t>, Article 8(1</w:t>
      </w:r>
      <w:proofErr w:type="gramStart"/>
      <w:r>
        <w:rPr>
          <w:rFonts w:cs="Arial"/>
        </w:rPr>
        <w:t>)(</w:t>
      </w:r>
      <w:proofErr w:type="gramEnd"/>
      <w:r>
        <w:rPr>
          <w:rFonts w:cs="Arial"/>
        </w:rPr>
        <w:t xml:space="preserve">a) of the </w:t>
      </w:r>
      <w:r w:rsidRPr="000D699F">
        <w:rPr>
          <w:rFonts w:cs="Arial"/>
          <w:i/>
        </w:rPr>
        <w:t>International Covenant on Economic, Social and Cultural Rights</w:t>
      </w:r>
      <w:r>
        <w:rPr>
          <w:rFonts w:cs="Arial"/>
        </w:rPr>
        <w:t xml:space="preserve">, </w:t>
      </w:r>
      <w:r w:rsidRPr="00E56D8D">
        <w:rPr>
          <w:rFonts w:cs="Arial"/>
        </w:rPr>
        <w:t xml:space="preserve">Article 5 of the </w:t>
      </w:r>
      <w:r w:rsidRPr="00E56D8D">
        <w:rPr>
          <w:rFonts w:cs="Arial"/>
          <w:i/>
        </w:rPr>
        <w:t>Convention on the Elimination of All Forms of Racial Discrimination</w:t>
      </w:r>
      <w:r w:rsidRPr="00E56D8D">
        <w:rPr>
          <w:rFonts w:cs="Arial"/>
        </w:rPr>
        <w:t xml:space="preserve">, Article 15 of the </w:t>
      </w:r>
      <w:r w:rsidRPr="00E56D8D">
        <w:rPr>
          <w:rFonts w:cs="Arial"/>
          <w:i/>
        </w:rPr>
        <w:t>Convention on the Rights of the Child</w:t>
      </w:r>
      <w:r w:rsidRPr="00E56D8D">
        <w:rPr>
          <w:rFonts w:cs="Arial"/>
        </w:rPr>
        <w:t xml:space="preserve"> and Article 21 of the </w:t>
      </w:r>
      <w:r w:rsidRPr="00E56D8D">
        <w:rPr>
          <w:rFonts w:cs="Arial"/>
          <w:i/>
        </w:rPr>
        <w:t>Convention on the Rights of Persons with Disabilities</w:t>
      </w:r>
      <w:r w:rsidRPr="00E56D8D">
        <w:rPr>
          <w:rFonts w:cs="Arial"/>
        </w:rPr>
        <w:t>.</w:t>
      </w:r>
    </w:p>
  </w:endnote>
  <w:endnote w:id="16">
    <w:p w:rsidR="00CC4002" w:rsidRDefault="00CC4002" w:rsidP="00185A1C">
      <w:pPr>
        <w:pStyle w:val="EndnoteText"/>
      </w:pPr>
      <w:r>
        <w:rPr>
          <w:rStyle w:val="EndnoteReference"/>
        </w:rPr>
        <w:endnoteRef/>
      </w:r>
      <w:r>
        <w:t xml:space="preserve"> </w:t>
      </w:r>
      <w:proofErr w:type="gramStart"/>
      <w:r>
        <w:rPr>
          <w:lang w:val="en-US"/>
        </w:rPr>
        <w:t xml:space="preserve">Parliamentary Joint Committee on Human Rights, </w:t>
      </w:r>
      <w:r w:rsidRPr="001D2340">
        <w:rPr>
          <w:i/>
          <w:lang w:val="en-US"/>
        </w:rPr>
        <w:t>Guide to Human Rights</w:t>
      </w:r>
      <w:r w:rsidRPr="003F0777">
        <w:rPr>
          <w:lang w:val="en-US"/>
        </w:rPr>
        <w:t xml:space="preserve">, </w:t>
      </w:r>
      <w:r>
        <w:rPr>
          <w:lang w:val="en-US"/>
        </w:rPr>
        <w:t>Commonwealth of Australia (2014), p 39.</w:t>
      </w:r>
      <w:proofErr w:type="gramEnd"/>
    </w:p>
  </w:endnote>
  <w:endnote w:id="17">
    <w:p w:rsidR="00CC4002" w:rsidRDefault="00CC4002" w:rsidP="00185A1C">
      <w:pPr>
        <w:pStyle w:val="EndnoteText"/>
      </w:pPr>
      <w:r w:rsidRPr="00AB0072">
        <w:rPr>
          <w:rStyle w:val="EndnoteReference"/>
        </w:rPr>
        <w:endnoteRef/>
      </w:r>
      <w:r w:rsidRPr="00AB0072">
        <w:t xml:space="preserve"> Attorney-General’s Department, </w:t>
      </w:r>
      <w:r w:rsidRPr="00AB0072">
        <w:rPr>
          <w:i/>
        </w:rPr>
        <w:t>Right to Work and Rights at Work</w:t>
      </w:r>
      <w:r w:rsidRPr="00AB0072">
        <w:t xml:space="preserve">. At </w:t>
      </w:r>
      <w:r w:rsidR="008B6823" w:rsidRPr="008B6823">
        <w:t>http://www.ag.gov.au/RightsAndProtections/HumanRights/PublicSectorGuidanceSheets/Pages/Righttoworkandrightsatwork.aspx</w:t>
      </w:r>
      <w:r w:rsidRPr="00AB0072">
        <w:t xml:space="preserve"> </w:t>
      </w:r>
      <w:r w:rsidR="008B6823">
        <w:t xml:space="preserve">(viewed 26 August </w:t>
      </w:r>
      <w:r>
        <w:t>2014).</w:t>
      </w:r>
    </w:p>
  </w:endnote>
  <w:endnote w:id="18">
    <w:p w:rsidR="00CC4002" w:rsidRPr="00E56D8D" w:rsidRDefault="00CC4002" w:rsidP="00185A1C">
      <w:pPr>
        <w:pStyle w:val="EndnoteText"/>
        <w:jc w:val="both"/>
        <w:rPr>
          <w:rFonts w:cs="Arial"/>
        </w:rPr>
      </w:pPr>
      <w:r w:rsidRPr="00E56D8D">
        <w:rPr>
          <w:rStyle w:val="EndnoteReference"/>
          <w:rFonts w:cs="Arial"/>
        </w:rPr>
        <w:endnoteRef/>
      </w:r>
      <w:r w:rsidRPr="00E56D8D">
        <w:rPr>
          <w:rFonts w:cs="Arial"/>
        </w:rPr>
        <w:t xml:space="preserve"> </w:t>
      </w:r>
      <w:hyperlink r:id="rId1" w:history="1">
        <w:proofErr w:type="gramStart"/>
        <w:r w:rsidRPr="00E56D8D">
          <w:rPr>
            <w:rFonts w:cs="Arial"/>
            <w:i/>
            <w:lang w:val="en"/>
          </w:rPr>
          <w:t>Unions NSW v New South Wales</w:t>
        </w:r>
      </w:hyperlink>
      <w:r w:rsidRPr="00E56D8D">
        <w:rPr>
          <w:rFonts w:cs="Arial"/>
          <w:lang w:val="en"/>
        </w:rPr>
        <w:t xml:space="preserve"> [2013] HCA 58.</w:t>
      </w:r>
      <w:proofErr w:type="gramEnd"/>
    </w:p>
  </w:endnote>
  <w:endnote w:id="19">
    <w:p w:rsidR="00CC4002" w:rsidRPr="00E56D8D" w:rsidRDefault="00CC4002" w:rsidP="00185A1C">
      <w:pPr>
        <w:pStyle w:val="EndnoteText"/>
        <w:rPr>
          <w:lang w:val="en-US"/>
        </w:rPr>
      </w:pPr>
      <w:r w:rsidRPr="00E56D8D">
        <w:rPr>
          <w:rStyle w:val="EndnoteReference"/>
        </w:rPr>
        <w:endnoteRef/>
      </w:r>
      <w:r w:rsidRPr="00E56D8D">
        <w:t xml:space="preserve"> </w:t>
      </w:r>
      <w:r>
        <w:t xml:space="preserve">The right is set out in Article 17 of the </w:t>
      </w:r>
      <w:r w:rsidRPr="007E2C33">
        <w:rPr>
          <w:i/>
        </w:rPr>
        <w:t>Universal Declaration on Human Rights</w:t>
      </w:r>
      <w:r>
        <w:t xml:space="preserve">, </w:t>
      </w:r>
      <w:r w:rsidRPr="00E56D8D">
        <w:rPr>
          <w:rFonts w:cs="Arial"/>
        </w:rPr>
        <w:t xml:space="preserve">Article 1 of the </w:t>
      </w:r>
      <w:r w:rsidRPr="00E56D8D">
        <w:rPr>
          <w:rFonts w:cs="Arial"/>
          <w:i/>
        </w:rPr>
        <w:t>European Convention on Human Rights</w:t>
      </w:r>
      <w:r w:rsidRPr="00E56D8D">
        <w:rPr>
          <w:rFonts w:cs="Arial"/>
        </w:rPr>
        <w:t xml:space="preserve">, Article 21 of the </w:t>
      </w:r>
      <w:r w:rsidRPr="00E56D8D">
        <w:rPr>
          <w:rFonts w:cs="Arial"/>
          <w:i/>
        </w:rPr>
        <w:t>Inter-American Convention on Human Rights</w:t>
      </w:r>
      <w:r>
        <w:rPr>
          <w:rFonts w:cs="Arial"/>
        </w:rPr>
        <w:t xml:space="preserve"> </w:t>
      </w:r>
      <w:r w:rsidRPr="00E56D8D">
        <w:rPr>
          <w:rFonts w:cs="Arial"/>
        </w:rPr>
        <w:t xml:space="preserve">and Article 14 of the </w:t>
      </w:r>
      <w:r w:rsidRPr="00E56D8D">
        <w:rPr>
          <w:rFonts w:cs="Arial"/>
          <w:i/>
        </w:rPr>
        <w:t>African Charter on Human and Peoples Rights.</w:t>
      </w:r>
    </w:p>
  </w:endnote>
  <w:endnote w:id="20">
    <w:p w:rsidR="00CC4002" w:rsidRPr="00E56D8D" w:rsidRDefault="00CC4002" w:rsidP="00185A1C">
      <w:pPr>
        <w:pStyle w:val="EndnoteText"/>
      </w:pPr>
      <w:r w:rsidRPr="00E56D8D">
        <w:rPr>
          <w:rStyle w:val="EndnoteReference"/>
        </w:rPr>
        <w:endnoteRef/>
      </w:r>
      <w:r w:rsidRPr="00E56D8D">
        <w:t xml:space="preserve"> </w:t>
      </w:r>
      <w:proofErr w:type="gramStart"/>
      <w:r w:rsidRPr="00E56D8D">
        <w:rPr>
          <w:rFonts w:cs="Adobe Garamond Pro"/>
          <w:i/>
          <w:iCs/>
          <w:color w:val="000000"/>
        </w:rPr>
        <w:t xml:space="preserve">Durham Holdings Pty Ltd v New South Wales </w:t>
      </w:r>
      <w:r w:rsidRPr="00E56D8D">
        <w:rPr>
          <w:rFonts w:cs="Adobe Garamond Pro"/>
          <w:color w:val="000000"/>
        </w:rPr>
        <w:t>(2001) 205 CLR 399.</w:t>
      </w:r>
      <w:proofErr w:type="gramEnd"/>
    </w:p>
  </w:endnote>
  <w:endnote w:id="21">
    <w:p w:rsidR="00CC4002" w:rsidRPr="00E56D8D" w:rsidRDefault="00CC4002" w:rsidP="00185A1C">
      <w:pPr>
        <w:pStyle w:val="EndnoteText"/>
      </w:pPr>
      <w:r w:rsidRPr="00E56D8D">
        <w:rPr>
          <w:rStyle w:val="EndnoteReference"/>
        </w:rPr>
        <w:endnoteRef/>
      </w:r>
      <w:r w:rsidRPr="00E56D8D">
        <w:t xml:space="preserve"> The technical definition of ‘acquisition’ was strictly applied in cases such as </w:t>
      </w:r>
      <w:r w:rsidRPr="00E56D8D">
        <w:rPr>
          <w:rFonts w:cs="Adobe Garamond Pro"/>
          <w:i/>
          <w:iCs/>
          <w:color w:val="000000"/>
        </w:rPr>
        <w:t>Mutual Pools &amp; Staff Pty Ltd v The Commonwealth</w:t>
      </w:r>
      <w:r w:rsidRPr="00E56D8D">
        <w:rPr>
          <w:rStyle w:val="A6"/>
        </w:rPr>
        <w:t xml:space="preserve"> </w:t>
      </w:r>
      <w:r w:rsidRPr="00E56D8D">
        <w:rPr>
          <w:color w:val="000000"/>
        </w:rPr>
        <w:t xml:space="preserve">(1994) 179 CLR 155 </w:t>
      </w:r>
      <w:r w:rsidRPr="00E56D8D">
        <w:rPr>
          <w:rFonts w:cs="Adobe Garamond Pro"/>
          <w:color w:val="000000"/>
        </w:rPr>
        <w:t xml:space="preserve">and </w:t>
      </w:r>
      <w:r w:rsidRPr="00E56D8D">
        <w:rPr>
          <w:rFonts w:cs="Adobe Garamond Pro"/>
          <w:i/>
          <w:iCs/>
          <w:color w:val="000000"/>
        </w:rPr>
        <w:t>ICM Agriculture Pty Ltd v Commonwealth</w:t>
      </w:r>
      <w:r w:rsidRPr="00E56D8D">
        <w:t xml:space="preserve"> [2009] HCA 51.</w:t>
      </w:r>
    </w:p>
  </w:endnote>
  <w:endnote w:id="22">
    <w:p w:rsidR="00CC4002" w:rsidRPr="00E56D8D" w:rsidRDefault="00CC4002" w:rsidP="00185A1C">
      <w:pPr>
        <w:pStyle w:val="EndnoteText"/>
        <w:rPr>
          <w:rFonts w:cs="Arial"/>
        </w:rPr>
      </w:pPr>
      <w:r w:rsidRPr="00E56D8D">
        <w:rPr>
          <w:rStyle w:val="EndnoteReference"/>
          <w:rFonts w:cs="Arial"/>
        </w:rPr>
        <w:endnoteRef/>
      </w:r>
      <w:r w:rsidRPr="00E56D8D">
        <w:rPr>
          <w:rFonts w:cs="Arial"/>
        </w:rPr>
        <w:t xml:space="preserve"> For example, see </w:t>
      </w:r>
      <w:r w:rsidRPr="00E56D8D">
        <w:rPr>
          <w:rFonts w:cs="Arial"/>
          <w:color w:val="000000"/>
        </w:rPr>
        <w:t xml:space="preserve">L Staley, </w:t>
      </w:r>
      <w:r w:rsidRPr="00E56D8D">
        <w:rPr>
          <w:rFonts w:cs="Arial"/>
          <w:i/>
          <w:iCs/>
          <w:color w:val="000000"/>
        </w:rPr>
        <w:t>Reshaping the Landscape: The quiet erosion of property rights in Western Australia</w:t>
      </w:r>
      <w:r w:rsidRPr="00E56D8D">
        <w:rPr>
          <w:rFonts w:cs="Arial"/>
          <w:color w:val="000000"/>
        </w:rPr>
        <w:t xml:space="preserve">, Institute of Public Affairs and </w:t>
      </w:r>
      <w:proofErr w:type="spellStart"/>
      <w:r w:rsidRPr="00E56D8D">
        <w:rPr>
          <w:rFonts w:cs="Arial"/>
          <w:color w:val="000000"/>
        </w:rPr>
        <w:t>Mannkal</w:t>
      </w:r>
      <w:proofErr w:type="spellEnd"/>
      <w:r w:rsidRPr="00E56D8D">
        <w:rPr>
          <w:rFonts w:cs="Arial"/>
          <w:color w:val="000000"/>
        </w:rPr>
        <w:t xml:space="preserve"> Economic Education Foundation, </w:t>
      </w:r>
      <w:r w:rsidRPr="000D699F">
        <w:rPr>
          <w:rFonts w:cs="Arial"/>
          <w:iCs/>
          <w:color w:val="000000"/>
        </w:rPr>
        <w:t xml:space="preserve">Project Western Australia </w:t>
      </w:r>
      <w:r w:rsidRPr="00E56D8D">
        <w:rPr>
          <w:rFonts w:cs="Arial"/>
          <w:color w:val="000000"/>
        </w:rPr>
        <w:t>Discussion Paper (2007), p 1.</w:t>
      </w:r>
    </w:p>
  </w:endnote>
  <w:endnote w:id="23">
    <w:p w:rsidR="00CC4002" w:rsidRPr="009F6505" w:rsidRDefault="00CC4002" w:rsidP="00185A1C">
      <w:pPr>
        <w:pStyle w:val="Pa27"/>
        <w:spacing w:line="240" w:lineRule="auto"/>
        <w:rPr>
          <w:rFonts w:cs="Adobe Garamond Pro"/>
          <w:color w:val="000000"/>
          <w:sz w:val="22"/>
          <w:szCs w:val="22"/>
        </w:rPr>
      </w:pPr>
      <w:r w:rsidRPr="00E56D8D">
        <w:rPr>
          <w:rStyle w:val="EndnoteReference"/>
          <w:rFonts w:cs="Arial"/>
          <w:szCs w:val="20"/>
        </w:rPr>
        <w:endnoteRef/>
      </w:r>
      <w:r w:rsidRPr="00E56D8D">
        <w:rPr>
          <w:rFonts w:ascii="Arial" w:hAnsi="Arial" w:cs="Arial"/>
          <w:sz w:val="20"/>
          <w:szCs w:val="20"/>
        </w:rPr>
        <w:t xml:space="preserve"> This occurred in </w:t>
      </w:r>
      <w:r w:rsidRPr="00E56D8D">
        <w:rPr>
          <w:rFonts w:ascii="Arial" w:hAnsi="Arial" w:cs="Arial"/>
          <w:i/>
          <w:iCs/>
          <w:color w:val="000000"/>
          <w:sz w:val="20"/>
          <w:szCs w:val="20"/>
        </w:rPr>
        <w:t>Gippsland Coastal Board v South Gippsland Shire Council</w:t>
      </w:r>
      <w:r w:rsidRPr="00E56D8D">
        <w:rPr>
          <w:rFonts w:ascii="Arial" w:hAnsi="Arial" w:cs="Arial"/>
          <w:sz w:val="20"/>
          <w:szCs w:val="20"/>
        </w:rPr>
        <w:t xml:space="preserve"> </w:t>
      </w:r>
      <w:r w:rsidRPr="00E56D8D">
        <w:rPr>
          <w:rFonts w:ascii="Arial" w:hAnsi="Arial" w:cs="Arial"/>
          <w:color w:val="000000"/>
          <w:sz w:val="20"/>
          <w:szCs w:val="20"/>
        </w:rPr>
        <w:t xml:space="preserve">[2008] VCAT 1545 and </w:t>
      </w:r>
      <w:r w:rsidRPr="00E56D8D">
        <w:rPr>
          <w:rFonts w:ascii="Arial" w:hAnsi="Arial" w:cs="Arial"/>
          <w:i/>
          <w:iCs/>
          <w:color w:val="000000"/>
          <w:sz w:val="20"/>
          <w:szCs w:val="20"/>
        </w:rPr>
        <w:t>Myers v South Gippsland Shire Council</w:t>
      </w:r>
      <w:r w:rsidRPr="00E56D8D">
        <w:rPr>
          <w:rFonts w:ascii="Arial" w:hAnsi="Arial" w:cs="Arial"/>
          <w:color w:val="000000"/>
          <w:sz w:val="20"/>
          <w:szCs w:val="20"/>
        </w:rPr>
        <w:t xml:space="preserve"> [2008] VCAT 2414.</w:t>
      </w:r>
      <w:r w:rsidRPr="009F6505">
        <w:rPr>
          <w:rFonts w:cs="Adobe Garamond Pro"/>
          <w:color w:val="000000"/>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02" w:rsidRDefault="00CC4002" w:rsidP="00CE7182">
    <w:pPr>
      <w:pStyle w:val="Footer"/>
      <w:spacing w:before="0"/>
    </w:pPr>
    <w:r w:rsidRPr="0090165F">
      <w:fldChar w:fldCharType="begin"/>
    </w:r>
    <w:r w:rsidRPr="0090165F">
      <w:instrText xml:space="preserve"> PAGE   \* MERGEFORMAT </w:instrText>
    </w:r>
    <w:r w:rsidRPr="0090165F">
      <w:fldChar w:fldCharType="separate"/>
    </w:r>
    <w:r w:rsidR="003A4521">
      <w:rPr>
        <w:noProof/>
      </w:rPr>
      <w:t>6</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84" w:rsidRDefault="00245084" w:rsidP="00F14C6D">
      <w:r>
        <w:separator/>
      </w:r>
    </w:p>
  </w:footnote>
  <w:footnote w:type="continuationSeparator" w:id="0">
    <w:p w:rsidR="00245084" w:rsidRDefault="0024508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02" w:rsidRDefault="00CC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02" w:rsidRDefault="00CC4002" w:rsidP="004E4207">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02" w:rsidRDefault="00CC4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DE0C55"/>
    <w:multiLevelType w:val="hybridMultilevel"/>
    <w:tmpl w:val="952C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2C2512"/>
    <w:multiLevelType w:val="hybridMultilevel"/>
    <w:tmpl w:val="C33452C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CB237C"/>
    <w:multiLevelType w:val="hybridMultilevel"/>
    <w:tmpl w:val="F6E2FC0A"/>
    <w:lvl w:ilvl="0" w:tplc="A32EC982">
      <w:start w:val="1"/>
      <w:numFmt w:val="decimal"/>
      <w:pStyle w:val="SubmissionNormal"/>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0F8763A"/>
    <w:multiLevelType w:val="hybridMultilevel"/>
    <w:tmpl w:val="A21693B2"/>
    <w:lvl w:ilvl="0" w:tplc="7C78A75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1707F6"/>
    <w:multiLevelType w:val="hybridMultilevel"/>
    <w:tmpl w:val="11E246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7817C3"/>
    <w:multiLevelType w:val="multilevel"/>
    <w:tmpl w:val="3E28E7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2C0A00"/>
    <w:multiLevelType w:val="hybridMultilevel"/>
    <w:tmpl w:val="9878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7827AA"/>
    <w:multiLevelType w:val="hybridMultilevel"/>
    <w:tmpl w:val="D81C392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33713251"/>
    <w:multiLevelType w:val="hybridMultilevel"/>
    <w:tmpl w:val="F6026CE0"/>
    <w:lvl w:ilvl="0" w:tplc="110C7FD8">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1512C8"/>
    <w:multiLevelType w:val="hybridMultilevel"/>
    <w:tmpl w:val="918C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0761EB3"/>
    <w:multiLevelType w:val="hybridMultilevel"/>
    <w:tmpl w:val="0542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6C1359"/>
    <w:multiLevelType w:val="multilevel"/>
    <w:tmpl w:val="FE34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3E22AB"/>
    <w:multiLevelType w:val="hybridMultilevel"/>
    <w:tmpl w:val="438CD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4557E46"/>
    <w:multiLevelType w:val="hybridMultilevel"/>
    <w:tmpl w:val="29085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11632C"/>
    <w:multiLevelType w:val="hybridMultilevel"/>
    <w:tmpl w:val="D26E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9806BB"/>
    <w:multiLevelType w:val="hybridMultilevel"/>
    <w:tmpl w:val="E49A9B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F418D0"/>
    <w:multiLevelType w:val="hybridMultilevel"/>
    <w:tmpl w:val="5544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E431A1"/>
    <w:multiLevelType w:val="hybridMultilevel"/>
    <w:tmpl w:val="4824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F97033"/>
    <w:multiLevelType w:val="hybridMultilevel"/>
    <w:tmpl w:val="41CE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E274FE"/>
    <w:multiLevelType w:val="hybridMultilevel"/>
    <w:tmpl w:val="14E2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C74663"/>
    <w:multiLevelType w:val="hybridMultilevel"/>
    <w:tmpl w:val="D110E25C"/>
    <w:lvl w:ilvl="0" w:tplc="0C090001">
      <w:start w:val="1"/>
      <w:numFmt w:val="decimal"/>
      <w:lvlText w:val="%1."/>
      <w:lvlJc w:val="left"/>
      <w:pPr>
        <w:tabs>
          <w:tab w:val="num" w:pos="720"/>
        </w:tabs>
        <w:ind w:left="720" w:hanging="720"/>
      </w:pPr>
      <w:rPr>
        <w:rFonts w:cs="Times New Roman" w:hint="default"/>
        <w:b w:val="0"/>
        <w:i w:val="0"/>
      </w:rPr>
    </w:lvl>
    <w:lvl w:ilvl="1" w:tplc="1C066762">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1"/>
  </w:num>
  <w:num w:numId="13">
    <w:abstractNumId w:val="14"/>
  </w:num>
  <w:num w:numId="14">
    <w:abstractNumId w:val="25"/>
  </w:num>
  <w:num w:numId="15">
    <w:abstractNumId w:val="16"/>
  </w:num>
  <w:num w:numId="16">
    <w:abstractNumId w:val="18"/>
  </w:num>
  <w:num w:numId="17">
    <w:abstractNumId w:val="22"/>
  </w:num>
  <w:num w:numId="18">
    <w:abstractNumId w:val="30"/>
  </w:num>
  <w:num w:numId="19">
    <w:abstractNumId w:val="28"/>
  </w:num>
  <w:num w:numId="20">
    <w:abstractNumId w:val="17"/>
  </w:num>
  <w:num w:numId="21">
    <w:abstractNumId w:val="29"/>
  </w:num>
  <w:num w:numId="22">
    <w:abstractNumId w:val="12"/>
  </w:num>
  <w:num w:numId="23">
    <w:abstractNumId w:val="10"/>
  </w:num>
  <w:num w:numId="24">
    <w:abstractNumId w:val="11"/>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2"/>
  </w:num>
  <w:num w:numId="31">
    <w:abstractNumId w:val="15"/>
  </w:num>
  <w:num w:numId="32">
    <w:abstractNumId w:val="33"/>
  </w:num>
  <w:num w:numId="33">
    <w:abstractNumId w:val="23"/>
  </w:num>
  <w:num w:numId="34">
    <w:abstractNumId w:val="12"/>
  </w:num>
  <w:num w:numId="35">
    <w:abstractNumId w:val="12"/>
  </w:num>
  <w:num w:numId="36">
    <w:abstractNumId w:val="12"/>
  </w:num>
  <w:num w:numId="37">
    <w:abstractNumId w:val="16"/>
  </w:num>
  <w:num w:numId="38">
    <w:abstractNumId w:val="20"/>
  </w:num>
  <w:num w:numId="39">
    <w:abstractNumId w:val="16"/>
  </w:num>
  <w:num w:numId="40">
    <w:abstractNumId w:val="24"/>
  </w:num>
  <w:num w:numId="41">
    <w:abstractNumId w:val="13"/>
  </w:num>
  <w:num w:numId="42">
    <w:abstractNumId w:val="31"/>
  </w:num>
  <w:num w:numId="43">
    <w:abstractNumId w:val="27"/>
  </w:num>
  <w:num w:numId="4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A7"/>
    <w:rsid w:val="00000FCA"/>
    <w:rsid w:val="00002377"/>
    <w:rsid w:val="00005D48"/>
    <w:rsid w:val="00010862"/>
    <w:rsid w:val="0001254B"/>
    <w:rsid w:val="00013272"/>
    <w:rsid w:val="0001606E"/>
    <w:rsid w:val="000175CD"/>
    <w:rsid w:val="00020189"/>
    <w:rsid w:val="00021134"/>
    <w:rsid w:val="00023EBE"/>
    <w:rsid w:val="00025439"/>
    <w:rsid w:val="00027D6A"/>
    <w:rsid w:val="00031A19"/>
    <w:rsid w:val="0003312B"/>
    <w:rsid w:val="00036359"/>
    <w:rsid w:val="00036BD5"/>
    <w:rsid w:val="00046686"/>
    <w:rsid w:val="00047899"/>
    <w:rsid w:val="000540A0"/>
    <w:rsid w:val="000577BA"/>
    <w:rsid w:val="000579B1"/>
    <w:rsid w:val="00061C07"/>
    <w:rsid w:val="00062FBD"/>
    <w:rsid w:val="000635B6"/>
    <w:rsid w:val="000648DB"/>
    <w:rsid w:val="00070FF6"/>
    <w:rsid w:val="00071170"/>
    <w:rsid w:val="00071F4A"/>
    <w:rsid w:val="00074750"/>
    <w:rsid w:val="00074CD6"/>
    <w:rsid w:val="000776C3"/>
    <w:rsid w:val="00083498"/>
    <w:rsid w:val="0008528C"/>
    <w:rsid w:val="0009110C"/>
    <w:rsid w:val="00095F08"/>
    <w:rsid w:val="00096158"/>
    <w:rsid w:val="000B0A5D"/>
    <w:rsid w:val="000B52D8"/>
    <w:rsid w:val="000B7764"/>
    <w:rsid w:val="000B78B5"/>
    <w:rsid w:val="000C7D35"/>
    <w:rsid w:val="000D0076"/>
    <w:rsid w:val="000D18C7"/>
    <w:rsid w:val="000D5C7F"/>
    <w:rsid w:val="000E1B5D"/>
    <w:rsid w:val="000E1DDF"/>
    <w:rsid w:val="000E2508"/>
    <w:rsid w:val="000E46A7"/>
    <w:rsid w:val="000E689E"/>
    <w:rsid w:val="000F0486"/>
    <w:rsid w:val="000F1100"/>
    <w:rsid w:val="001011C8"/>
    <w:rsid w:val="00104008"/>
    <w:rsid w:val="001046D9"/>
    <w:rsid w:val="00104907"/>
    <w:rsid w:val="00113276"/>
    <w:rsid w:val="00115AA8"/>
    <w:rsid w:val="00122413"/>
    <w:rsid w:val="001245F3"/>
    <w:rsid w:val="001257C4"/>
    <w:rsid w:val="00132462"/>
    <w:rsid w:val="00132781"/>
    <w:rsid w:val="001367A7"/>
    <w:rsid w:val="00136BAF"/>
    <w:rsid w:val="00140077"/>
    <w:rsid w:val="00140A9E"/>
    <w:rsid w:val="00140E89"/>
    <w:rsid w:val="001423F0"/>
    <w:rsid w:val="0014531F"/>
    <w:rsid w:val="00145989"/>
    <w:rsid w:val="00145D67"/>
    <w:rsid w:val="001464E4"/>
    <w:rsid w:val="001523D8"/>
    <w:rsid w:val="00152FD4"/>
    <w:rsid w:val="001566D4"/>
    <w:rsid w:val="001572E6"/>
    <w:rsid w:val="00160BAA"/>
    <w:rsid w:val="00162A8D"/>
    <w:rsid w:val="0017141E"/>
    <w:rsid w:val="00176D5D"/>
    <w:rsid w:val="001777BF"/>
    <w:rsid w:val="0018207E"/>
    <w:rsid w:val="00184098"/>
    <w:rsid w:val="00185A1C"/>
    <w:rsid w:val="001867A2"/>
    <w:rsid w:val="00192A5F"/>
    <w:rsid w:val="001939D8"/>
    <w:rsid w:val="00196F38"/>
    <w:rsid w:val="001A3AE1"/>
    <w:rsid w:val="001A5B7A"/>
    <w:rsid w:val="001A5D46"/>
    <w:rsid w:val="001B0353"/>
    <w:rsid w:val="001B0501"/>
    <w:rsid w:val="001B1D1A"/>
    <w:rsid w:val="001B2A6E"/>
    <w:rsid w:val="001B4A18"/>
    <w:rsid w:val="001B4B71"/>
    <w:rsid w:val="001B4DA6"/>
    <w:rsid w:val="001C139C"/>
    <w:rsid w:val="001C451B"/>
    <w:rsid w:val="001C4C5D"/>
    <w:rsid w:val="001D2340"/>
    <w:rsid w:val="001D3B6D"/>
    <w:rsid w:val="001D5BDE"/>
    <w:rsid w:val="001D7A9A"/>
    <w:rsid w:val="001E181B"/>
    <w:rsid w:val="001E4F55"/>
    <w:rsid w:val="001E566F"/>
    <w:rsid w:val="001E7572"/>
    <w:rsid w:val="001F1CA4"/>
    <w:rsid w:val="001F2BBB"/>
    <w:rsid w:val="001F341F"/>
    <w:rsid w:val="001F7391"/>
    <w:rsid w:val="002040B1"/>
    <w:rsid w:val="0020759E"/>
    <w:rsid w:val="002075DE"/>
    <w:rsid w:val="00211C1F"/>
    <w:rsid w:val="00212278"/>
    <w:rsid w:val="0021488D"/>
    <w:rsid w:val="0021536C"/>
    <w:rsid w:val="00215580"/>
    <w:rsid w:val="00216689"/>
    <w:rsid w:val="00221D84"/>
    <w:rsid w:val="002236D5"/>
    <w:rsid w:val="00224C07"/>
    <w:rsid w:val="00231ED1"/>
    <w:rsid w:val="00232E63"/>
    <w:rsid w:val="0023303F"/>
    <w:rsid w:val="0023338D"/>
    <w:rsid w:val="00235017"/>
    <w:rsid w:val="00240A09"/>
    <w:rsid w:val="00242C1B"/>
    <w:rsid w:val="00242F44"/>
    <w:rsid w:val="0024300C"/>
    <w:rsid w:val="00245084"/>
    <w:rsid w:val="0024557E"/>
    <w:rsid w:val="002642D7"/>
    <w:rsid w:val="002671E4"/>
    <w:rsid w:val="002702D9"/>
    <w:rsid w:val="00271828"/>
    <w:rsid w:val="00274DC5"/>
    <w:rsid w:val="00276A57"/>
    <w:rsid w:val="0028043C"/>
    <w:rsid w:val="00281CCF"/>
    <w:rsid w:val="00286804"/>
    <w:rsid w:val="00290A7C"/>
    <w:rsid w:val="002911D7"/>
    <w:rsid w:val="00291EF8"/>
    <w:rsid w:val="00293D61"/>
    <w:rsid w:val="002975CF"/>
    <w:rsid w:val="002A21F3"/>
    <w:rsid w:val="002A30E1"/>
    <w:rsid w:val="002B4958"/>
    <w:rsid w:val="002C4516"/>
    <w:rsid w:val="002C60E5"/>
    <w:rsid w:val="002D214B"/>
    <w:rsid w:val="002D313B"/>
    <w:rsid w:val="002D38BF"/>
    <w:rsid w:val="002E148C"/>
    <w:rsid w:val="002E1BE7"/>
    <w:rsid w:val="002F0C68"/>
    <w:rsid w:val="002F2164"/>
    <w:rsid w:val="002F62D4"/>
    <w:rsid w:val="002F7A0B"/>
    <w:rsid w:val="003016DE"/>
    <w:rsid w:val="003025D0"/>
    <w:rsid w:val="003034D2"/>
    <w:rsid w:val="00303D64"/>
    <w:rsid w:val="003040CA"/>
    <w:rsid w:val="003069EA"/>
    <w:rsid w:val="00307B06"/>
    <w:rsid w:val="00310ED4"/>
    <w:rsid w:val="00313569"/>
    <w:rsid w:val="0031492A"/>
    <w:rsid w:val="00315174"/>
    <w:rsid w:val="00316504"/>
    <w:rsid w:val="00316C1A"/>
    <w:rsid w:val="00321AF0"/>
    <w:rsid w:val="00321D8E"/>
    <w:rsid w:val="00323944"/>
    <w:rsid w:val="00331E64"/>
    <w:rsid w:val="003331BB"/>
    <w:rsid w:val="00343816"/>
    <w:rsid w:val="00343A46"/>
    <w:rsid w:val="00346D8A"/>
    <w:rsid w:val="0035019D"/>
    <w:rsid w:val="00351C7A"/>
    <w:rsid w:val="00353692"/>
    <w:rsid w:val="00354235"/>
    <w:rsid w:val="00354CCA"/>
    <w:rsid w:val="00374CBC"/>
    <w:rsid w:val="00376C7D"/>
    <w:rsid w:val="00377C8F"/>
    <w:rsid w:val="00380DD1"/>
    <w:rsid w:val="003931C7"/>
    <w:rsid w:val="003955AE"/>
    <w:rsid w:val="00395B25"/>
    <w:rsid w:val="003A4521"/>
    <w:rsid w:val="003A533F"/>
    <w:rsid w:val="003A6828"/>
    <w:rsid w:val="003B18A7"/>
    <w:rsid w:val="003B2239"/>
    <w:rsid w:val="003B59EB"/>
    <w:rsid w:val="003B62E1"/>
    <w:rsid w:val="003B6BE4"/>
    <w:rsid w:val="003B6D43"/>
    <w:rsid w:val="003C0C4D"/>
    <w:rsid w:val="003C1A34"/>
    <w:rsid w:val="003C5550"/>
    <w:rsid w:val="003D355F"/>
    <w:rsid w:val="003D4570"/>
    <w:rsid w:val="003D74B8"/>
    <w:rsid w:val="003E21DB"/>
    <w:rsid w:val="003E73EA"/>
    <w:rsid w:val="003F0CEE"/>
    <w:rsid w:val="003F0FD9"/>
    <w:rsid w:val="003F664C"/>
    <w:rsid w:val="00401032"/>
    <w:rsid w:val="00402234"/>
    <w:rsid w:val="004023CE"/>
    <w:rsid w:val="00402758"/>
    <w:rsid w:val="0040454C"/>
    <w:rsid w:val="0040486C"/>
    <w:rsid w:val="00410370"/>
    <w:rsid w:val="00410714"/>
    <w:rsid w:val="00421096"/>
    <w:rsid w:val="004215B3"/>
    <w:rsid w:val="004224F0"/>
    <w:rsid w:val="00424FD9"/>
    <w:rsid w:val="00430DD0"/>
    <w:rsid w:val="004343C1"/>
    <w:rsid w:val="004422F8"/>
    <w:rsid w:val="00443AD1"/>
    <w:rsid w:val="00443BA8"/>
    <w:rsid w:val="00444303"/>
    <w:rsid w:val="00444628"/>
    <w:rsid w:val="0044570C"/>
    <w:rsid w:val="00451264"/>
    <w:rsid w:val="00452624"/>
    <w:rsid w:val="004531C1"/>
    <w:rsid w:val="004535DD"/>
    <w:rsid w:val="004550CA"/>
    <w:rsid w:val="00455112"/>
    <w:rsid w:val="004561BE"/>
    <w:rsid w:val="00462A8C"/>
    <w:rsid w:val="00462D4C"/>
    <w:rsid w:val="00470E7D"/>
    <w:rsid w:val="00473DB9"/>
    <w:rsid w:val="00474063"/>
    <w:rsid w:val="00476EEA"/>
    <w:rsid w:val="0048519A"/>
    <w:rsid w:val="004857B7"/>
    <w:rsid w:val="00485EC1"/>
    <w:rsid w:val="00494D4B"/>
    <w:rsid w:val="004964EA"/>
    <w:rsid w:val="004A39E3"/>
    <w:rsid w:val="004A3ACD"/>
    <w:rsid w:val="004A4FAD"/>
    <w:rsid w:val="004A5202"/>
    <w:rsid w:val="004A722D"/>
    <w:rsid w:val="004C0A1D"/>
    <w:rsid w:val="004C0FD5"/>
    <w:rsid w:val="004C14C8"/>
    <w:rsid w:val="004C462D"/>
    <w:rsid w:val="004C5565"/>
    <w:rsid w:val="004D07C5"/>
    <w:rsid w:val="004D1401"/>
    <w:rsid w:val="004D38D0"/>
    <w:rsid w:val="004D56A1"/>
    <w:rsid w:val="004D573A"/>
    <w:rsid w:val="004D5794"/>
    <w:rsid w:val="004D6523"/>
    <w:rsid w:val="004E3E24"/>
    <w:rsid w:val="004E4207"/>
    <w:rsid w:val="004E7846"/>
    <w:rsid w:val="004F0E63"/>
    <w:rsid w:val="004F53EF"/>
    <w:rsid w:val="004F66A1"/>
    <w:rsid w:val="005016E3"/>
    <w:rsid w:val="00503E04"/>
    <w:rsid w:val="00504B28"/>
    <w:rsid w:val="0050629F"/>
    <w:rsid w:val="00506DE5"/>
    <w:rsid w:val="005106D4"/>
    <w:rsid w:val="00513540"/>
    <w:rsid w:val="0052009C"/>
    <w:rsid w:val="00521E30"/>
    <w:rsid w:val="005224A6"/>
    <w:rsid w:val="00522CED"/>
    <w:rsid w:val="00524B4D"/>
    <w:rsid w:val="0052785E"/>
    <w:rsid w:val="00531C03"/>
    <w:rsid w:val="005525A0"/>
    <w:rsid w:val="00554C04"/>
    <w:rsid w:val="00560664"/>
    <w:rsid w:val="00561D4C"/>
    <w:rsid w:val="005656B1"/>
    <w:rsid w:val="0056760C"/>
    <w:rsid w:val="005717F6"/>
    <w:rsid w:val="00571DC6"/>
    <w:rsid w:val="00573762"/>
    <w:rsid w:val="00575157"/>
    <w:rsid w:val="00577B57"/>
    <w:rsid w:val="00583788"/>
    <w:rsid w:val="0058414C"/>
    <w:rsid w:val="00584272"/>
    <w:rsid w:val="0058678F"/>
    <w:rsid w:val="00596F2F"/>
    <w:rsid w:val="005A1DBB"/>
    <w:rsid w:val="005B7515"/>
    <w:rsid w:val="005C0FDC"/>
    <w:rsid w:val="005C1654"/>
    <w:rsid w:val="005C678B"/>
    <w:rsid w:val="005C6F30"/>
    <w:rsid w:val="005C722B"/>
    <w:rsid w:val="005D04F4"/>
    <w:rsid w:val="005D067E"/>
    <w:rsid w:val="005D1F34"/>
    <w:rsid w:val="005D4497"/>
    <w:rsid w:val="005D7C41"/>
    <w:rsid w:val="005E03A6"/>
    <w:rsid w:val="005E79C9"/>
    <w:rsid w:val="005F12B0"/>
    <w:rsid w:val="005F1451"/>
    <w:rsid w:val="005F5F45"/>
    <w:rsid w:val="005F76AC"/>
    <w:rsid w:val="0060293A"/>
    <w:rsid w:val="006128A7"/>
    <w:rsid w:val="00612AE6"/>
    <w:rsid w:val="00614317"/>
    <w:rsid w:val="0062615B"/>
    <w:rsid w:val="006268C8"/>
    <w:rsid w:val="00632319"/>
    <w:rsid w:val="00632EAA"/>
    <w:rsid w:val="0063346D"/>
    <w:rsid w:val="00645885"/>
    <w:rsid w:val="00653D36"/>
    <w:rsid w:val="006544AB"/>
    <w:rsid w:val="00654618"/>
    <w:rsid w:val="006559A9"/>
    <w:rsid w:val="00663546"/>
    <w:rsid w:val="00670590"/>
    <w:rsid w:val="00674AAE"/>
    <w:rsid w:val="006859F8"/>
    <w:rsid w:val="00690313"/>
    <w:rsid w:val="00696390"/>
    <w:rsid w:val="006A2E34"/>
    <w:rsid w:val="006A4451"/>
    <w:rsid w:val="006A45F0"/>
    <w:rsid w:val="006A6BB3"/>
    <w:rsid w:val="006B3680"/>
    <w:rsid w:val="006B5B51"/>
    <w:rsid w:val="006C0C4C"/>
    <w:rsid w:val="006C2EFC"/>
    <w:rsid w:val="006C36D1"/>
    <w:rsid w:val="006C5C01"/>
    <w:rsid w:val="006C6F1F"/>
    <w:rsid w:val="006C751E"/>
    <w:rsid w:val="006D168A"/>
    <w:rsid w:val="006D5EE5"/>
    <w:rsid w:val="006D7572"/>
    <w:rsid w:val="006E06D6"/>
    <w:rsid w:val="006E06ED"/>
    <w:rsid w:val="006E06F5"/>
    <w:rsid w:val="006E26ED"/>
    <w:rsid w:val="006E4AE5"/>
    <w:rsid w:val="006E52F0"/>
    <w:rsid w:val="006F0B85"/>
    <w:rsid w:val="006F233D"/>
    <w:rsid w:val="006F3C54"/>
    <w:rsid w:val="00701D5F"/>
    <w:rsid w:val="007039D9"/>
    <w:rsid w:val="007039FC"/>
    <w:rsid w:val="00703A1F"/>
    <w:rsid w:val="007041C1"/>
    <w:rsid w:val="00706FAB"/>
    <w:rsid w:val="00707793"/>
    <w:rsid w:val="007169BB"/>
    <w:rsid w:val="00722B65"/>
    <w:rsid w:val="00723F22"/>
    <w:rsid w:val="007254BB"/>
    <w:rsid w:val="00725D5E"/>
    <w:rsid w:val="007267C8"/>
    <w:rsid w:val="00734924"/>
    <w:rsid w:val="00737061"/>
    <w:rsid w:val="00741C16"/>
    <w:rsid w:val="007548CA"/>
    <w:rsid w:val="00755793"/>
    <w:rsid w:val="007572E8"/>
    <w:rsid w:val="007576AC"/>
    <w:rsid w:val="00762D01"/>
    <w:rsid w:val="007647DA"/>
    <w:rsid w:val="00764AD2"/>
    <w:rsid w:val="007661A6"/>
    <w:rsid w:val="00770DCB"/>
    <w:rsid w:val="00771BAF"/>
    <w:rsid w:val="00771CB2"/>
    <w:rsid w:val="00775485"/>
    <w:rsid w:val="007817AD"/>
    <w:rsid w:val="00782FC8"/>
    <w:rsid w:val="007841E1"/>
    <w:rsid w:val="007860EA"/>
    <w:rsid w:val="00791A7D"/>
    <w:rsid w:val="00795C76"/>
    <w:rsid w:val="00797E16"/>
    <w:rsid w:val="007A0216"/>
    <w:rsid w:val="007A4F55"/>
    <w:rsid w:val="007A664E"/>
    <w:rsid w:val="007A673F"/>
    <w:rsid w:val="007A6C5A"/>
    <w:rsid w:val="007B5022"/>
    <w:rsid w:val="007C260D"/>
    <w:rsid w:val="007C2B66"/>
    <w:rsid w:val="007C2C27"/>
    <w:rsid w:val="007C40CF"/>
    <w:rsid w:val="007C46AF"/>
    <w:rsid w:val="007D1C13"/>
    <w:rsid w:val="007D1F64"/>
    <w:rsid w:val="007D40BD"/>
    <w:rsid w:val="007D5615"/>
    <w:rsid w:val="007E1866"/>
    <w:rsid w:val="007E6434"/>
    <w:rsid w:val="007F27AA"/>
    <w:rsid w:val="007F362D"/>
    <w:rsid w:val="007F608C"/>
    <w:rsid w:val="007F7937"/>
    <w:rsid w:val="007F7C29"/>
    <w:rsid w:val="0080119D"/>
    <w:rsid w:val="0080282D"/>
    <w:rsid w:val="00804C1C"/>
    <w:rsid w:val="00806013"/>
    <w:rsid w:val="00807016"/>
    <w:rsid w:val="00810ABF"/>
    <w:rsid w:val="008125EE"/>
    <w:rsid w:val="0081442F"/>
    <w:rsid w:val="00815BD7"/>
    <w:rsid w:val="0083209A"/>
    <w:rsid w:val="00834B9E"/>
    <w:rsid w:val="0083633E"/>
    <w:rsid w:val="00840F72"/>
    <w:rsid w:val="00841EC5"/>
    <w:rsid w:val="0084555F"/>
    <w:rsid w:val="00845CD7"/>
    <w:rsid w:val="00850202"/>
    <w:rsid w:val="00853E5B"/>
    <w:rsid w:val="0085688D"/>
    <w:rsid w:val="008612EF"/>
    <w:rsid w:val="00862029"/>
    <w:rsid w:val="0086420F"/>
    <w:rsid w:val="008647B9"/>
    <w:rsid w:val="008724DE"/>
    <w:rsid w:val="008823A7"/>
    <w:rsid w:val="00892C40"/>
    <w:rsid w:val="00893117"/>
    <w:rsid w:val="0089674B"/>
    <w:rsid w:val="008A1E57"/>
    <w:rsid w:val="008A282B"/>
    <w:rsid w:val="008A298A"/>
    <w:rsid w:val="008A2AF7"/>
    <w:rsid w:val="008A3D57"/>
    <w:rsid w:val="008A5755"/>
    <w:rsid w:val="008A7128"/>
    <w:rsid w:val="008B17FC"/>
    <w:rsid w:val="008B2A47"/>
    <w:rsid w:val="008B6823"/>
    <w:rsid w:val="008B69EF"/>
    <w:rsid w:val="008B6C66"/>
    <w:rsid w:val="008B7C7A"/>
    <w:rsid w:val="008C0CB8"/>
    <w:rsid w:val="008C45D0"/>
    <w:rsid w:val="008C5414"/>
    <w:rsid w:val="008D0994"/>
    <w:rsid w:val="008E3BF3"/>
    <w:rsid w:val="008E3D60"/>
    <w:rsid w:val="008E45AA"/>
    <w:rsid w:val="008E6DDA"/>
    <w:rsid w:val="008E7C8B"/>
    <w:rsid w:val="008E7E5F"/>
    <w:rsid w:val="008F2028"/>
    <w:rsid w:val="008F3827"/>
    <w:rsid w:val="008F5DE1"/>
    <w:rsid w:val="0090165F"/>
    <w:rsid w:val="00910B92"/>
    <w:rsid w:val="00914F75"/>
    <w:rsid w:val="00915055"/>
    <w:rsid w:val="009170DD"/>
    <w:rsid w:val="00921CB7"/>
    <w:rsid w:val="00923C4F"/>
    <w:rsid w:val="00927CC0"/>
    <w:rsid w:val="00934705"/>
    <w:rsid w:val="009379B9"/>
    <w:rsid w:val="00940422"/>
    <w:rsid w:val="00941B5A"/>
    <w:rsid w:val="00942F4A"/>
    <w:rsid w:val="009457D3"/>
    <w:rsid w:val="009472C4"/>
    <w:rsid w:val="00947A7D"/>
    <w:rsid w:val="00950E88"/>
    <w:rsid w:val="00957BF1"/>
    <w:rsid w:val="00960A51"/>
    <w:rsid w:val="00961143"/>
    <w:rsid w:val="00961B22"/>
    <w:rsid w:val="00963096"/>
    <w:rsid w:val="00966C2F"/>
    <w:rsid w:val="00970B06"/>
    <w:rsid w:val="0097265B"/>
    <w:rsid w:val="0097281B"/>
    <w:rsid w:val="009802F3"/>
    <w:rsid w:val="00981B56"/>
    <w:rsid w:val="00995955"/>
    <w:rsid w:val="00995E4E"/>
    <w:rsid w:val="009A5753"/>
    <w:rsid w:val="009A671F"/>
    <w:rsid w:val="009A7875"/>
    <w:rsid w:val="009C226E"/>
    <w:rsid w:val="009C2A15"/>
    <w:rsid w:val="009C5FB8"/>
    <w:rsid w:val="009D0228"/>
    <w:rsid w:val="009D163E"/>
    <w:rsid w:val="009D62F5"/>
    <w:rsid w:val="009E2438"/>
    <w:rsid w:val="009E5601"/>
    <w:rsid w:val="009E7FC4"/>
    <w:rsid w:val="009F1C90"/>
    <w:rsid w:val="009F2274"/>
    <w:rsid w:val="009F51D9"/>
    <w:rsid w:val="009F6505"/>
    <w:rsid w:val="009F675D"/>
    <w:rsid w:val="009F7AAC"/>
    <w:rsid w:val="00A02F56"/>
    <w:rsid w:val="00A0406E"/>
    <w:rsid w:val="00A12819"/>
    <w:rsid w:val="00A128C3"/>
    <w:rsid w:val="00A13D11"/>
    <w:rsid w:val="00A16AC6"/>
    <w:rsid w:val="00A25F30"/>
    <w:rsid w:val="00A3184E"/>
    <w:rsid w:val="00A33355"/>
    <w:rsid w:val="00A41355"/>
    <w:rsid w:val="00A41E4D"/>
    <w:rsid w:val="00A43B92"/>
    <w:rsid w:val="00A44593"/>
    <w:rsid w:val="00A44720"/>
    <w:rsid w:val="00A47F79"/>
    <w:rsid w:val="00A50577"/>
    <w:rsid w:val="00A5347F"/>
    <w:rsid w:val="00A6179E"/>
    <w:rsid w:val="00A64E3A"/>
    <w:rsid w:val="00A65FD2"/>
    <w:rsid w:val="00A66F67"/>
    <w:rsid w:val="00A71D2D"/>
    <w:rsid w:val="00A73703"/>
    <w:rsid w:val="00A7392C"/>
    <w:rsid w:val="00A8066C"/>
    <w:rsid w:val="00AA01E6"/>
    <w:rsid w:val="00AB0072"/>
    <w:rsid w:val="00AB07A7"/>
    <w:rsid w:val="00AB44EB"/>
    <w:rsid w:val="00AB4AA4"/>
    <w:rsid w:val="00AC27AB"/>
    <w:rsid w:val="00AC2EE1"/>
    <w:rsid w:val="00AC3651"/>
    <w:rsid w:val="00AC4102"/>
    <w:rsid w:val="00AC59F9"/>
    <w:rsid w:val="00AC6A34"/>
    <w:rsid w:val="00AC7F47"/>
    <w:rsid w:val="00AD27F0"/>
    <w:rsid w:val="00AD4C69"/>
    <w:rsid w:val="00AD5949"/>
    <w:rsid w:val="00AD5A24"/>
    <w:rsid w:val="00AD6115"/>
    <w:rsid w:val="00AE15B3"/>
    <w:rsid w:val="00AE3C85"/>
    <w:rsid w:val="00AE4DC9"/>
    <w:rsid w:val="00AE581B"/>
    <w:rsid w:val="00AE76EB"/>
    <w:rsid w:val="00AF2586"/>
    <w:rsid w:val="00AF2ABC"/>
    <w:rsid w:val="00AF53B7"/>
    <w:rsid w:val="00AF66E1"/>
    <w:rsid w:val="00B01CB7"/>
    <w:rsid w:val="00B04485"/>
    <w:rsid w:val="00B06CEF"/>
    <w:rsid w:val="00B127D4"/>
    <w:rsid w:val="00B15FF3"/>
    <w:rsid w:val="00B163B9"/>
    <w:rsid w:val="00B1646C"/>
    <w:rsid w:val="00B1688B"/>
    <w:rsid w:val="00B22697"/>
    <w:rsid w:val="00B23855"/>
    <w:rsid w:val="00B277E0"/>
    <w:rsid w:val="00B346A7"/>
    <w:rsid w:val="00B3644F"/>
    <w:rsid w:val="00B46D50"/>
    <w:rsid w:val="00B51C74"/>
    <w:rsid w:val="00B52BA1"/>
    <w:rsid w:val="00B52E2D"/>
    <w:rsid w:val="00B6056E"/>
    <w:rsid w:val="00B6549C"/>
    <w:rsid w:val="00B675BF"/>
    <w:rsid w:val="00B6776B"/>
    <w:rsid w:val="00B72551"/>
    <w:rsid w:val="00B76653"/>
    <w:rsid w:val="00B80D38"/>
    <w:rsid w:val="00B85BAD"/>
    <w:rsid w:val="00B90870"/>
    <w:rsid w:val="00B92914"/>
    <w:rsid w:val="00BA262D"/>
    <w:rsid w:val="00BA7DE9"/>
    <w:rsid w:val="00BB3901"/>
    <w:rsid w:val="00BB41D0"/>
    <w:rsid w:val="00BB43A7"/>
    <w:rsid w:val="00BB7914"/>
    <w:rsid w:val="00BC49C9"/>
    <w:rsid w:val="00BC51DB"/>
    <w:rsid w:val="00BC5EB2"/>
    <w:rsid w:val="00BC7709"/>
    <w:rsid w:val="00BC79EB"/>
    <w:rsid w:val="00BD011B"/>
    <w:rsid w:val="00BD198C"/>
    <w:rsid w:val="00BE27A2"/>
    <w:rsid w:val="00BE2C33"/>
    <w:rsid w:val="00BE5DAE"/>
    <w:rsid w:val="00BF03E1"/>
    <w:rsid w:val="00BF1913"/>
    <w:rsid w:val="00BF2B22"/>
    <w:rsid w:val="00BF4486"/>
    <w:rsid w:val="00BF7C3A"/>
    <w:rsid w:val="00C00F6F"/>
    <w:rsid w:val="00C04E2A"/>
    <w:rsid w:val="00C07002"/>
    <w:rsid w:val="00C076F2"/>
    <w:rsid w:val="00C14D60"/>
    <w:rsid w:val="00C16021"/>
    <w:rsid w:val="00C179C0"/>
    <w:rsid w:val="00C21046"/>
    <w:rsid w:val="00C2476B"/>
    <w:rsid w:val="00C247EB"/>
    <w:rsid w:val="00C25BDA"/>
    <w:rsid w:val="00C32E19"/>
    <w:rsid w:val="00C33835"/>
    <w:rsid w:val="00C34707"/>
    <w:rsid w:val="00C420E4"/>
    <w:rsid w:val="00C52CD3"/>
    <w:rsid w:val="00C53971"/>
    <w:rsid w:val="00C54FB1"/>
    <w:rsid w:val="00C56E55"/>
    <w:rsid w:val="00C57FEA"/>
    <w:rsid w:val="00C670A3"/>
    <w:rsid w:val="00C72276"/>
    <w:rsid w:val="00C72B01"/>
    <w:rsid w:val="00C74E7D"/>
    <w:rsid w:val="00C758FC"/>
    <w:rsid w:val="00C80F9F"/>
    <w:rsid w:val="00C83137"/>
    <w:rsid w:val="00C87885"/>
    <w:rsid w:val="00C94303"/>
    <w:rsid w:val="00C954CE"/>
    <w:rsid w:val="00C96538"/>
    <w:rsid w:val="00CA0D78"/>
    <w:rsid w:val="00CA4D4F"/>
    <w:rsid w:val="00CA573B"/>
    <w:rsid w:val="00CB27A8"/>
    <w:rsid w:val="00CC0779"/>
    <w:rsid w:val="00CC4002"/>
    <w:rsid w:val="00CC6F5E"/>
    <w:rsid w:val="00CC78D3"/>
    <w:rsid w:val="00CD0EC9"/>
    <w:rsid w:val="00CD2A08"/>
    <w:rsid w:val="00CD2E29"/>
    <w:rsid w:val="00CD54AE"/>
    <w:rsid w:val="00CD7FDE"/>
    <w:rsid w:val="00CE06BF"/>
    <w:rsid w:val="00CE439D"/>
    <w:rsid w:val="00CE4E2D"/>
    <w:rsid w:val="00CE7182"/>
    <w:rsid w:val="00CF1BDE"/>
    <w:rsid w:val="00CF3AF4"/>
    <w:rsid w:val="00CF5226"/>
    <w:rsid w:val="00D201C8"/>
    <w:rsid w:val="00D22257"/>
    <w:rsid w:val="00D236CE"/>
    <w:rsid w:val="00D25ADA"/>
    <w:rsid w:val="00D361C2"/>
    <w:rsid w:val="00D36514"/>
    <w:rsid w:val="00D36D90"/>
    <w:rsid w:val="00D46955"/>
    <w:rsid w:val="00D5292F"/>
    <w:rsid w:val="00D55C2A"/>
    <w:rsid w:val="00D57BE5"/>
    <w:rsid w:val="00D65C76"/>
    <w:rsid w:val="00D831E9"/>
    <w:rsid w:val="00D85682"/>
    <w:rsid w:val="00D87592"/>
    <w:rsid w:val="00D931DF"/>
    <w:rsid w:val="00D946CB"/>
    <w:rsid w:val="00D96CFB"/>
    <w:rsid w:val="00DA0A5A"/>
    <w:rsid w:val="00DA19BB"/>
    <w:rsid w:val="00DA2F73"/>
    <w:rsid w:val="00DA42E8"/>
    <w:rsid w:val="00DC0F92"/>
    <w:rsid w:val="00DC16ED"/>
    <w:rsid w:val="00DC193F"/>
    <w:rsid w:val="00DC2D75"/>
    <w:rsid w:val="00DC3C4F"/>
    <w:rsid w:val="00DC462F"/>
    <w:rsid w:val="00DC5B0E"/>
    <w:rsid w:val="00DC661D"/>
    <w:rsid w:val="00DD1B51"/>
    <w:rsid w:val="00DE386D"/>
    <w:rsid w:val="00DF1B3F"/>
    <w:rsid w:val="00DF70BF"/>
    <w:rsid w:val="00E007A1"/>
    <w:rsid w:val="00E02AA1"/>
    <w:rsid w:val="00E05D31"/>
    <w:rsid w:val="00E122E8"/>
    <w:rsid w:val="00E17C36"/>
    <w:rsid w:val="00E24FA3"/>
    <w:rsid w:val="00E2628F"/>
    <w:rsid w:val="00E31B2D"/>
    <w:rsid w:val="00E328CD"/>
    <w:rsid w:val="00E42544"/>
    <w:rsid w:val="00E45954"/>
    <w:rsid w:val="00E470A2"/>
    <w:rsid w:val="00E51090"/>
    <w:rsid w:val="00E56D8D"/>
    <w:rsid w:val="00E574C0"/>
    <w:rsid w:val="00E63CE5"/>
    <w:rsid w:val="00E67819"/>
    <w:rsid w:val="00E73143"/>
    <w:rsid w:val="00E73580"/>
    <w:rsid w:val="00E749FF"/>
    <w:rsid w:val="00E7520C"/>
    <w:rsid w:val="00E75437"/>
    <w:rsid w:val="00E75D90"/>
    <w:rsid w:val="00E7636C"/>
    <w:rsid w:val="00E835AF"/>
    <w:rsid w:val="00E915BD"/>
    <w:rsid w:val="00E92B16"/>
    <w:rsid w:val="00E96FA4"/>
    <w:rsid w:val="00E97EF8"/>
    <w:rsid w:val="00EB7D5B"/>
    <w:rsid w:val="00EC7DEC"/>
    <w:rsid w:val="00ED5241"/>
    <w:rsid w:val="00ED61E7"/>
    <w:rsid w:val="00EE0252"/>
    <w:rsid w:val="00EE44D7"/>
    <w:rsid w:val="00EE4974"/>
    <w:rsid w:val="00EF1160"/>
    <w:rsid w:val="00F014E8"/>
    <w:rsid w:val="00F014EE"/>
    <w:rsid w:val="00F01A52"/>
    <w:rsid w:val="00F0261D"/>
    <w:rsid w:val="00F052C0"/>
    <w:rsid w:val="00F100FC"/>
    <w:rsid w:val="00F1096C"/>
    <w:rsid w:val="00F120E8"/>
    <w:rsid w:val="00F1439F"/>
    <w:rsid w:val="00F14C6D"/>
    <w:rsid w:val="00F179AF"/>
    <w:rsid w:val="00F254BE"/>
    <w:rsid w:val="00F3100E"/>
    <w:rsid w:val="00F3353B"/>
    <w:rsid w:val="00F43087"/>
    <w:rsid w:val="00F45AC1"/>
    <w:rsid w:val="00F467FB"/>
    <w:rsid w:val="00F55FAB"/>
    <w:rsid w:val="00F603C9"/>
    <w:rsid w:val="00F62A6C"/>
    <w:rsid w:val="00F64F55"/>
    <w:rsid w:val="00F65D75"/>
    <w:rsid w:val="00F67BAF"/>
    <w:rsid w:val="00F71A6E"/>
    <w:rsid w:val="00F7203C"/>
    <w:rsid w:val="00F768C1"/>
    <w:rsid w:val="00F77F66"/>
    <w:rsid w:val="00F81EC6"/>
    <w:rsid w:val="00F86C01"/>
    <w:rsid w:val="00F9078E"/>
    <w:rsid w:val="00F92546"/>
    <w:rsid w:val="00F92D58"/>
    <w:rsid w:val="00F95982"/>
    <w:rsid w:val="00F9673C"/>
    <w:rsid w:val="00FA2C08"/>
    <w:rsid w:val="00FB15ED"/>
    <w:rsid w:val="00FB3DDA"/>
    <w:rsid w:val="00FB3F13"/>
    <w:rsid w:val="00FB5F6E"/>
    <w:rsid w:val="00FC323A"/>
    <w:rsid w:val="00FC3E8F"/>
    <w:rsid w:val="00FC40E9"/>
    <w:rsid w:val="00FC582E"/>
    <w:rsid w:val="00FD05D3"/>
    <w:rsid w:val="00FD0A47"/>
    <w:rsid w:val="00FD1A1E"/>
    <w:rsid w:val="00FD395B"/>
    <w:rsid w:val="00FD4AF7"/>
    <w:rsid w:val="00FD6B95"/>
    <w:rsid w:val="00FD754C"/>
    <w:rsid w:val="00FF022E"/>
    <w:rsid w:val="00FF0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43A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uiPriority w:val="9"/>
    <w:rsid w:val="00AC27AB"/>
    <w:rPr>
      <w:rFonts w:ascii="Arial" w:hAnsi="Arial"/>
      <w:b/>
      <w:i/>
      <w:color w:val="000000"/>
      <w:sz w:val="28"/>
      <w:szCs w:val="26"/>
    </w:rPr>
  </w:style>
  <w:style w:type="character" w:customStyle="1" w:styleId="Heading3Char">
    <w:name w:val="Heading 3 Char"/>
    <w:basedOn w:val="DefaultParagraphFont"/>
    <w:link w:val="Heading3"/>
    <w:uiPriority w:val="9"/>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BB43A7"/>
    <w:pPr>
      <w:ind w:left="720"/>
      <w:contextualSpacing/>
    </w:pPr>
  </w:style>
  <w:style w:type="paragraph" w:customStyle="1" w:styleId="Pa7">
    <w:name w:val="Pa7"/>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customStyle="1" w:styleId="A6">
    <w:name w:val="A6"/>
    <w:uiPriority w:val="99"/>
    <w:rsid w:val="007661A6"/>
    <w:rPr>
      <w:rFonts w:cs="Adobe Garamond Pro"/>
      <w:color w:val="000000"/>
      <w:sz w:val="14"/>
      <w:szCs w:val="14"/>
    </w:rPr>
  </w:style>
  <w:style w:type="paragraph" w:customStyle="1" w:styleId="Pa8">
    <w:name w:val="Pa8"/>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customStyle="1" w:styleId="A4">
    <w:name w:val="A4"/>
    <w:uiPriority w:val="99"/>
    <w:rsid w:val="007661A6"/>
    <w:rPr>
      <w:rFonts w:cs="Adobe Garamond Pro"/>
      <w:color w:val="000000"/>
    </w:rPr>
  </w:style>
  <w:style w:type="paragraph" w:customStyle="1" w:styleId="Pa27">
    <w:name w:val="Pa27"/>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styleId="CommentReference">
    <w:name w:val="annotation reference"/>
    <w:basedOn w:val="DefaultParagraphFont"/>
    <w:locked/>
    <w:rsid w:val="000E2508"/>
    <w:rPr>
      <w:sz w:val="16"/>
      <w:szCs w:val="16"/>
    </w:rPr>
  </w:style>
  <w:style w:type="paragraph" w:styleId="CommentText">
    <w:name w:val="annotation text"/>
    <w:basedOn w:val="Normal"/>
    <w:link w:val="CommentTextChar"/>
    <w:locked/>
    <w:rsid w:val="000E2508"/>
    <w:rPr>
      <w:sz w:val="20"/>
      <w:szCs w:val="20"/>
    </w:rPr>
  </w:style>
  <w:style w:type="character" w:customStyle="1" w:styleId="CommentTextChar">
    <w:name w:val="Comment Text Char"/>
    <w:basedOn w:val="DefaultParagraphFont"/>
    <w:link w:val="CommentText"/>
    <w:rsid w:val="000E2508"/>
    <w:rPr>
      <w:rFonts w:ascii="Arial" w:hAnsi="Arial"/>
    </w:rPr>
  </w:style>
  <w:style w:type="paragraph" w:styleId="CommentSubject">
    <w:name w:val="annotation subject"/>
    <w:basedOn w:val="CommentText"/>
    <w:next w:val="CommentText"/>
    <w:link w:val="CommentSubjectChar"/>
    <w:locked/>
    <w:rsid w:val="000E2508"/>
    <w:rPr>
      <w:b/>
      <w:bCs/>
    </w:rPr>
  </w:style>
  <w:style w:type="character" w:customStyle="1" w:styleId="CommentSubjectChar">
    <w:name w:val="Comment Subject Char"/>
    <w:basedOn w:val="CommentTextChar"/>
    <w:link w:val="CommentSubject"/>
    <w:rsid w:val="000E2508"/>
    <w:rPr>
      <w:rFonts w:ascii="Arial" w:hAnsi="Arial"/>
      <w:b/>
      <w:bCs/>
    </w:rPr>
  </w:style>
  <w:style w:type="paragraph" w:styleId="BalloonText">
    <w:name w:val="Balloon Text"/>
    <w:basedOn w:val="Normal"/>
    <w:link w:val="BalloonTextChar"/>
    <w:locked/>
    <w:rsid w:val="000E2508"/>
    <w:pPr>
      <w:spacing w:before="0" w:after="0"/>
    </w:pPr>
    <w:rPr>
      <w:rFonts w:ascii="Tahoma" w:hAnsi="Tahoma" w:cs="Tahoma"/>
      <w:sz w:val="16"/>
      <w:szCs w:val="16"/>
    </w:rPr>
  </w:style>
  <w:style w:type="character" w:customStyle="1" w:styleId="BalloonTextChar">
    <w:name w:val="Balloon Text Char"/>
    <w:basedOn w:val="DefaultParagraphFont"/>
    <w:link w:val="BalloonText"/>
    <w:rsid w:val="000E2508"/>
    <w:rPr>
      <w:rFonts w:ascii="Tahoma" w:hAnsi="Tahoma" w:cs="Tahoma"/>
      <w:sz w:val="16"/>
      <w:szCs w:val="16"/>
    </w:rPr>
  </w:style>
  <w:style w:type="paragraph" w:customStyle="1" w:styleId="SubmissionNormal">
    <w:name w:val="Submission Normal"/>
    <w:basedOn w:val="Normal"/>
    <w:link w:val="SubmissionNormalChar"/>
    <w:rsid w:val="009D163E"/>
    <w:pPr>
      <w:numPr>
        <w:numId w:val="22"/>
      </w:numPr>
    </w:pPr>
  </w:style>
  <w:style w:type="character" w:customStyle="1" w:styleId="SubmissionNormalChar">
    <w:name w:val="Submission Normal Char"/>
    <w:link w:val="SubmissionNormal"/>
    <w:rsid w:val="009D163E"/>
    <w:rPr>
      <w:rFonts w:ascii="Arial" w:hAnsi="Arial"/>
      <w:sz w:val="24"/>
      <w:szCs w:val="24"/>
    </w:rPr>
  </w:style>
  <w:style w:type="paragraph" w:styleId="Revision">
    <w:name w:val="Revision"/>
    <w:hidden/>
    <w:uiPriority w:val="99"/>
    <w:semiHidden/>
    <w:rsid w:val="001B4A18"/>
    <w:rPr>
      <w:rFonts w:ascii="Arial" w:hAnsi="Arial"/>
      <w:sz w:val="24"/>
      <w:szCs w:val="24"/>
    </w:rPr>
  </w:style>
  <w:style w:type="character" w:customStyle="1" w:styleId="oneclick-link">
    <w:name w:val="oneclick-link"/>
    <w:basedOn w:val="DefaultParagraphFont"/>
    <w:rsid w:val="00B01CB7"/>
  </w:style>
  <w:style w:type="character" w:customStyle="1" w:styleId="dbox-example">
    <w:name w:val="dbox-example"/>
    <w:basedOn w:val="DefaultParagraphFont"/>
    <w:rsid w:val="00B01CB7"/>
  </w:style>
  <w:style w:type="character" w:customStyle="1" w:styleId="def-number">
    <w:name w:val="def-number"/>
    <w:basedOn w:val="DefaultParagraphFont"/>
    <w:rsid w:val="00B01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43A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uiPriority w:val="9"/>
    <w:rsid w:val="00AC27AB"/>
    <w:rPr>
      <w:rFonts w:ascii="Arial" w:hAnsi="Arial"/>
      <w:b/>
      <w:i/>
      <w:color w:val="000000"/>
      <w:sz w:val="28"/>
      <w:szCs w:val="26"/>
    </w:rPr>
  </w:style>
  <w:style w:type="character" w:customStyle="1" w:styleId="Heading3Char">
    <w:name w:val="Heading 3 Char"/>
    <w:basedOn w:val="DefaultParagraphFont"/>
    <w:link w:val="Heading3"/>
    <w:uiPriority w:val="9"/>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BB43A7"/>
    <w:pPr>
      <w:ind w:left="720"/>
      <w:contextualSpacing/>
    </w:pPr>
  </w:style>
  <w:style w:type="paragraph" w:customStyle="1" w:styleId="Pa7">
    <w:name w:val="Pa7"/>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customStyle="1" w:styleId="A6">
    <w:name w:val="A6"/>
    <w:uiPriority w:val="99"/>
    <w:rsid w:val="007661A6"/>
    <w:rPr>
      <w:rFonts w:cs="Adobe Garamond Pro"/>
      <w:color w:val="000000"/>
      <w:sz w:val="14"/>
      <w:szCs w:val="14"/>
    </w:rPr>
  </w:style>
  <w:style w:type="paragraph" w:customStyle="1" w:styleId="Pa8">
    <w:name w:val="Pa8"/>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customStyle="1" w:styleId="A4">
    <w:name w:val="A4"/>
    <w:uiPriority w:val="99"/>
    <w:rsid w:val="007661A6"/>
    <w:rPr>
      <w:rFonts w:cs="Adobe Garamond Pro"/>
      <w:color w:val="000000"/>
    </w:rPr>
  </w:style>
  <w:style w:type="paragraph" w:customStyle="1" w:styleId="Pa27">
    <w:name w:val="Pa27"/>
    <w:basedOn w:val="Normal"/>
    <w:next w:val="Normal"/>
    <w:uiPriority w:val="99"/>
    <w:rsid w:val="007661A6"/>
    <w:pPr>
      <w:autoSpaceDE w:val="0"/>
      <w:autoSpaceDN w:val="0"/>
      <w:adjustRightInd w:val="0"/>
      <w:spacing w:before="0" w:after="0" w:line="241" w:lineRule="atLeast"/>
    </w:pPr>
    <w:rPr>
      <w:rFonts w:ascii="Adobe Garamond Pro" w:hAnsi="Adobe Garamond Pro"/>
    </w:rPr>
  </w:style>
  <w:style w:type="character" w:styleId="CommentReference">
    <w:name w:val="annotation reference"/>
    <w:basedOn w:val="DefaultParagraphFont"/>
    <w:locked/>
    <w:rsid w:val="000E2508"/>
    <w:rPr>
      <w:sz w:val="16"/>
      <w:szCs w:val="16"/>
    </w:rPr>
  </w:style>
  <w:style w:type="paragraph" w:styleId="CommentText">
    <w:name w:val="annotation text"/>
    <w:basedOn w:val="Normal"/>
    <w:link w:val="CommentTextChar"/>
    <w:locked/>
    <w:rsid w:val="000E2508"/>
    <w:rPr>
      <w:sz w:val="20"/>
      <w:szCs w:val="20"/>
    </w:rPr>
  </w:style>
  <w:style w:type="character" w:customStyle="1" w:styleId="CommentTextChar">
    <w:name w:val="Comment Text Char"/>
    <w:basedOn w:val="DefaultParagraphFont"/>
    <w:link w:val="CommentText"/>
    <w:rsid w:val="000E2508"/>
    <w:rPr>
      <w:rFonts w:ascii="Arial" w:hAnsi="Arial"/>
    </w:rPr>
  </w:style>
  <w:style w:type="paragraph" w:styleId="CommentSubject">
    <w:name w:val="annotation subject"/>
    <w:basedOn w:val="CommentText"/>
    <w:next w:val="CommentText"/>
    <w:link w:val="CommentSubjectChar"/>
    <w:locked/>
    <w:rsid w:val="000E2508"/>
    <w:rPr>
      <w:b/>
      <w:bCs/>
    </w:rPr>
  </w:style>
  <w:style w:type="character" w:customStyle="1" w:styleId="CommentSubjectChar">
    <w:name w:val="Comment Subject Char"/>
    <w:basedOn w:val="CommentTextChar"/>
    <w:link w:val="CommentSubject"/>
    <w:rsid w:val="000E2508"/>
    <w:rPr>
      <w:rFonts w:ascii="Arial" w:hAnsi="Arial"/>
      <w:b/>
      <w:bCs/>
    </w:rPr>
  </w:style>
  <w:style w:type="paragraph" w:styleId="BalloonText">
    <w:name w:val="Balloon Text"/>
    <w:basedOn w:val="Normal"/>
    <w:link w:val="BalloonTextChar"/>
    <w:locked/>
    <w:rsid w:val="000E2508"/>
    <w:pPr>
      <w:spacing w:before="0" w:after="0"/>
    </w:pPr>
    <w:rPr>
      <w:rFonts w:ascii="Tahoma" w:hAnsi="Tahoma" w:cs="Tahoma"/>
      <w:sz w:val="16"/>
      <w:szCs w:val="16"/>
    </w:rPr>
  </w:style>
  <w:style w:type="character" w:customStyle="1" w:styleId="BalloonTextChar">
    <w:name w:val="Balloon Text Char"/>
    <w:basedOn w:val="DefaultParagraphFont"/>
    <w:link w:val="BalloonText"/>
    <w:rsid w:val="000E2508"/>
    <w:rPr>
      <w:rFonts w:ascii="Tahoma" w:hAnsi="Tahoma" w:cs="Tahoma"/>
      <w:sz w:val="16"/>
      <w:szCs w:val="16"/>
    </w:rPr>
  </w:style>
  <w:style w:type="paragraph" w:customStyle="1" w:styleId="SubmissionNormal">
    <w:name w:val="Submission Normal"/>
    <w:basedOn w:val="Normal"/>
    <w:link w:val="SubmissionNormalChar"/>
    <w:rsid w:val="009D163E"/>
    <w:pPr>
      <w:numPr>
        <w:numId w:val="22"/>
      </w:numPr>
    </w:pPr>
  </w:style>
  <w:style w:type="character" w:customStyle="1" w:styleId="SubmissionNormalChar">
    <w:name w:val="Submission Normal Char"/>
    <w:link w:val="SubmissionNormal"/>
    <w:rsid w:val="009D163E"/>
    <w:rPr>
      <w:rFonts w:ascii="Arial" w:hAnsi="Arial"/>
      <w:sz w:val="24"/>
      <w:szCs w:val="24"/>
    </w:rPr>
  </w:style>
  <w:style w:type="paragraph" w:styleId="Revision">
    <w:name w:val="Revision"/>
    <w:hidden/>
    <w:uiPriority w:val="99"/>
    <w:semiHidden/>
    <w:rsid w:val="001B4A18"/>
    <w:rPr>
      <w:rFonts w:ascii="Arial" w:hAnsi="Arial"/>
      <w:sz w:val="24"/>
      <w:szCs w:val="24"/>
    </w:rPr>
  </w:style>
  <w:style w:type="character" w:customStyle="1" w:styleId="oneclick-link">
    <w:name w:val="oneclick-link"/>
    <w:basedOn w:val="DefaultParagraphFont"/>
    <w:rsid w:val="00B01CB7"/>
  </w:style>
  <w:style w:type="character" w:customStyle="1" w:styleId="dbox-example">
    <w:name w:val="dbox-example"/>
    <w:basedOn w:val="DefaultParagraphFont"/>
    <w:rsid w:val="00B01CB7"/>
  </w:style>
  <w:style w:type="character" w:customStyle="1" w:styleId="def-number">
    <w:name w:val="def-number"/>
    <w:basedOn w:val="DefaultParagraphFont"/>
    <w:rsid w:val="00B01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10908811">
      <w:bodyDiv w:val="1"/>
      <w:marLeft w:val="0"/>
      <w:marRight w:val="0"/>
      <w:marTop w:val="0"/>
      <w:marBottom w:val="0"/>
      <w:divBdr>
        <w:top w:val="none" w:sz="0" w:space="0" w:color="auto"/>
        <w:left w:val="none" w:sz="0" w:space="0" w:color="auto"/>
        <w:bottom w:val="none" w:sz="0" w:space="0" w:color="auto"/>
        <w:right w:val="none" w:sz="0" w:space="0" w:color="auto"/>
      </w:divBdr>
    </w:div>
    <w:div w:id="1068184299">
      <w:bodyDiv w:val="1"/>
      <w:marLeft w:val="0"/>
      <w:marRight w:val="0"/>
      <w:marTop w:val="0"/>
      <w:marBottom w:val="0"/>
      <w:divBdr>
        <w:top w:val="none" w:sz="0" w:space="0" w:color="auto"/>
        <w:left w:val="none" w:sz="0" w:space="0" w:color="auto"/>
        <w:bottom w:val="none" w:sz="0" w:space="0" w:color="auto"/>
        <w:right w:val="none" w:sz="0" w:space="0" w:color="auto"/>
      </w:divBdr>
      <w:divsChild>
        <w:div w:id="1051349329">
          <w:marLeft w:val="0"/>
          <w:marRight w:val="0"/>
          <w:marTop w:val="0"/>
          <w:marBottom w:val="0"/>
          <w:divBdr>
            <w:top w:val="none" w:sz="0" w:space="0" w:color="auto"/>
            <w:left w:val="none" w:sz="0" w:space="0" w:color="auto"/>
            <w:bottom w:val="none" w:sz="0" w:space="0" w:color="auto"/>
            <w:right w:val="none" w:sz="0" w:space="0" w:color="auto"/>
          </w:divBdr>
          <w:divsChild>
            <w:div w:id="208614712">
              <w:marLeft w:val="0"/>
              <w:marRight w:val="0"/>
              <w:marTop w:val="0"/>
              <w:marBottom w:val="450"/>
              <w:divBdr>
                <w:top w:val="none" w:sz="0" w:space="0" w:color="auto"/>
                <w:left w:val="single" w:sz="6" w:space="0" w:color="BCBEC0"/>
                <w:bottom w:val="single" w:sz="6" w:space="0" w:color="BCBEC0"/>
                <w:right w:val="single" w:sz="6" w:space="0" w:color="BCBEC0"/>
              </w:divBdr>
              <w:divsChild>
                <w:div w:id="1587037396">
                  <w:marLeft w:val="0"/>
                  <w:marRight w:val="0"/>
                  <w:marTop w:val="0"/>
                  <w:marBottom w:val="0"/>
                  <w:divBdr>
                    <w:top w:val="none" w:sz="0" w:space="0" w:color="auto"/>
                    <w:left w:val="none" w:sz="0" w:space="0" w:color="auto"/>
                    <w:bottom w:val="none" w:sz="0" w:space="0" w:color="auto"/>
                    <w:right w:val="none" w:sz="0" w:space="0" w:color="auto"/>
                  </w:divBdr>
                  <w:divsChild>
                    <w:div w:id="889148825">
                      <w:marLeft w:val="0"/>
                      <w:marRight w:val="0"/>
                      <w:marTop w:val="0"/>
                      <w:marBottom w:val="0"/>
                      <w:divBdr>
                        <w:top w:val="none" w:sz="0" w:space="0" w:color="auto"/>
                        <w:left w:val="none" w:sz="0" w:space="0" w:color="auto"/>
                        <w:bottom w:val="none" w:sz="0" w:space="0" w:color="auto"/>
                        <w:right w:val="none" w:sz="0" w:space="0" w:color="auto"/>
                      </w:divBdr>
                      <w:divsChild>
                        <w:div w:id="1891381026">
                          <w:marLeft w:val="0"/>
                          <w:marRight w:val="0"/>
                          <w:marTop w:val="0"/>
                          <w:marBottom w:val="0"/>
                          <w:divBdr>
                            <w:top w:val="none" w:sz="0" w:space="0" w:color="auto"/>
                            <w:left w:val="none" w:sz="0" w:space="0" w:color="auto"/>
                            <w:bottom w:val="none" w:sz="0" w:space="0" w:color="auto"/>
                            <w:right w:val="none" w:sz="0" w:space="0" w:color="auto"/>
                          </w:divBdr>
                          <w:divsChild>
                            <w:div w:id="1986546766">
                              <w:marLeft w:val="0"/>
                              <w:marRight w:val="0"/>
                              <w:marTop w:val="0"/>
                              <w:marBottom w:val="0"/>
                              <w:divBdr>
                                <w:top w:val="none" w:sz="0" w:space="0" w:color="auto"/>
                                <w:left w:val="none" w:sz="0" w:space="0" w:color="auto"/>
                                <w:bottom w:val="none" w:sz="0" w:space="0" w:color="auto"/>
                                <w:right w:val="none" w:sz="0" w:space="0" w:color="auto"/>
                              </w:divBdr>
                              <w:divsChild>
                                <w:div w:id="1467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53623136">
      <w:bodyDiv w:val="1"/>
      <w:marLeft w:val="0"/>
      <w:marRight w:val="0"/>
      <w:marTop w:val="0"/>
      <w:marBottom w:val="0"/>
      <w:divBdr>
        <w:top w:val="none" w:sz="0" w:space="0" w:color="auto"/>
        <w:left w:val="none" w:sz="0" w:space="0" w:color="auto"/>
        <w:bottom w:val="none" w:sz="0" w:space="0" w:color="auto"/>
        <w:right w:val="none" w:sz="0" w:space="0" w:color="auto"/>
      </w:divBdr>
      <w:divsChild>
        <w:div w:id="1407915366">
          <w:marLeft w:val="0"/>
          <w:marRight w:val="0"/>
          <w:marTop w:val="0"/>
          <w:marBottom w:val="0"/>
          <w:divBdr>
            <w:top w:val="none" w:sz="0" w:space="0" w:color="auto"/>
            <w:left w:val="none" w:sz="0" w:space="0" w:color="auto"/>
            <w:bottom w:val="none" w:sz="0" w:space="0" w:color="auto"/>
            <w:right w:val="none" w:sz="0" w:space="0" w:color="auto"/>
          </w:divBdr>
          <w:divsChild>
            <w:div w:id="66154809">
              <w:marLeft w:val="0"/>
              <w:marRight w:val="0"/>
              <w:marTop w:val="0"/>
              <w:marBottom w:val="450"/>
              <w:divBdr>
                <w:top w:val="none" w:sz="0" w:space="0" w:color="auto"/>
                <w:left w:val="single" w:sz="6" w:space="0" w:color="BCBEC0"/>
                <w:bottom w:val="single" w:sz="6" w:space="0" w:color="BCBEC0"/>
                <w:right w:val="single" w:sz="6" w:space="0" w:color="BCBEC0"/>
              </w:divBdr>
              <w:divsChild>
                <w:div w:id="861086546">
                  <w:marLeft w:val="0"/>
                  <w:marRight w:val="0"/>
                  <w:marTop w:val="0"/>
                  <w:marBottom w:val="0"/>
                  <w:divBdr>
                    <w:top w:val="none" w:sz="0" w:space="0" w:color="auto"/>
                    <w:left w:val="none" w:sz="0" w:space="0" w:color="auto"/>
                    <w:bottom w:val="none" w:sz="0" w:space="0" w:color="auto"/>
                    <w:right w:val="none" w:sz="0" w:space="0" w:color="auto"/>
                  </w:divBdr>
                  <w:divsChild>
                    <w:div w:id="265893272">
                      <w:marLeft w:val="0"/>
                      <w:marRight w:val="0"/>
                      <w:marTop w:val="0"/>
                      <w:marBottom w:val="0"/>
                      <w:divBdr>
                        <w:top w:val="none" w:sz="0" w:space="0" w:color="auto"/>
                        <w:left w:val="none" w:sz="0" w:space="0" w:color="auto"/>
                        <w:bottom w:val="none" w:sz="0" w:space="0" w:color="auto"/>
                        <w:right w:val="none" w:sz="0" w:space="0" w:color="auto"/>
                      </w:divBdr>
                      <w:divsChild>
                        <w:div w:id="94057766">
                          <w:marLeft w:val="0"/>
                          <w:marRight w:val="0"/>
                          <w:marTop w:val="0"/>
                          <w:marBottom w:val="0"/>
                          <w:divBdr>
                            <w:top w:val="none" w:sz="0" w:space="0" w:color="auto"/>
                            <w:left w:val="none" w:sz="0" w:space="0" w:color="auto"/>
                            <w:bottom w:val="none" w:sz="0" w:space="0" w:color="auto"/>
                            <w:right w:val="none" w:sz="0" w:space="0" w:color="auto"/>
                          </w:divBdr>
                          <w:divsChild>
                            <w:div w:id="2090302409">
                              <w:marLeft w:val="0"/>
                              <w:marRight w:val="0"/>
                              <w:marTop w:val="0"/>
                              <w:marBottom w:val="0"/>
                              <w:divBdr>
                                <w:top w:val="none" w:sz="0" w:space="0" w:color="auto"/>
                                <w:left w:val="none" w:sz="0" w:space="0" w:color="auto"/>
                                <w:bottom w:val="none" w:sz="0" w:space="0" w:color="auto"/>
                                <w:right w:val="none" w:sz="0" w:space="0" w:color="auto"/>
                              </w:divBdr>
                              <w:divsChild>
                                <w:div w:id="4168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1516">
      <w:bodyDiv w:val="1"/>
      <w:marLeft w:val="0"/>
      <w:marRight w:val="0"/>
      <w:marTop w:val="0"/>
      <w:marBottom w:val="0"/>
      <w:divBdr>
        <w:top w:val="none" w:sz="0" w:space="0" w:color="auto"/>
        <w:left w:val="none" w:sz="0" w:space="0" w:color="auto"/>
        <w:bottom w:val="none" w:sz="0" w:space="0" w:color="auto"/>
        <w:right w:val="none" w:sz="0" w:space="0" w:color="auto"/>
      </w:divBdr>
      <w:divsChild>
        <w:div w:id="1254318847">
          <w:marLeft w:val="0"/>
          <w:marRight w:val="0"/>
          <w:marTop w:val="0"/>
          <w:marBottom w:val="0"/>
          <w:divBdr>
            <w:top w:val="none" w:sz="0" w:space="0" w:color="auto"/>
            <w:left w:val="none" w:sz="0" w:space="0" w:color="auto"/>
            <w:bottom w:val="none" w:sz="0" w:space="0" w:color="auto"/>
            <w:right w:val="none" w:sz="0" w:space="0" w:color="auto"/>
          </w:divBdr>
          <w:divsChild>
            <w:div w:id="766463954">
              <w:marLeft w:val="0"/>
              <w:marRight w:val="0"/>
              <w:marTop w:val="0"/>
              <w:marBottom w:val="450"/>
              <w:divBdr>
                <w:top w:val="none" w:sz="0" w:space="0" w:color="auto"/>
                <w:left w:val="single" w:sz="6" w:space="0" w:color="BCBEC0"/>
                <w:bottom w:val="single" w:sz="6" w:space="0" w:color="BCBEC0"/>
                <w:right w:val="single" w:sz="6" w:space="0" w:color="BCBEC0"/>
              </w:divBdr>
              <w:divsChild>
                <w:div w:id="951592754">
                  <w:marLeft w:val="0"/>
                  <w:marRight w:val="0"/>
                  <w:marTop w:val="0"/>
                  <w:marBottom w:val="0"/>
                  <w:divBdr>
                    <w:top w:val="none" w:sz="0" w:space="0" w:color="auto"/>
                    <w:left w:val="none" w:sz="0" w:space="0" w:color="auto"/>
                    <w:bottom w:val="none" w:sz="0" w:space="0" w:color="auto"/>
                    <w:right w:val="none" w:sz="0" w:space="0" w:color="auto"/>
                  </w:divBdr>
                  <w:divsChild>
                    <w:div w:id="1682707879">
                      <w:marLeft w:val="0"/>
                      <w:marRight w:val="0"/>
                      <w:marTop w:val="0"/>
                      <w:marBottom w:val="0"/>
                      <w:divBdr>
                        <w:top w:val="none" w:sz="0" w:space="0" w:color="auto"/>
                        <w:left w:val="none" w:sz="0" w:space="0" w:color="auto"/>
                        <w:bottom w:val="none" w:sz="0" w:space="0" w:color="auto"/>
                        <w:right w:val="none" w:sz="0" w:space="0" w:color="auto"/>
                      </w:divBdr>
                      <w:divsChild>
                        <w:div w:id="2100172661">
                          <w:marLeft w:val="0"/>
                          <w:marRight w:val="0"/>
                          <w:marTop w:val="0"/>
                          <w:marBottom w:val="0"/>
                          <w:divBdr>
                            <w:top w:val="none" w:sz="0" w:space="0" w:color="auto"/>
                            <w:left w:val="none" w:sz="0" w:space="0" w:color="auto"/>
                            <w:bottom w:val="none" w:sz="0" w:space="0" w:color="auto"/>
                            <w:right w:val="none" w:sz="0" w:space="0" w:color="auto"/>
                          </w:divBdr>
                          <w:divsChild>
                            <w:div w:id="1882553513">
                              <w:marLeft w:val="0"/>
                              <w:marRight w:val="0"/>
                              <w:marTop w:val="0"/>
                              <w:marBottom w:val="0"/>
                              <w:divBdr>
                                <w:top w:val="none" w:sz="0" w:space="0" w:color="auto"/>
                                <w:left w:val="none" w:sz="0" w:space="0" w:color="auto"/>
                                <w:bottom w:val="none" w:sz="0" w:space="0" w:color="auto"/>
                                <w:right w:val="none" w:sz="0" w:space="0" w:color="auto"/>
                              </w:divBdr>
                              <w:divsChild>
                                <w:div w:id="5321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52279">
      <w:bodyDiv w:val="1"/>
      <w:marLeft w:val="0"/>
      <w:marRight w:val="0"/>
      <w:marTop w:val="0"/>
      <w:marBottom w:val="0"/>
      <w:divBdr>
        <w:top w:val="none" w:sz="0" w:space="0" w:color="auto"/>
        <w:left w:val="none" w:sz="0" w:space="0" w:color="auto"/>
        <w:bottom w:val="none" w:sz="0" w:space="0" w:color="auto"/>
        <w:right w:val="none" w:sz="0" w:space="0" w:color="auto"/>
      </w:divBdr>
      <w:divsChild>
        <w:div w:id="285163287">
          <w:marLeft w:val="0"/>
          <w:marRight w:val="0"/>
          <w:marTop w:val="0"/>
          <w:marBottom w:val="0"/>
          <w:divBdr>
            <w:top w:val="none" w:sz="0" w:space="0" w:color="auto"/>
            <w:left w:val="none" w:sz="0" w:space="0" w:color="auto"/>
            <w:bottom w:val="none" w:sz="0" w:space="0" w:color="auto"/>
            <w:right w:val="none" w:sz="0" w:space="0" w:color="auto"/>
          </w:divBdr>
          <w:divsChild>
            <w:div w:id="370082703">
              <w:marLeft w:val="0"/>
              <w:marRight w:val="0"/>
              <w:marTop w:val="0"/>
              <w:marBottom w:val="0"/>
              <w:divBdr>
                <w:top w:val="none" w:sz="0" w:space="0" w:color="auto"/>
                <w:left w:val="none" w:sz="0" w:space="0" w:color="auto"/>
                <w:bottom w:val="none" w:sz="0" w:space="0" w:color="auto"/>
                <w:right w:val="none" w:sz="0" w:space="0" w:color="auto"/>
              </w:divBdr>
              <w:divsChild>
                <w:div w:id="2133598608">
                  <w:marLeft w:val="0"/>
                  <w:marRight w:val="0"/>
                  <w:marTop w:val="0"/>
                  <w:marBottom w:val="0"/>
                  <w:divBdr>
                    <w:top w:val="none" w:sz="0" w:space="0" w:color="auto"/>
                    <w:left w:val="none" w:sz="0" w:space="0" w:color="auto"/>
                    <w:bottom w:val="none" w:sz="0" w:space="0" w:color="auto"/>
                    <w:right w:val="none" w:sz="0" w:space="0" w:color="auto"/>
                  </w:divBdr>
                  <w:divsChild>
                    <w:div w:id="1287346999">
                      <w:marLeft w:val="0"/>
                      <w:marRight w:val="0"/>
                      <w:marTop w:val="0"/>
                      <w:marBottom w:val="0"/>
                      <w:divBdr>
                        <w:top w:val="none" w:sz="0" w:space="0" w:color="auto"/>
                        <w:left w:val="none" w:sz="0" w:space="0" w:color="auto"/>
                        <w:bottom w:val="none" w:sz="0" w:space="0" w:color="auto"/>
                        <w:right w:val="none" w:sz="0" w:space="0" w:color="auto"/>
                      </w:divBdr>
                      <w:divsChild>
                        <w:div w:id="143670412">
                          <w:marLeft w:val="0"/>
                          <w:marRight w:val="0"/>
                          <w:marTop w:val="0"/>
                          <w:marBottom w:val="0"/>
                          <w:divBdr>
                            <w:top w:val="none" w:sz="0" w:space="0" w:color="auto"/>
                            <w:left w:val="none" w:sz="0" w:space="0" w:color="auto"/>
                            <w:bottom w:val="none" w:sz="0" w:space="0" w:color="auto"/>
                            <w:right w:val="none" w:sz="0" w:space="0" w:color="auto"/>
                          </w:divBdr>
                        </w:div>
                        <w:div w:id="368141838">
                          <w:marLeft w:val="0"/>
                          <w:marRight w:val="0"/>
                          <w:marTop w:val="0"/>
                          <w:marBottom w:val="0"/>
                          <w:divBdr>
                            <w:top w:val="none" w:sz="0" w:space="0" w:color="auto"/>
                            <w:left w:val="none" w:sz="0" w:space="0" w:color="auto"/>
                            <w:bottom w:val="none" w:sz="0" w:space="0" w:color="auto"/>
                            <w:right w:val="none" w:sz="0" w:space="0" w:color="auto"/>
                          </w:divBdr>
                          <w:divsChild>
                            <w:div w:id="18285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28676863">
      <w:bodyDiv w:val="1"/>
      <w:marLeft w:val="0"/>
      <w:marRight w:val="0"/>
      <w:marTop w:val="0"/>
      <w:marBottom w:val="0"/>
      <w:divBdr>
        <w:top w:val="none" w:sz="0" w:space="0" w:color="auto"/>
        <w:left w:val="none" w:sz="0" w:space="0" w:color="auto"/>
        <w:bottom w:val="none" w:sz="0" w:space="0" w:color="auto"/>
        <w:right w:val="none" w:sz="0" w:space="0" w:color="auto"/>
      </w:divBdr>
      <w:divsChild>
        <w:div w:id="1018309868">
          <w:marLeft w:val="0"/>
          <w:marRight w:val="0"/>
          <w:marTop w:val="0"/>
          <w:marBottom w:val="0"/>
          <w:divBdr>
            <w:top w:val="none" w:sz="0" w:space="0" w:color="auto"/>
            <w:left w:val="none" w:sz="0" w:space="0" w:color="auto"/>
            <w:bottom w:val="none" w:sz="0" w:space="0" w:color="auto"/>
            <w:right w:val="none" w:sz="0" w:space="0" w:color="auto"/>
          </w:divBdr>
          <w:divsChild>
            <w:div w:id="2062974396">
              <w:marLeft w:val="0"/>
              <w:marRight w:val="0"/>
              <w:marTop w:val="0"/>
              <w:marBottom w:val="0"/>
              <w:divBdr>
                <w:top w:val="none" w:sz="0" w:space="0" w:color="auto"/>
                <w:left w:val="none" w:sz="0" w:space="0" w:color="auto"/>
                <w:bottom w:val="none" w:sz="0" w:space="0" w:color="auto"/>
                <w:right w:val="none" w:sz="0" w:space="0" w:color="auto"/>
              </w:divBdr>
              <w:divsChild>
                <w:div w:id="457185365">
                  <w:marLeft w:val="0"/>
                  <w:marRight w:val="0"/>
                  <w:marTop w:val="0"/>
                  <w:marBottom w:val="0"/>
                  <w:divBdr>
                    <w:top w:val="none" w:sz="0" w:space="0" w:color="auto"/>
                    <w:left w:val="none" w:sz="0" w:space="0" w:color="auto"/>
                    <w:bottom w:val="none" w:sz="0" w:space="0" w:color="auto"/>
                    <w:right w:val="none" w:sz="0" w:space="0" w:color="auto"/>
                  </w:divBdr>
                  <w:divsChild>
                    <w:div w:id="1723669373">
                      <w:marLeft w:val="0"/>
                      <w:marRight w:val="0"/>
                      <w:marTop w:val="0"/>
                      <w:marBottom w:val="0"/>
                      <w:divBdr>
                        <w:top w:val="none" w:sz="0" w:space="0" w:color="auto"/>
                        <w:left w:val="none" w:sz="0" w:space="0" w:color="auto"/>
                        <w:bottom w:val="none" w:sz="0" w:space="0" w:color="auto"/>
                        <w:right w:val="none" w:sz="0" w:space="0" w:color="auto"/>
                      </w:divBdr>
                      <w:divsChild>
                        <w:div w:id="979579770">
                          <w:marLeft w:val="0"/>
                          <w:marRight w:val="0"/>
                          <w:marTop w:val="0"/>
                          <w:marBottom w:val="0"/>
                          <w:divBdr>
                            <w:top w:val="none" w:sz="0" w:space="0" w:color="auto"/>
                            <w:left w:val="none" w:sz="0" w:space="0" w:color="auto"/>
                            <w:bottom w:val="none" w:sz="0" w:space="0" w:color="auto"/>
                            <w:right w:val="none" w:sz="0" w:space="0" w:color="auto"/>
                          </w:divBdr>
                          <w:divsChild>
                            <w:div w:id="901986266">
                              <w:marLeft w:val="0"/>
                              <w:marRight w:val="0"/>
                              <w:marTop w:val="0"/>
                              <w:marBottom w:val="0"/>
                              <w:divBdr>
                                <w:top w:val="none" w:sz="0" w:space="0" w:color="auto"/>
                                <w:left w:val="none" w:sz="0" w:space="0" w:color="auto"/>
                                <w:bottom w:val="none" w:sz="0" w:space="0" w:color="auto"/>
                                <w:right w:val="none" w:sz="0" w:space="0" w:color="auto"/>
                              </w:divBdr>
                              <w:divsChild>
                                <w:div w:id="1710642837">
                                  <w:marLeft w:val="0"/>
                                  <w:marRight w:val="0"/>
                                  <w:marTop w:val="0"/>
                                  <w:marBottom w:val="0"/>
                                  <w:divBdr>
                                    <w:top w:val="none" w:sz="0" w:space="0" w:color="auto"/>
                                    <w:left w:val="none" w:sz="0" w:space="0" w:color="auto"/>
                                    <w:bottom w:val="none" w:sz="0" w:space="0" w:color="auto"/>
                                    <w:right w:val="none" w:sz="0" w:space="0" w:color="auto"/>
                                  </w:divBdr>
                                  <w:divsChild>
                                    <w:div w:id="99230728">
                                      <w:marLeft w:val="0"/>
                                      <w:marRight w:val="0"/>
                                      <w:marTop w:val="0"/>
                                      <w:marBottom w:val="0"/>
                                      <w:divBdr>
                                        <w:top w:val="none" w:sz="0" w:space="0" w:color="auto"/>
                                        <w:left w:val="none" w:sz="0" w:space="0" w:color="auto"/>
                                        <w:bottom w:val="none" w:sz="0" w:space="0" w:color="auto"/>
                                        <w:right w:val="none" w:sz="0" w:space="0" w:color="auto"/>
                                      </w:divBdr>
                                      <w:divsChild>
                                        <w:div w:id="20667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99">
                                  <w:marLeft w:val="0"/>
                                  <w:marRight w:val="0"/>
                                  <w:marTop w:val="0"/>
                                  <w:marBottom w:val="0"/>
                                  <w:divBdr>
                                    <w:top w:val="none" w:sz="0" w:space="0" w:color="auto"/>
                                    <w:left w:val="none" w:sz="0" w:space="0" w:color="auto"/>
                                    <w:bottom w:val="none" w:sz="0" w:space="0" w:color="auto"/>
                                    <w:right w:val="none" w:sz="0" w:space="0" w:color="auto"/>
                                  </w:divBdr>
                                  <w:divsChild>
                                    <w:div w:id="7969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hcr.org/refworld/docid/3ae6b3970.html" TargetMode="External"/><Relationship Id="rId18" Type="http://schemas.openxmlformats.org/officeDocument/2006/relationships/hyperlink" Target="mailto:rights2014@humanrights.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humanrights.gov.au" TargetMode="External"/><Relationship Id="rId7" Type="http://schemas.openxmlformats.org/officeDocument/2006/relationships/footnotes" Target="footnotes.xml"/><Relationship Id="rId12" Type="http://schemas.openxmlformats.org/officeDocument/2006/relationships/hyperlink" Target="http://www.ohchr.org/EN/ProfessionalInterest/Pages/CERD.aspx" TargetMode="External"/><Relationship Id="rId17" Type="http://schemas.openxmlformats.org/officeDocument/2006/relationships/hyperlink" Target="http://www.humanrights.gov.au/rights20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org/disabilities/convention/conventionfull.shtml" TargetMode="External"/><Relationship Id="rId20" Type="http://schemas.openxmlformats.org/officeDocument/2006/relationships/hyperlink" Target="mailto:rightsandresponsibilities2014@humanright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ProfessionalInterest/Pages/CESCR.aspx" TargetMode="External"/><Relationship Id="rId24" Type="http://schemas.openxmlformats.org/officeDocument/2006/relationships/hyperlink" Target="http://www.humanrights.gov.au/freedom-association" TargetMode="External"/><Relationship Id="rId5" Type="http://schemas.openxmlformats.org/officeDocument/2006/relationships/settings" Target="settings.xml"/><Relationship Id="rId15" Type="http://schemas.openxmlformats.org/officeDocument/2006/relationships/hyperlink" Target="http://www.ohchr.org/EN/ProfessionalInterest/Pages/CRC.aspx" TargetMode="External"/><Relationship Id="rId23" Type="http://schemas.openxmlformats.org/officeDocument/2006/relationships/hyperlink" Target="http://www.humanrights.gov.au/freedom-thought-conscience-and-religion-or-belief" TargetMode="External"/><Relationship Id="rId28" Type="http://schemas.openxmlformats.org/officeDocument/2006/relationships/header" Target="header3.xml"/><Relationship Id="rId10" Type="http://schemas.openxmlformats.org/officeDocument/2006/relationships/hyperlink" Target="http://www.ohchr.org/EN/ProfessionalInterest/Pages/CCPR.aspx" TargetMode="External"/><Relationship Id="rId19" Type="http://schemas.openxmlformats.org/officeDocument/2006/relationships/hyperlink" Target="https://www.humanrights.gov.au/submission-poli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hchr.org/EN/ProfessionalInterest/Pages/CAT.aspx" TargetMode="External"/><Relationship Id="rId22" Type="http://schemas.openxmlformats.org/officeDocument/2006/relationships/hyperlink" Target="http://www.humanrights.gov.au/freedom-information-opinion-and-expression" TargetMode="External"/><Relationship Id="rId27" Type="http://schemas.openxmlformats.org/officeDocument/2006/relationships/footer" Target="foot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ustlii.edu.au/au/cases/cth/HCA/2013/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437C-F94A-46EA-975F-A894A12C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3507</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Louise Bygrave</dc:creator>
  <cp:lastModifiedBy>Louise Bygrave</cp:lastModifiedBy>
  <cp:revision>5</cp:revision>
  <cp:lastPrinted>2014-08-26T03:52:00Z</cp:lastPrinted>
  <dcterms:created xsi:type="dcterms:W3CDTF">2014-08-27T01:58:00Z</dcterms:created>
  <dcterms:modified xsi:type="dcterms:W3CDTF">2014-08-28T23:59:00Z</dcterms:modified>
</cp:coreProperties>
</file>